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8E8" w:rsidRPr="005E1040" w:rsidRDefault="00F16CBC" w:rsidP="005E1040">
      <w:pPr>
        <w:pStyle w:val="1stpage"/>
        <w:tabs>
          <w:tab w:val="left" w:pos="993"/>
        </w:tabs>
        <w:ind w:left="284"/>
        <w:jc w:val="left"/>
        <w:rPr>
          <w:rFonts w:cs="Arial"/>
          <w:bCs w:val="0"/>
          <w:sz w:val="27"/>
          <w:szCs w:val="27"/>
          <w:lang w:val="ru-RU"/>
        </w:rPr>
      </w:pPr>
      <w:r w:rsidRPr="005E1040">
        <w:rPr>
          <w:rFonts w:cs="Arial"/>
          <w:bCs w:val="0"/>
          <w:sz w:val="27"/>
          <w:szCs w:val="27"/>
          <w:lang w:val="ru-RU"/>
        </w:rPr>
        <w:t>САНКТ-ПЕТЕРБУРГСКИЙ</w:t>
      </w:r>
      <w:r w:rsidR="000D6864">
        <w:rPr>
          <w:rFonts w:cs="Arial"/>
          <w:bCs w:val="0"/>
          <w:sz w:val="27"/>
          <w:szCs w:val="27"/>
          <w:lang w:val="ru-RU"/>
        </w:rPr>
        <w:t xml:space="preserve"> </w:t>
      </w:r>
      <w:r w:rsidR="001F426D" w:rsidRPr="005E1040">
        <w:rPr>
          <w:rFonts w:cs="Arial"/>
          <w:bCs w:val="0"/>
          <w:sz w:val="27"/>
          <w:szCs w:val="27"/>
          <w:lang w:val="ru-RU"/>
        </w:rPr>
        <w:t>АКЦИОНЕРНЫЙ КОММЕРЧЕСКИЙ БАНК</w:t>
      </w:r>
    </w:p>
    <w:p w:rsidR="006758E8" w:rsidRPr="005E1040" w:rsidRDefault="001F426D" w:rsidP="005E1040">
      <w:pPr>
        <w:pStyle w:val="1stpage"/>
        <w:ind w:left="284"/>
        <w:jc w:val="left"/>
        <w:rPr>
          <w:rFonts w:cs="Arial"/>
          <w:bCs w:val="0"/>
          <w:sz w:val="27"/>
          <w:szCs w:val="27"/>
          <w:lang w:val="ru-RU"/>
        </w:rPr>
      </w:pPr>
      <w:r w:rsidRPr="005E1040">
        <w:rPr>
          <w:rFonts w:cs="Arial"/>
          <w:bCs w:val="0"/>
          <w:sz w:val="27"/>
          <w:szCs w:val="27"/>
          <w:lang w:val="ru-RU"/>
        </w:rPr>
        <w:t>«ТАВРИЧЕСКИЙ» (открытое акционерное общество)</w:t>
      </w:r>
    </w:p>
    <w:p w:rsidR="006758E8" w:rsidRDefault="006758E8" w:rsidP="006758E8">
      <w:pPr>
        <w:ind w:left="284"/>
        <w:jc w:val="both"/>
        <w:rPr>
          <w:rFonts w:cs="Arial"/>
          <w:sz w:val="28"/>
          <w:szCs w:val="28"/>
          <w:lang w:val="ru-RU"/>
        </w:rPr>
      </w:pPr>
    </w:p>
    <w:p w:rsidR="006758E8" w:rsidRDefault="00F16CBC" w:rsidP="006758E8">
      <w:pPr>
        <w:pStyle w:val="1stpage"/>
        <w:ind w:left="284"/>
        <w:rPr>
          <w:rFonts w:cs="Arial"/>
          <w:bCs w:val="0"/>
          <w:sz w:val="24"/>
          <w:szCs w:val="24"/>
          <w:lang w:val="ru-RU"/>
        </w:rPr>
      </w:pPr>
      <w:r>
        <w:rPr>
          <w:rFonts w:cs="Arial"/>
          <w:bCs w:val="0"/>
          <w:sz w:val="24"/>
          <w:szCs w:val="24"/>
          <w:lang w:val="ru-RU"/>
        </w:rPr>
        <w:t>Годовая ф</w:t>
      </w:r>
      <w:r w:rsidR="001F426D" w:rsidRPr="00CB412A">
        <w:rPr>
          <w:rFonts w:cs="Arial"/>
          <w:bCs w:val="0"/>
          <w:sz w:val="24"/>
          <w:szCs w:val="24"/>
          <w:lang w:val="ru-RU"/>
        </w:rPr>
        <w:t>инансовая отчетность</w:t>
      </w:r>
      <w:r>
        <w:rPr>
          <w:rFonts w:cs="Arial"/>
          <w:bCs w:val="0"/>
          <w:sz w:val="24"/>
          <w:szCs w:val="24"/>
          <w:lang w:val="ru-RU"/>
        </w:rPr>
        <w:t>, подготовленная</w:t>
      </w:r>
      <w:r w:rsidR="001F426D" w:rsidRPr="00CB412A">
        <w:rPr>
          <w:rFonts w:cs="Arial"/>
          <w:bCs w:val="0"/>
          <w:sz w:val="24"/>
          <w:szCs w:val="24"/>
          <w:lang w:val="ru-RU"/>
        </w:rPr>
        <w:t xml:space="preserve"> в соответствии</w:t>
      </w:r>
    </w:p>
    <w:p w:rsidR="006758E8" w:rsidRDefault="001F426D" w:rsidP="006758E8">
      <w:pPr>
        <w:pStyle w:val="1stpage"/>
        <w:ind w:left="284"/>
        <w:rPr>
          <w:rFonts w:cs="Arial"/>
          <w:bCs w:val="0"/>
          <w:sz w:val="24"/>
          <w:szCs w:val="24"/>
          <w:lang w:val="ru-RU"/>
        </w:rPr>
      </w:pPr>
      <w:r w:rsidRPr="00CB412A">
        <w:rPr>
          <w:rFonts w:cs="Arial"/>
          <w:bCs w:val="0"/>
          <w:sz w:val="24"/>
          <w:szCs w:val="24"/>
          <w:lang w:val="ru-RU"/>
        </w:rPr>
        <w:t>с Международными стандартами</w:t>
      </w:r>
    </w:p>
    <w:p w:rsidR="006758E8" w:rsidRDefault="001F426D" w:rsidP="006758E8">
      <w:pPr>
        <w:pStyle w:val="1stpage"/>
        <w:ind w:left="284"/>
        <w:rPr>
          <w:rFonts w:cs="Arial"/>
          <w:bCs w:val="0"/>
          <w:sz w:val="24"/>
          <w:szCs w:val="24"/>
          <w:lang w:val="ru-RU"/>
        </w:rPr>
      </w:pPr>
      <w:r w:rsidRPr="00CB412A">
        <w:rPr>
          <w:rFonts w:cs="Arial"/>
          <w:bCs w:val="0"/>
          <w:sz w:val="24"/>
          <w:szCs w:val="24"/>
          <w:lang w:val="ru-RU"/>
        </w:rPr>
        <w:t>финансовой отчетности</w:t>
      </w:r>
      <w:r w:rsidR="00F16CBC">
        <w:rPr>
          <w:rFonts w:cs="Arial"/>
          <w:bCs w:val="0"/>
          <w:sz w:val="24"/>
          <w:szCs w:val="24"/>
          <w:lang w:val="ru-RU"/>
        </w:rPr>
        <w:t>,</w:t>
      </w:r>
      <w:r w:rsidRPr="00CB412A">
        <w:rPr>
          <w:rFonts w:cs="Arial"/>
          <w:bCs w:val="0"/>
          <w:sz w:val="24"/>
          <w:szCs w:val="24"/>
          <w:lang w:val="ru-RU"/>
        </w:rPr>
        <w:t xml:space="preserve"> и </w:t>
      </w:r>
      <w:r w:rsidRPr="00CB412A">
        <w:rPr>
          <w:rFonts w:cs="Arial"/>
          <w:bCs w:val="0"/>
          <w:sz w:val="24"/>
          <w:szCs w:val="24"/>
          <w:lang w:val="ru-RU"/>
        </w:rPr>
        <w:br/>
      </w:r>
      <w:r w:rsidR="005431EE">
        <w:rPr>
          <w:rFonts w:cs="Arial"/>
          <w:bCs w:val="0"/>
          <w:sz w:val="24"/>
          <w:szCs w:val="24"/>
          <w:lang w:val="ru-RU"/>
        </w:rPr>
        <w:t>а</w:t>
      </w:r>
      <w:r w:rsidR="005431EE" w:rsidRPr="00CB412A">
        <w:rPr>
          <w:rFonts w:cs="Arial"/>
          <w:bCs w:val="0"/>
          <w:sz w:val="24"/>
          <w:szCs w:val="24"/>
          <w:lang w:val="ru-RU"/>
        </w:rPr>
        <w:t xml:space="preserve">удиторское </w:t>
      </w:r>
      <w:r w:rsidRPr="00CB412A">
        <w:rPr>
          <w:rFonts w:cs="Arial"/>
          <w:bCs w:val="0"/>
          <w:sz w:val="24"/>
          <w:szCs w:val="24"/>
          <w:lang w:val="ru-RU"/>
        </w:rPr>
        <w:t>заключение</w:t>
      </w:r>
    </w:p>
    <w:p w:rsidR="006758E8" w:rsidRDefault="006758E8" w:rsidP="006758E8">
      <w:pPr>
        <w:pStyle w:val="1stpage"/>
        <w:ind w:left="284"/>
        <w:rPr>
          <w:rFonts w:cs="Arial"/>
          <w:bCs w:val="0"/>
          <w:sz w:val="28"/>
          <w:szCs w:val="28"/>
          <w:lang w:val="ru-RU"/>
        </w:rPr>
      </w:pPr>
    </w:p>
    <w:p w:rsidR="006758E8" w:rsidRDefault="001F426D" w:rsidP="006758E8">
      <w:pPr>
        <w:pStyle w:val="1stpage"/>
        <w:ind w:left="284"/>
        <w:rPr>
          <w:rFonts w:cs="Arial"/>
          <w:bCs w:val="0"/>
          <w:sz w:val="24"/>
          <w:szCs w:val="24"/>
          <w:lang w:val="ru-RU"/>
        </w:rPr>
      </w:pPr>
      <w:r w:rsidRPr="00CB412A">
        <w:rPr>
          <w:rFonts w:cs="Arial"/>
          <w:bCs w:val="0"/>
          <w:sz w:val="24"/>
          <w:szCs w:val="24"/>
          <w:lang w:val="ru-RU"/>
        </w:rPr>
        <w:t>31 декабря 2014 года</w:t>
      </w: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z w:val="36"/>
          <w:szCs w:val="36"/>
          <w:lang w:val="ru-RU"/>
        </w:rPr>
      </w:pPr>
    </w:p>
    <w:p w:rsidR="00C13218" w:rsidRPr="00B05639" w:rsidRDefault="00C13218" w:rsidP="00137009">
      <w:pPr>
        <w:pStyle w:val="1stpage"/>
        <w:jc w:val="left"/>
        <w:rPr>
          <w:rFonts w:ascii="Georgia" w:hAnsi="Georgia" w:cs="Arial"/>
          <w:bCs w:val="0"/>
          <w:smallCaps/>
          <w:sz w:val="36"/>
          <w:szCs w:val="36"/>
          <w:lang w:val="ru-RU"/>
        </w:rPr>
      </w:pPr>
    </w:p>
    <w:p w:rsidR="00AC14AB" w:rsidRPr="0046683A" w:rsidRDefault="00AC14AB" w:rsidP="00137009">
      <w:pPr>
        <w:pStyle w:val="1stpage"/>
        <w:rPr>
          <w:rFonts w:cs="Arial"/>
          <w:bCs w:val="0"/>
          <w:smallCaps/>
          <w:szCs w:val="24"/>
          <w:highlight w:val="yellow"/>
          <w:lang w:val="ru-RU"/>
        </w:rPr>
        <w:sectPr w:rsidR="00AC14AB" w:rsidRPr="0046683A" w:rsidSect="00782B50">
          <w:headerReference w:type="default" r:id="rId11"/>
          <w:footerReference w:type="even" r:id="rId12"/>
          <w:pgSz w:w="11907" w:h="16840" w:code="9"/>
          <w:pgMar w:top="1258" w:right="851" w:bottom="1134" w:left="1701" w:header="709" w:footer="709" w:gutter="0"/>
          <w:paperSrc w:other="15"/>
          <w:pgNumType w:start="1"/>
          <w:cols w:space="720"/>
          <w:vAlign w:val="center"/>
          <w:noEndnote/>
        </w:sectPr>
      </w:pPr>
    </w:p>
    <w:p w:rsidR="002F7B62" w:rsidRPr="00EE3BC7" w:rsidRDefault="002F7B62" w:rsidP="00137009">
      <w:pPr>
        <w:pStyle w:val="ABC-paragrahinNotes"/>
        <w:spacing w:after="0"/>
        <w:rPr>
          <w:rFonts w:cs="Arial"/>
          <w:b/>
          <w:caps/>
          <w:sz w:val="24"/>
          <w:lang w:val="ru-RU"/>
        </w:rPr>
      </w:pPr>
    </w:p>
    <w:p w:rsidR="00AC14AB" w:rsidRPr="00137009" w:rsidRDefault="00AC14AB" w:rsidP="00137009">
      <w:pPr>
        <w:pStyle w:val="ABC-paragrahinNotes"/>
        <w:spacing w:after="0"/>
        <w:rPr>
          <w:rFonts w:cs="Arial"/>
          <w:b/>
          <w:caps/>
          <w:sz w:val="24"/>
          <w:lang w:val="ru-RU"/>
        </w:rPr>
      </w:pPr>
      <w:r w:rsidRPr="00137009">
        <w:rPr>
          <w:rFonts w:cs="Arial"/>
          <w:b/>
          <w:caps/>
          <w:sz w:val="24"/>
          <w:lang w:val="ru-RU"/>
        </w:rPr>
        <w:t xml:space="preserve">Содержание </w:t>
      </w:r>
    </w:p>
    <w:p w:rsidR="00AC14AB" w:rsidRPr="00B05639" w:rsidRDefault="00AC14AB" w:rsidP="00137009">
      <w:pPr>
        <w:pStyle w:val="StyleABC-paragrahinNotesAfter0pt"/>
        <w:rPr>
          <w:rFonts w:cs="Arial"/>
          <w:sz w:val="20"/>
          <w:lang w:val="ru-RU"/>
        </w:rPr>
      </w:pPr>
    </w:p>
    <w:p w:rsidR="00137009" w:rsidRPr="00B05639" w:rsidRDefault="00137009" w:rsidP="00137009">
      <w:pPr>
        <w:pStyle w:val="StyleABC-paragrahinNotesAfter0pt"/>
        <w:rPr>
          <w:rFonts w:cs="Arial"/>
          <w:sz w:val="20"/>
          <w:lang w:val="ru-RU"/>
        </w:rPr>
      </w:pPr>
    </w:p>
    <w:p w:rsidR="001F426D" w:rsidRDefault="001F426D" w:rsidP="001F426D">
      <w:pPr>
        <w:pStyle w:val="210"/>
        <w:shd w:val="clear" w:color="auto" w:fill="auto"/>
        <w:spacing w:line="461" w:lineRule="exact"/>
        <w:ind w:firstLine="0"/>
        <w:rPr>
          <w:rFonts w:cs="Arial Unicode MS"/>
        </w:rPr>
      </w:pPr>
      <w:r>
        <w:rPr>
          <w:rStyle w:val="25"/>
          <w:b/>
          <w:bCs/>
          <w:color w:val="000000"/>
        </w:rPr>
        <w:t>Содержание</w:t>
      </w:r>
    </w:p>
    <w:p w:rsidR="001F426D" w:rsidRPr="00181441" w:rsidRDefault="001F426D" w:rsidP="001F426D">
      <w:pPr>
        <w:pStyle w:val="210"/>
        <w:shd w:val="clear" w:color="auto" w:fill="auto"/>
        <w:spacing w:line="461" w:lineRule="exact"/>
        <w:ind w:firstLine="0"/>
        <w:rPr>
          <w:rStyle w:val="25"/>
          <w:b/>
          <w:bCs/>
          <w:color w:val="000000"/>
        </w:rPr>
      </w:pPr>
      <w:r>
        <w:rPr>
          <w:rStyle w:val="25"/>
          <w:b/>
          <w:bCs/>
          <w:color w:val="000000"/>
        </w:rPr>
        <w:t>Заключение независимых аудиторов</w:t>
      </w:r>
    </w:p>
    <w:p w:rsidR="003E55F7" w:rsidRPr="001F426D" w:rsidRDefault="003E55F7" w:rsidP="003E55F7">
      <w:pPr>
        <w:pStyle w:val="22"/>
        <w:tabs>
          <w:tab w:val="right" w:leader="dot" w:pos="9434"/>
        </w:tabs>
        <w:rPr>
          <w:rFonts w:cs="Arial Unicode MS"/>
          <w:lang w:val="ru-RU"/>
        </w:rPr>
      </w:pPr>
      <w:r w:rsidRPr="001F426D">
        <w:rPr>
          <w:rStyle w:val="23"/>
          <w:b/>
          <w:bCs/>
          <w:color w:val="000000"/>
          <w:lang w:val="ru-RU"/>
        </w:rPr>
        <w:t>Отчет</w:t>
      </w:r>
      <w:r w:rsidR="000C71C1">
        <w:rPr>
          <w:rStyle w:val="23"/>
          <w:b/>
          <w:bCs/>
          <w:color w:val="000000"/>
          <w:lang w:val="ru-RU"/>
        </w:rPr>
        <w:t xml:space="preserve"> о</w:t>
      </w:r>
      <w:r w:rsidRPr="001F426D">
        <w:rPr>
          <w:rStyle w:val="23"/>
          <w:b/>
          <w:bCs/>
          <w:color w:val="000000"/>
          <w:lang w:val="ru-RU"/>
        </w:rPr>
        <w:t xml:space="preserve"> финансовом положении</w:t>
      </w:r>
      <w:r w:rsidRPr="001F426D">
        <w:rPr>
          <w:rStyle w:val="23"/>
          <w:b/>
          <w:bCs/>
          <w:color w:val="000000"/>
          <w:lang w:val="ru-RU"/>
        </w:rPr>
        <w:tab/>
      </w:r>
      <w:r w:rsidR="00F424DA">
        <w:rPr>
          <w:rStyle w:val="23"/>
          <w:b/>
          <w:bCs/>
          <w:color w:val="000000"/>
          <w:lang w:val="ru-RU"/>
        </w:rPr>
        <w:t>9</w:t>
      </w:r>
    </w:p>
    <w:p w:rsidR="003E55F7" w:rsidRPr="001F426D" w:rsidRDefault="003E55F7" w:rsidP="003E55F7">
      <w:pPr>
        <w:pStyle w:val="22"/>
        <w:tabs>
          <w:tab w:val="right" w:leader="dot" w:pos="9434"/>
        </w:tabs>
        <w:rPr>
          <w:rFonts w:cs="Arial Unicode MS"/>
          <w:lang w:val="ru-RU"/>
        </w:rPr>
      </w:pPr>
      <w:r w:rsidRPr="001F426D">
        <w:rPr>
          <w:rStyle w:val="23"/>
          <w:b/>
          <w:bCs/>
          <w:color w:val="000000"/>
          <w:lang w:val="ru-RU"/>
        </w:rPr>
        <w:t>Отчет о совокупном доходе</w:t>
      </w:r>
      <w:r w:rsidRPr="001F426D">
        <w:rPr>
          <w:rStyle w:val="23"/>
          <w:b/>
          <w:bCs/>
          <w:color w:val="000000"/>
          <w:lang w:val="ru-RU"/>
        </w:rPr>
        <w:tab/>
      </w:r>
      <w:r w:rsidR="00F424DA">
        <w:rPr>
          <w:rStyle w:val="23"/>
          <w:b/>
          <w:bCs/>
          <w:color w:val="000000"/>
          <w:lang w:val="ru-RU"/>
        </w:rPr>
        <w:t>11</w:t>
      </w:r>
    </w:p>
    <w:p w:rsidR="003E55F7" w:rsidRPr="001F426D" w:rsidRDefault="003E55F7" w:rsidP="003E55F7">
      <w:pPr>
        <w:pStyle w:val="22"/>
        <w:tabs>
          <w:tab w:val="right" w:leader="dot" w:pos="9434"/>
        </w:tabs>
        <w:rPr>
          <w:rFonts w:cs="Arial Unicode MS"/>
          <w:lang w:val="ru-RU"/>
        </w:rPr>
      </w:pPr>
      <w:r w:rsidRPr="001F426D">
        <w:rPr>
          <w:rStyle w:val="23"/>
          <w:b/>
          <w:bCs/>
          <w:color w:val="000000"/>
          <w:lang w:val="ru-RU"/>
        </w:rPr>
        <w:t>Отчет о движении денежных средств</w:t>
      </w:r>
      <w:r w:rsidRPr="001F426D">
        <w:rPr>
          <w:rStyle w:val="23"/>
          <w:b/>
          <w:bCs/>
          <w:color w:val="000000"/>
          <w:lang w:val="ru-RU"/>
        </w:rPr>
        <w:tab/>
      </w:r>
      <w:r w:rsidR="00F424DA">
        <w:rPr>
          <w:rStyle w:val="23"/>
          <w:b/>
          <w:bCs/>
          <w:color w:val="000000"/>
          <w:lang w:val="ru-RU"/>
        </w:rPr>
        <w:t>13</w:t>
      </w:r>
    </w:p>
    <w:p w:rsidR="003E55F7" w:rsidRPr="001F426D" w:rsidRDefault="003E55F7" w:rsidP="003E55F7">
      <w:pPr>
        <w:pStyle w:val="22"/>
        <w:tabs>
          <w:tab w:val="right" w:leader="dot" w:pos="9434"/>
        </w:tabs>
        <w:rPr>
          <w:rFonts w:cs="Arial Unicode MS"/>
          <w:lang w:val="ru-RU"/>
        </w:rPr>
      </w:pPr>
      <w:r w:rsidRPr="001F426D">
        <w:rPr>
          <w:rStyle w:val="23"/>
          <w:b/>
          <w:bCs/>
          <w:color w:val="000000"/>
          <w:lang w:val="ru-RU"/>
        </w:rPr>
        <w:t>Отчет об изменениях в собственном капитале</w:t>
      </w:r>
      <w:r w:rsidRPr="001F426D">
        <w:rPr>
          <w:rStyle w:val="23"/>
          <w:b/>
          <w:bCs/>
          <w:color w:val="000000"/>
          <w:lang w:val="ru-RU"/>
        </w:rPr>
        <w:tab/>
      </w:r>
      <w:r w:rsidR="00F424DA">
        <w:rPr>
          <w:rStyle w:val="23"/>
          <w:b/>
          <w:bCs/>
          <w:color w:val="000000"/>
          <w:lang w:val="ru-RU"/>
        </w:rPr>
        <w:t>16</w:t>
      </w:r>
    </w:p>
    <w:p w:rsidR="001F426D" w:rsidRPr="00181441" w:rsidRDefault="001F426D" w:rsidP="001F426D">
      <w:pPr>
        <w:pStyle w:val="210"/>
        <w:shd w:val="clear" w:color="auto" w:fill="auto"/>
        <w:spacing w:line="461" w:lineRule="exact"/>
        <w:ind w:firstLine="0"/>
        <w:rPr>
          <w:rFonts w:cs="Arial Unicode MS"/>
        </w:rPr>
      </w:pPr>
    </w:p>
    <w:p w:rsidR="00AE103B" w:rsidRPr="005E1040" w:rsidRDefault="00A54D11">
      <w:pPr>
        <w:pStyle w:val="12"/>
        <w:rPr>
          <w:rFonts w:asciiTheme="minorHAnsi" w:eastAsiaTheme="minorEastAsia" w:hAnsiTheme="minorHAnsi" w:cstheme="minorBidi"/>
          <w:b/>
          <w:noProof/>
          <w:sz w:val="22"/>
          <w:szCs w:val="22"/>
          <w:lang w:val="ru-RU"/>
        </w:rPr>
      </w:pPr>
      <w:r w:rsidRPr="00A54D11">
        <w:rPr>
          <w:b/>
        </w:rPr>
        <w:fldChar w:fldCharType="begin"/>
      </w:r>
      <w:r w:rsidR="001F426D" w:rsidRPr="005E1040">
        <w:rPr>
          <w:b/>
        </w:rPr>
        <w:instrText>TOC</w:instrText>
      </w:r>
      <w:r w:rsidR="001F426D" w:rsidRPr="005E1040">
        <w:rPr>
          <w:b/>
          <w:lang w:val="ru-RU"/>
        </w:rPr>
        <w:instrText xml:space="preserve"> \</w:instrText>
      </w:r>
      <w:r w:rsidR="001F426D" w:rsidRPr="005E1040">
        <w:rPr>
          <w:b/>
        </w:rPr>
        <w:instrText>o</w:instrText>
      </w:r>
      <w:r w:rsidR="001F426D" w:rsidRPr="005E1040">
        <w:rPr>
          <w:b/>
          <w:lang w:val="ru-RU"/>
        </w:rPr>
        <w:instrText xml:space="preserve"> "1-5" \</w:instrText>
      </w:r>
      <w:r w:rsidR="001F426D" w:rsidRPr="005E1040">
        <w:rPr>
          <w:b/>
        </w:rPr>
        <w:instrText>h</w:instrText>
      </w:r>
      <w:r w:rsidR="001F426D" w:rsidRPr="005E1040">
        <w:rPr>
          <w:b/>
          <w:lang w:val="ru-RU"/>
        </w:rPr>
        <w:instrText xml:space="preserve"> \</w:instrText>
      </w:r>
      <w:r w:rsidR="001F426D" w:rsidRPr="005E1040">
        <w:rPr>
          <w:b/>
        </w:rPr>
        <w:instrText>z</w:instrText>
      </w:r>
      <w:r w:rsidRPr="00A54D11">
        <w:rPr>
          <w:b/>
        </w:rPr>
        <w:fldChar w:fldCharType="separate"/>
      </w:r>
      <w:hyperlink w:anchor="_Toc441479788" w:history="1">
        <w:r w:rsidR="00AE103B" w:rsidRPr="005E1040">
          <w:rPr>
            <w:rStyle w:val="afd"/>
            <w:rFonts w:cs="Arial"/>
            <w:b/>
            <w:noProof/>
            <w:lang w:val="en-US"/>
          </w:rPr>
          <w:t>1</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Основная деятельность Банка</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_Toc441479788 \h </w:instrText>
        </w:r>
        <w:r w:rsidRPr="005E1040">
          <w:rPr>
            <w:b/>
            <w:noProof/>
            <w:webHidden/>
          </w:rPr>
        </w:r>
        <w:r w:rsidRPr="005E1040">
          <w:rPr>
            <w:b/>
            <w:noProof/>
            <w:webHidden/>
          </w:rPr>
          <w:fldChar w:fldCharType="separate"/>
        </w:r>
        <w:r w:rsidR="00AE103B" w:rsidRPr="005E1040">
          <w:rPr>
            <w:b/>
            <w:noProof/>
            <w:webHidden/>
          </w:rPr>
          <w:t>16</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89" w:history="1">
        <w:r w:rsidR="00AE103B" w:rsidRPr="005E1040">
          <w:rPr>
            <w:rStyle w:val="afd"/>
            <w:rFonts w:cs="Arial"/>
            <w:b/>
            <w:noProof/>
            <w:lang w:val="en-US"/>
          </w:rPr>
          <w:t>2</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Экономическая среда осуществления деятельности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_Toc441479789 \h </w:instrText>
        </w:r>
        <w:r w:rsidRPr="005E1040">
          <w:rPr>
            <w:b/>
            <w:noProof/>
            <w:webHidden/>
          </w:rPr>
        </w:r>
        <w:r w:rsidRPr="005E1040">
          <w:rPr>
            <w:b/>
            <w:noProof/>
            <w:webHidden/>
          </w:rPr>
          <w:fldChar w:fldCharType="separate"/>
        </w:r>
        <w:r w:rsidR="00AE103B" w:rsidRPr="005E1040">
          <w:rPr>
            <w:b/>
            <w:noProof/>
            <w:webHidden/>
          </w:rPr>
          <w:t>17</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0" w:history="1">
        <w:r w:rsidR="00AE103B" w:rsidRPr="005E1040">
          <w:rPr>
            <w:rStyle w:val="afd"/>
            <w:rFonts w:cs="Arial"/>
            <w:b/>
            <w:noProof/>
            <w:lang w:val="en-US"/>
          </w:rPr>
          <w:t>3</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Основы</w:t>
        </w:r>
        <w:r w:rsidR="00013DB4">
          <w:rPr>
            <w:rStyle w:val="afd"/>
            <w:rFonts w:cs="Arial"/>
            <w:b/>
            <w:noProof/>
            <w:lang w:val="en-US"/>
          </w:rPr>
          <w:t xml:space="preserve"> </w:t>
        </w:r>
        <w:r w:rsidR="00AE103B" w:rsidRPr="005E1040">
          <w:rPr>
            <w:rStyle w:val="afd"/>
            <w:rFonts w:cs="Arial"/>
            <w:b/>
            <w:noProof/>
            <w:lang w:val="ru-RU"/>
          </w:rPr>
          <w:t>составления отчетности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_Toc441479790 \h </w:instrText>
        </w:r>
        <w:r w:rsidRPr="005E1040">
          <w:rPr>
            <w:b/>
            <w:noProof/>
            <w:webHidden/>
          </w:rPr>
        </w:r>
        <w:r w:rsidRPr="005E1040">
          <w:rPr>
            <w:b/>
            <w:noProof/>
            <w:webHidden/>
          </w:rPr>
          <w:fldChar w:fldCharType="separate"/>
        </w:r>
        <w:r w:rsidR="00AE103B" w:rsidRPr="005E1040">
          <w:rPr>
            <w:b/>
            <w:noProof/>
            <w:webHidden/>
          </w:rPr>
          <w:t>18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1" w:history="1">
        <w:r w:rsidR="00AE103B" w:rsidRPr="005E1040">
          <w:rPr>
            <w:rStyle w:val="afd"/>
            <w:rFonts w:cs="Arial"/>
            <w:b/>
            <w:noProof/>
            <w:lang w:val="en-US"/>
          </w:rPr>
          <w:t>4</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Основные принципы учетной политики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_Toc441479791 \h </w:instrText>
        </w:r>
        <w:r w:rsidRPr="005E1040">
          <w:rPr>
            <w:b/>
            <w:noProof/>
            <w:webHidden/>
          </w:rPr>
        </w:r>
        <w:r w:rsidRPr="005E1040">
          <w:rPr>
            <w:b/>
            <w:noProof/>
            <w:webHidden/>
          </w:rPr>
          <w:fldChar w:fldCharType="separate"/>
        </w:r>
        <w:r w:rsidR="00AE103B" w:rsidRPr="005E1040">
          <w:rPr>
            <w:b/>
            <w:noProof/>
            <w:webHidden/>
          </w:rPr>
          <w:t>28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2" w:history="1">
        <w:r w:rsidR="00AE103B" w:rsidRPr="005E1040">
          <w:rPr>
            <w:rStyle w:val="afd"/>
            <w:rFonts w:cs="Arial"/>
            <w:b/>
            <w:noProof/>
            <w:lang w:val="en-US"/>
          </w:rPr>
          <w:t>5</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Денежные средства и их эквиваленты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_Toc441479792 \h </w:instrText>
        </w:r>
        <w:r w:rsidRPr="005E1040">
          <w:rPr>
            <w:b/>
            <w:noProof/>
            <w:webHidden/>
          </w:rPr>
        </w:r>
        <w:r w:rsidRPr="005E1040">
          <w:rPr>
            <w:b/>
            <w:noProof/>
            <w:webHidden/>
          </w:rPr>
          <w:fldChar w:fldCharType="separate"/>
        </w:r>
        <w:r w:rsidR="00AE103B" w:rsidRPr="005E1040">
          <w:rPr>
            <w:b/>
            <w:noProof/>
            <w:webHidden/>
          </w:rPr>
          <w:t>35</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3" w:history="1">
        <w:r w:rsidR="00AE103B" w:rsidRPr="005E1040">
          <w:rPr>
            <w:rStyle w:val="afd"/>
            <w:rFonts w:cs="Arial"/>
            <w:b/>
            <w:noProof/>
            <w:lang w:val="en-US"/>
          </w:rPr>
          <w:t>6</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Обязательные резервы в Центральном Банке Российской Федерации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_Toc441479793 \h </w:instrText>
        </w:r>
        <w:r w:rsidRPr="005E1040">
          <w:rPr>
            <w:b/>
            <w:noProof/>
            <w:webHidden/>
          </w:rPr>
        </w:r>
        <w:r w:rsidRPr="005E1040">
          <w:rPr>
            <w:b/>
            <w:noProof/>
            <w:webHidden/>
          </w:rPr>
          <w:fldChar w:fldCharType="separate"/>
        </w:r>
        <w:r w:rsidR="00AE103B" w:rsidRPr="005E1040">
          <w:rPr>
            <w:b/>
            <w:noProof/>
            <w:webHidden/>
          </w:rPr>
          <w:t>35</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4" w:history="1">
        <w:r w:rsidR="00AE103B" w:rsidRPr="005E1040">
          <w:rPr>
            <w:rStyle w:val="afd"/>
            <w:rFonts w:cs="Arial"/>
            <w:b/>
            <w:noProof/>
            <w:lang w:val="en-US"/>
          </w:rPr>
          <w:t>7</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Средства в других банках</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_Toc441479794 \h </w:instrText>
        </w:r>
        <w:r w:rsidRPr="005E1040">
          <w:rPr>
            <w:b/>
            <w:noProof/>
            <w:webHidden/>
          </w:rPr>
        </w:r>
        <w:r w:rsidRPr="005E1040">
          <w:rPr>
            <w:b/>
            <w:noProof/>
            <w:webHidden/>
          </w:rPr>
          <w:fldChar w:fldCharType="separate"/>
        </w:r>
        <w:r w:rsidR="00AE103B" w:rsidRPr="005E1040">
          <w:rPr>
            <w:b/>
            <w:noProof/>
            <w:webHidden/>
          </w:rPr>
          <w:t>36</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5" w:history="1">
        <w:r w:rsidR="00AE103B" w:rsidRPr="005E1040">
          <w:rPr>
            <w:rStyle w:val="afd"/>
            <w:rFonts w:cs="Arial"/>
            <w:b/>
            <w:noProof/>
            <w:lang w:val="en-US"/>
          </w:rPr>
          <w:t>8</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Кредиты клиентам</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_Toc441479795 \h </w:instrText>
        </w:r>
        <w:r w:rsidRPr="005E1040">
          <w:rPr>
            <w:b/>
            <w:noProof/>
            <w:webHidden/>
          </w:rPr>
        </w:r>
        <w:r w:rsidRPr="005E1040">
          <w:rPr>
            <w:b/>
            <w:noProof/>
            <w:webHidden/>
          </w:rPr>
          <w:fldChar w:fldCharType="separate"/>
        </w:r>
        <w:r w:rsidR="00AE103B" w:rsidRPr="005E1040">
          <w:rPr>
            <w:b/>
            <w:noProof/>
            <w:webHidden/>
          </w:rPr>
          <w:t>37</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6" w:history="1">
        <w:r w:rsidR="00AE103B" w:rsidRPr="005E1040">
          <w:rPr>
            <w:rStyle w:val="afd"/>
            <w:rFonts w:cs="Arial"/>
            <w:b/>
            <w:noProof/>
            <w:lang w:val="en-US"/>
          </w:rPr>
          <w:t>9</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Ценные бумаги, имеющиеся в наличии для продажи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_Toc441479796 \h </w:instrText>
        </w:r>
        <w:r w:rsidRPr="005E1040">
          <w:rPr>
            <w:b/>
            <w:noProof/>
            <w:webHidden/>
          </w:rPr>
        </w:r>
        <w:r w:rsidRPr="005E1040">
          <w:rPr>
            <w:b/>
            <w:noProof/>
            <w:webHidden/>
          </w:rPr>
          <w:fldChar w:fldCharType="separate"/>
        </w:r>
        <w:r w:rsidR="00AE103B" w:rsidRPr="005E1040">
          <w:rPr>
            <w:b/>
            <w:noProof/>
            <w:webHidden/>
          </w:rPr>
          <w:t>38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7" w:history="1">
        <w:r w:rsidR="00AE103B" w:rsidRPr="005E1040">
          <w:rPr>
            <w:rStyle w:val="afd"/>
            <w:rFonts w:cs="Arial"/>
            <w:b/>
            <w:noProof/>
            <w:lang w:val="en-US"/>
          </w:rPr>
          <w:t>10</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Прочие активы и дебиторская задолженность</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_Toc441479797 \h </w:instrText>
        </w:r>
        <w:r w:rsidRPr="005E1040">
          <w:rPr>
            <w:b/>
            <w:noProof/>
            <w:webHidden/>
          </w:rPr>
        </w:r>
        <w:r w:rsidRPr="005E1040">
          <w:rPr>
            <w:b/>
            <w:noProof/>
            <w:webHidden/>
          </w:rPr>
          <w:fldChar w:fldCharType="separate"/>
        </w:r>
        <w:r w:rsidR="00AE103B" w:rsidRPr="005E1040">
          <w:rPr>
            <w:b/>
            <w:noProof/>
            <w:webHidden/>
          </w:rPr>
          <w:t>41</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8" w:history="1">
        <w:r w:rsidR="00AE103B" w:rsidRPr="005E1040">
          <w:rPr>
            <w:rStyle w:val="afd"/>
            <w:rFonts w:cs="Arial"/>
            <w:b/>
            <w:noProof/>
            <w:lang w:val="en-US"/>
          </w:rPr>
          <w:t>11</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Отложенное налоговое (обязательство)/актив</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_Toc441479798 \h </w:instrText>
        </w:r>
        <w:r w:rsidRPr="005E1040">
          <w:rPr>
            <w:b/>
            <w:noProof/>
            <w:webHidden/>
          </w:rPr>
        </w:r>
        <w:r w:rsidRPr="005E1040">
          <w:rPr>
            <w:b/>
            <w:noProof/>
            <w:webHidden/>
          </w:rPr>
          <w:fldChar w:fldCharType="separate"/>
        </w:r>
        <w:r w:rsidR="00AE103B" w:rsidRPr="005E1040">
          <w:rPr>
            <w:b/>
            <w:noProof/>
            <w:webHidden/>
          </w:rPr>
          <w:t>41</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799" w:history="1">
        <w:r w:rsidR="00AE103B" w:rsidRPr="005E1040">
          <w:rPr>
            <w:rStyle w:val="afd"/>
            <w:rFonts w:cs="Arial"/>
            <w:b/>
            <w:noProof/>
            <w:lang w:val="en-US"/>
          </w:rPr>
          <w:t>12</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Долгосрочные активы, предназначенные для продажи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_Toc441479799 \h </w:instrText>
        </w:r>
        <w:r w:rsidRPr="005E1040">
          <w:rPr>
            <w:b/>
            <w:noProof/>
            <w:webHidden/>
          </w:rPr>
        </w:r>
        <w:r w:rsidRPr="005E1040">
          <w:rPr>
            <w:b/>
            <w:noProof/>
            <w:webHidden/>
          </w:rPr>
          <w:fldChar w:fldCharType="separate"/>
        </w:r>
        <w:r w:rsidR="00AE103B" w:rsidRPr="005E1040">
          <w:rPr>
            <w:b/>
            <w:noProof/>
            <w:webHidden/>
          </w:rPr>
          <w:t>42</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0" w:history="1">
        <w:r w:rsidR="00AE103B" w:rsidRPr="005E1040">
          <w:rPr>
            <w:rStyle w:val="afd"/>
            <w:rFonts w:cs="Arial"/>
            <w:b/>
            <w:noProof/>
            <w:lang w:val="en-US"/>
          </w:rPr>
          <w:t>13</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Инвестиционная недвижимость</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_Toc441479800 \h </w:instrText>
        </w:r>
        <w:r w:rsidRPr="005E1040">
          <w:rPr>
            <w:b/>
            <w:noProof/>
            <w:webHidden/>
          </w:rPr>
        </w:r>
        <w:r w:rsidRPr="005E1040">
          <w:rPr>
            <w:b/>
            <w:noProof/>
            <w:webHidden/>
          </w:rPr>
          <w:fldChar w:fldCharType="separate"/>
        </w:r>
        <w:r w:rsidR="00AE103B" w:rsidRPr="005E1040">
          <w:rPr>
            <w:b/>
            <w:noProof/>
            <w:webHidden/>
          </w:rPr>
          <w:t>44</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1" w:history="1">
        <w:r w:rsidR="00AE103B" w:rsidRPr="005E1040">
          <w:rPr>
            <w:rStyle w:val="afd"/>
            <w:rFonts w:cs="Arial"/>
            <w:b/>
            <w:noProof/>
            <w:lang w:val="en-US"/>
          </w:rPr>
          <w:t>14</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Основные средства и нематериальные активы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_Toc441479801 \h </w:instrText>
        </w:r>
        <w:r w:rsidRPr="005E1040">
          <w:rPr>
            <w:b/>
            <w:noProof/>
            <w:webHidden/>
          </w:rPr>
        </w:r>
        <w:r w:rsidRPr="005E1040">
          <w:rPr>
            <w:b/>
            <w:noProof/>
            <w:webHidden/>
          </w:rPr>
          <w:fldChar w:fldCharType="separate"/>
        </w:r>
        <w:r w:rsidR="00AE103B" w:rsidRPr="005E1040">
          <w:rPr>
            <w:b/>
            <w:noProof/>
            <w:webHidden/>
          </w:rPr>
          <w:t>45</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2" w:history="1">
        <w:r w:rsidR="00AE103B" w:rsidRPr="005E1040">
          <w:rPr>
            <w:rStyle w:val="afd"/>
            <w:rFonts w:cs="Arial"/>
            <w:b/>
            <w:noProof/>
            <w:lang w:val="en-US"/>
          </w:rPr>
          <w:t>15</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Средства других банков</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_Toc441479802 \h </w:instrText>
        </w:r>
        <w:r w:rsidRPr="005E1040">
          <w:rPr>
            <w:b/>
            <w:noProof/>
            <w:webHidden/>
          </w:rPr>
        </w:r>
        <w:r w:rsidRPr="005E1040">
          <w:rPr>
            <w:b/>
            <w:noProof/>
            <w:webHidden/>
          </w:rPr>
          <w:fldChar w:fldCharType="separate"/>
        </w:r>
        <w:r w:rsidR="00AE103B" w:rsidRPr="005E1040">
          <w:rPr>
            <w:b/>
            <w:noProof/>
            <w:webHidden/>
          </w:rPr>
          <w:t>46</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3" w:history="1">
        <w:r w:rsidR="00AE103B" w:rsidRPr="005E1040">
          <w:rPr>
            <w:rStyle w:val="afd"/>
            <w:rFonts w:cs="Arial"/>
            <w:b/>
            <w:noProof/>
            <w:lang w:val="en-US"/>
          </w:rPr>
          <w:t>16</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Счета клиентов</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_Toc441479803 \h </w:instrText>
        </w:r>
        <w:r w:rsidRPr="005E1040">
          <w:rPr>
            <w:b/>
            <w:noProof/>
            <w:webHidden/>
          </w:rPr>
        </w:r>
        <w:r w:rsidRPr="005E1040">
          <w:rPr>
            <w:b/>
            <w:noProof/>
            <w:webHidden/>
          </w:rPr>
          <w:fldChar w:fldCharType="separate"/>
        </w:r>
        <w:r w:rsidR="00AE103B" w:rsidRPr="005E1040">
          <w:rPr>
            <w:b/>
            <w:noProof/>
            <w:webHidden/>
          </w:rPr>
          <w:t>48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4" w:history="1">
        <w:r w:rsidR="00AE103B" w:rsidRPr="005E1040">
          <w:rPr>
            <w:rStyle w:val="afd"/>
            <w:rFonts w:cs="Arial"/>
            <w:b/>
            <w:noProof/>
            <w:lang w:val="en-US"/>
          </w:rPr>
          <w:t>17</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Выпущенные долговые ценные бумаги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_Toc441479804 \h </w:instrText>
        </w:r>
        <w:r w:rsidRPr="005E1040">
          <w:rPr>
            <w:b/>
            <w:noProof/>
            <w:webHidden/>
          </w:rPr>
        </w:r>
        <w:r w:rsidRPr="005E1040">
          <w:rPr>
            <w:b/>
            <w:noProof/>
            <w:webHidden/>
          </w:rPr>
          <w:fldChar w:fldCharType="separate"/>
        </w:r>
        <w:r w:rsidR="00AE103B" w:rsidRPr="005E1040">
          <w:rPr>
            <w:b/>
            <w:noProof/>
            <w:webHidden/>
          </w:rPr>
          <w:t>48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5" w:history="1">
        <w:r w:rsidR="00AE103B" w:rsidRPr="005E1040">
          <w:rPr>
            <w:rStyle w:val="afd"/>
            <w:rFonts w:cs="Arial"/>
            <w:b/>
            <w:noProof/>
            <w:lang w:val="en-US"/>
          </w:rPr>
          <w:t>18</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Субординированные займы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_Toc441479805 \h </w:instrText>
        </w:r>
        <w:r w:rsidRPr="005E1040">
          <w:rPr>
            <w:b/>
            <w:noProof/>
            <w:webHidden/>
          </w:rPr>
        </w:r>
        <w:r w:rsidRPr="005E1040">
          <w:rPr>
            <w:b/>
            <w:noProof/>
            <w:webHidden/>
          </w:rPr>
          <w:fldChar w:fldCharType="separate"/>
        </w:r>
        <w:r w:rsidR="00AE103B" w:rsidRPr="005E1040">
          <w:rPr>
            <w:b/>
            <w:noProof/>
            <w:webHidden/>
          </w:rPr>
          <w:t>49</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6" w:history="1">
        <w:r w:rsidR="00AE103B" w:rsidRPr="005E1040">
          <w:rPr>
            <w:rStyle w:val="afd"/>
            <w:rFonts w:cs="Arial"/>
            <w:b/>
            <w:noProof/>
            <w:lang w:val="en-US"/>
          </w:rPr>
          <w:t>19</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Прочие обязательства и кредиторская задолженность</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_Toc441479806 \h </w:instrText>
        </w:r>
        <w:r w:rsidRPr="005E1040">
          <w:rPr>
            <w:b/>
            <w:noProof/>
            <w:webHidden/>
          </w:rPr>
        </w:r>
        <w:r w:rsidRPr="005E1040">
          <w:rPr>
            <w:b/>
            <w:noProof/>
            <w:webHidden/>
          </w:rPr>
          <w:fldChar w:fldCharType="separate"/>
        </w:r>
        <w:r w:rsidR="00AE103B" w:rsidRPr="005E1040">
          <w:rPr>
            <w:b/>
            <w:noProof/>
            <w:webHidden/>
          </w:rPr>
          <w:t>50</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7" w:history="1">
        <w:r w:rsidR="00AE103B" w:rsidRPr="005E1040">
          <w:rPr>
            <w:rStyle w:val="afd"/>
            <w:rFonts w:cs="Arial"/>
            <w:b/>
            <w:noProof/>
            <w:lang w:val="en-US"/>
          </w:rPr>
          <w:t>20</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Акционерный капитал</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_Toc441479807 \h </w:instrText>
        </w:r>
        <w:r w:rsidRPr="005E1040">
          <w:rPr>
            <w:b/>
            <w:noProof/>
            <w:webHidden/>
          </w:rPr>
        </w:r>
        <w:r w:rsidRPr="005E1040">
          <w:rPr>
            <w:b/>
            <w:noProof/>
            <w:webHidden/>
          </w:rPr>
          <w:fldChar w:fldCharType="separate"/>
        </w:r>
        <w:r w:rsidR="00AE103B" w:rsidRPr="005E1040">
          <w:rPr>
            <w:b/>
            <w:noProof/>
            <w:webHidden/>
          </w:rPr>
          <w:t>51</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8" w:history="1">
        <w:r w:rsidR="00AE103B" w:rsidRPr="005E1040">
          <w:rPr>
            <w:rStyle w:val="afd"/>
            <w:rFonts w:cs="Arial"/>
            <w:b/>
            <w:noProof/>
            <w:lang w:val="en-US"/>
          </w:rPr>
          <w:t>21</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Нераспределенная прибыль</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_Toc441479808 \h </w:instrText>
        </w:r>
        <w:r w:rsidRPr="005E1040">
          <w:rPr>
            <w:b/>
            <w:noProof/>
            <w:webHidden/>
          </w:rPr>
        </w:r>
        <w:r w:rsidRPr="005E1040">
          <w:rPr>
            <w:b/>
            <w:noProof/>
            <w:webHidden/>
          </w:rPr>
          <w:fldChar w:fldCharType="separate"/>
        </w:r>
        <w:r w:rsidR="00AE103B" w:rsidRPr="005E1040">
          <w:rPr>
            <w:b/>
            <w:noProof/>
            <w:webHidden/>
          </w:rPr>
          <w:t>52</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09" w:history="1">
        <w:r w:rsidR="00AE103B" w:rsidRPr="005E1040">
          <w:rPr>
            <w:rStyle w:val="afd"/>
            <w:rFonts w:cs="Arial"/>
            <w:b/>
            <w:noProof/>
            <w:lang w:val="en-US"/>
          </w:rPr>
          <w:t>22</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Процентный доход и расход</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_Toc441479809 \h </w:instrText>
        </w:r>
        <w:r w:rsidRPr="005E1040">
          <w:rPr>
            <w:b/>
            <w:noProof/>
            <w:webHidden/>
          </w:rPr>
        </w:r>
        <w:r w:rsidRPr="005E1040">
          <w:rPr>
            <w:b/>
            <w:noProof/>
            <w:webHidden/>
          </w:rPr>
          <w:fldChar w:fldCharType="separate"/>
        </w:r>
        <w:r w:rsidR="00AE103B" w:rsidRPr="005E1040">
          <w:rPr>
            <w:b/>
            <w:noProof/>
            <w:webHidden/>
          </w:rPr>
          <w:t>52</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0" w:history="1">
        <w:r w:rsidR="00AE103B" w:rsidRPr="005E1040">
          <w:rPr>
            <w:rStyle w:val="afd"/>
            <w:rFonts w:cs="Arial"/>
            <w:b/>
            <w:noProof/>
            <w:lang w:val="en-US"/>
          </w:rPr>
          <w:t>23</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Упущенная выгода по кредитам клиентам</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_Toc441479810 \h </w:instrText>
        </w:r>
        <w:r w:rsidRPr="005E1040">
          <w:rPr>
            <w:b/>
            <w:noProof/>
            <w:webHidden/>
          </w:rPr>
        </w:r>
        <w:r w:rsidRPr="005E1040">
          <w:rPr>
            <w:b/>
            <w:noProof/>
            <w:webHidden/>
          </w:rPr>
          <w:fldChar w:fldCharType="separate"/>
        </w:r>
        <w:r w:rsidR="00AE103B" w:rsidRPr="005E1040">
          <w:rPr>
            <w:b/>
            <w:noProof/>
            <w:webHidden/>
          </w:rPr>
          <w:t>52</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1" w:history="1">
        <w:r w:rsidR="00AE103B" w:rsidRPr="005E1040">
          <w:rPr>
            <w:rStyle w:val="afd"/>
            <w:rFonts w:cs="Arial"/>
            <w:b/>
            <w:noProof/>
            <w:lang w:val="en-US"/>
          </w:rPr>
          <w:t>24</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Чистый доход по комиссионным вознаграждениям</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_Toc441479811 \h </w:instrText>
        </w:r>
        <w:r w:rsidRPr="005E1040">
          <w:rPr>
            <w:b/>
            <w:noProof/>
            <w:webHidden/>
          </w:rPr>
        </w:r>
        <w:r w:rsidRPr="005E1040">
          <w:rPr>
            <w:b/>
            <w:noProof/>
            <w:webHidden/>
          </w:rPr>
          <w:fldChar w:fldCharType="separate"/>
        </w:r>
        <w:r w:rsidR="00AE103B" w:rsidRPr="005E1040">
          <w:rPr>
            <w:b/>
            <w:noProof/>
            <w:webHidden/>
          </w:rPr>
          <w:t>53</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2" w:history="1">
        <w:r w:rsidR="00AE103B" w:rsidRPr="005E1040">
          <w:rPr>
            <w:rStyle w:val="afd"/>
            <w:rFonts w:cs="Arial"/>
            <w:b/>
            <w:noProof/>
            <w:lang w:val="en-US"/>
          </w:rPr>
          <w:t>25</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Прочие операционные доходы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_Toc441479812 \h </w:instrText>
        </w:r>
        <w:r w:rsidRPr="005E1040">
          <w:rPr>
            <w:b/>
            <w:noProof/>
            <w:webHidden/>
          </w:rPr>
        </w:r>
        <w:r w:rsidRPr="005E1040">
          <w:rPr>
            <w:b/>
            <w:noProof/>
            <w:webHidden/>
          </w:rPr>
          <w:fldChar w:fldCharType="separate"/>
        </w:r>
        <w:r w:rsidR="00AE103B" w:rsidRPr="005E1040">
          <w:rPr>
            <w:b/>
            <w:noProof/>
            <w:webHidden/>
          </w:rPr>
          <w:t>53</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3" w:history="1">
        <w:r w:rsidR="00AE103B" w:rsidRPr="005E1040">
          <w:rPr>
            <w:rStyle w:val="afd"/>
            <w:rFonts w:cs="Arial"/>
            <w:b/>
            <w:noProof/>
            <w:lang w:val="en-US"/>
          </w:rPr>
          <w:t>26</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Операционные расходы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_Toc441479813 \h </w:instrText>
        </w:r>
        <w:r w:rsidRPr="005E1040">
          <w:rPr>
            <w:b/>
            <w:noProof/>
            <w:webHidden/>
          </w:rPr>
        </w:r>
        <w:r w:rsidRPr="005E1040">
          <w:rPr>
            <w:b/>
            <w:noProof/>
            <w:webHidden/>
          </w:rPr>
          <w:fldChar w:fldCharType="separate"/>
        </w:r>
        <w:r w:rsidR="00AE103B" w:rsidRPr="005E1040">
          <w:rPr>
            <w:b/>
            <w:noProof/>
            <w:webHidden/>
          </w:rPr>
          <w:t>54</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4" w:history="1">
        <w:r w:rsidR="00AE103B" w:rsidRPr="005E1040">
          <w:rPr>
            <w:rStyle w:val="afd"/>
            <w:rFonts w:cs="Arial"/>
            <w:b/>
            <w:noProof/>
            <w:lang w:val="en-US"/>
          </w:rPr>
          <w:t>27</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Убытки от операций по уступке прав требования</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_Toc441479814 \h </w:instrText>
        </w:r>
        <w:r w:rsidRPr="005E1040">
          <w:rPr>
            <w:b/>
            <w:noProof/>
            <w:webHidden/>
          </w:rPr>
        </w:r>
        <w:r w:rsidRPr="005E1040">
          <w:rPr>
            <w:b/>
            <w:noProof/>
            <w:webHidden/>
          </w:rPr>
          <w:fldChar w:fldCharType="separate"/>
        </w:r>
        <w:r w:rsidR="00AE103B" w:rsidRPr="005E1040">
          <w:rPr>
            <w:b/>
            <w:noProof/>
            <w:webHidden/>
          </w:rPr>
          <w:t>54</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5" w:history="1">
        <w:r w:rsidR="00AE103B" w:rsidRPr="005E1040">
          <w:rPr>
            <w:rStyle w:val="afd"/>
            <w:rFonts w:cs="Arial"/>
            <w:b/>
            <w:noProof/>
            <w:lang w:val="en-US"/>
          </w:rPr>
          <w:t>28</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Налогообложение</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_Toc441479815 \h </w:instrText>
        </w:r>
        <w:r w:rsidRPr="005E1040">
          <w:rPr>
            <w:b/>
            <w:noProof/>
            <w:webHidden/>
          </w:rPr>
        </w:r>
        <w:r w:rsidRPr="005E1040">
          <w:rPr>
            <w:b/>
            <w:noProof/>
            <w:webHidden/>
          </w:rPr>
          <w:fldChar w:fldCharType="separate"/>
        </w:r>
        <w:r w:rsidR="00AE103B" w:rsidRPr="005E1040">
          <w:rPr>
            <w:b/>
            <w:noProof/>
            <w:webHidden/>
          </w:rPr>
          <w:t>55</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6" w:history="1">
        <w:r w:rsidR="00AE103B" w:rsidRPr="005E1040">
          <w:rPr>
            <w:rStyle w:val="afd"/>
            <w:rFonts w:cs="Arial"/>
            <w:b/>
            <w:noProof/>
            <w:lang w:val="en-US"/>
          </w:rPr>
          <w:t>29</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Дивиденды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_Toc441479816 \h </w:instrText>
        </w:r>
        <w:r w:rsidRPr="005E1040">
          <w:rPr>
            <w:b/>
            <w:noProof/>
            <w:webHidden/>
          </w:rPr>
        </w:r>
        <w:r w:rsidRPr="005E1040">
          <w:rPr>
            <w:b/>
            <w:noProof/>
            <w:webHidden/>
          </w:rPr>
          <w:fldChar w:fldCharType="separate"/>
        </w:r>
        <w:r w:rsidR="00AE103B" w:rsidRPr="005E1040">
          <w:rPr>
            <w:b/>
            <w:noProof/>
            <w:webHidden/>
          </w:rPr>
          <w:t>56</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7" w:history="1">
        <w:r w:rsidR="00AE103B" w:rsidRPr="005E1040">
          <w:rPr>
            <w:rStyle w:val="afd"/>
            <w:rFonts w:cs="Arial"/>
            <w:b/>
            <w:noProof/>
            <w:lang w:val="en-US"/>
          </w:rPr>
          <w:t>30</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Сегментный анализ</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_Toc441479817 \h </w:instrText>
        </w:r>
        <w:r w:rsidRPr="005E1040">
          <w:rPr>
            <w:b/>
            <w:noProof/>
            <w:webHidden/>
          </w:rPr>
        </w:r>
        <w:r w:rsidRPr="005E1040">
          <w:rPr>
            <w:b/>
            <w:noProof/>
            <w:webHidden/>
          </w:rPr>
          <w:fldChar w:fldCharType="separate"/>
        </w:r>
        <w:r w:rsidR="00AE103B" w:rsidRPr="005E1040">
          <w:rPr>
            <w:b/>
            <w:noProof/>
            <w:webHidden/>
          </w:rPr>
          <w:t>56</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8" w:history="1">
        <w:r w:rsidR="00AE103B" w:rsidRPr="005E1040">
          <w:rPr>
            <w:rStyle w:val="afd"/>
            <w:rFonts w:cs="Arial"/>
            <w:b/>
            <w:noProof/>
            <w:lang w:val="en-US"/>
          </w:rPr>
          <w:t>31</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Условные и непредвиденные обязательства</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_Toc441479818 \h </w:instrText>
        </w:r>
        <w:r w:rsidRPr="005E1040">
          <w:rPr>
            <w:b/>
            <w:noProof/>
            <w:webHidden/>
          </w:rPr>
        </w:r>
        <w:r w:rsidRPr="005E1040">
          <w:rPr>
            <w:b/>
            <w:noProof/>
            <w:webHidden/>
          </w:rPr>
          <w:fldChar w:fldCharType="separate"/>
        </w:r>
        <w:r w:rsidR="00AE103B" w:rsidRPr="005E1040">
          <w:rPr>
            <w:b/>
            <w:noProof/>
            <w:webHidden/>
          </w:rPr>
          <w:t>66</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19" w:history="1">
        <w:r w:rsidR="00AE103B" w:rsidRPr="005E1040">
          <w:rPr>
            <w:rStyle w:val="afd"/>
            <w:rFonts w:cs="Arial"/>
            <w:b/>
            <w:noProof/>
            <w:lang w:val="en-US"/>
          </w:rPr>
          <w:t>32</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Справедливая стоимость финансовых инструментов</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_Toc441479819 \h </w:instrText>
        </w:r>
        <w:r w:rsidRPr="005E1040">
          <w:rPr>
            <w:b/>
            <w:noProof/>
            <w:webHidden/>
          </w:rPr>
        </w:r>
        <w:r w:rsidRPr="005E1040">
          <w:rPr>
            <w:b/>
            <w:noProof/>
            <w:webHidden/>
          </w:rPr>
          <w:fldChar w:fldCharType="separate"/>
        </w:r>
        <w:r w:rsidR="00AE103B" w:rsidRPr="005E1040">
          <w:rPr>
            <w:b/>
            <w:noProof/>
            <w:webHidden/>
          </w:rPr>
          <w:t>67</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20" w:history="1">
        <w:r w:rsidR="00AE103B" w:rsidRPr="005E1040">
          <w:rPr>
            <w:rStyle w:val="afd"/>
            <w:rFonts w:cs="Arial"/>
            <w:b/>
            <w:noProof/>
            <w:lang w:val="en-US"/>
          </w:rPr>
          <w:t>33</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Управление финансовым риском</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_Toc441479820 \h </w:instrText>
        </w:r>
        <w:r w:rsidRPr="005E1040">
          <w:rPr>
            <w:b/>
            <w:noProof/>
            <w:webHidden/>
          </w:rPr>
        </w:r>
        <w:r w:rsidRPr="005E1040">
          <w:rPr>
            <w:b/>
            <w:noProof/>
            <w:webHidden/>
          </w:rPr>
          <w:fldChar w:fldCharType="separate"/>
        </w:r>
        <w:r w:rsidR="00AE103B" w:rsidRPr="005E1040">
          <w:rPr>
            <w:b/>
            <w:noProof/>
            <w:webHidden/>
          </w:rPr>
          <w:t>68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21" w:history="1">
        <w:r w:rsidR="00AE103B" w:rsidRPr="005E1040">
          <w:rPr>
            <w:rStyle w:val="afd"/>
            <w:rFonts w:cs="Arial"/>
            <w:b/>
            <w:noProof/>
            <w:lang w:val="en-US"/>
          </w:rPr>
          <w:t>34</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Управление капиталом</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_Toc441479821 \h </w:instrText>
        </w:r>
        <w:r w:rsidRPr="005E1040">
          <w:rPr>
            <w:b/>
            <w:noProof/>
            <w:webHidden/>
          </w:rPr>
        </w:r>
        <w:r w:rsidRPr="005E1040">
          <w:rPr>
            <w:b/>
            <w:noProof/>
            <w:webHidden/>
          </w:rPr>
          <w:fldChar w:fldCharType="separate"/>
        </w:r>
        <w:r w:rsidR="00AE103B" w:rsidRPr="005E1040">
          <w:rPr>
            <w:b/>
            <w:noProof/>
            <w:webHidden/>
          </w:rPr>
          <w:t>87</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22" w:history="1">
        <w:r w:rsidR="00AE103B" w:rsidRPr="005E1040">
          <w:rPr>
            <w:rStyle w:val="afd"/>
            <w:rFonts w:cs="Arial"/>
            <w:b/>
            <w:noProof/>
            <w:lang w:val="en-US"/>
          </w:rPr>
          <w:t>35</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Операции со связанными сторонами</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_Toc441479822 \h </w:instrText>
        </w:r>
        <w:r w:rsidRPr="005E1040">
          <w:rPr>
            <w:b/>
            <w:noProof/>
            <w:webHidden/>
          </w:rPr>
        </w:r>
        <w:r w:rsidRPr="005E1040">
          <w:rPr>
            <w:b/>
            <w:noProof/>
            <w:webHidden/>
          </w:rPr>
          <w:fldChar w:fldCharType="separate"/>
        </w:r>
        <w:r w:rsidR="00AE103B" w:rsidRPr="005E1040">
          <w:rPr>
            <w:b/>
            <w:noProof/>
            <w:webHidden/>
          </w:rPr>
          <w:t>88</w:t>
        </w:r>
        <w:r w:rsidRPr="005E1040">
          <w:rPr>
            <w:b/>
            <w:noProof/>
            <w:webHidden/>
          </w:rPr>
          <w:fldChar w:fldCharType="end"/>
        </w:r>
      </w:hyperlink>
    </w:p>
    <w:p w:rsidR="00AE103B" w:rsidRPr="005E1040" w:rsidRDefault="00A54D11">
      <w:pPr>
        <w:pStyle w:val="12"/>
        <w:rPr>
          <w:rFonts w:asciiTheme="minorHAnsi" w:eastAsiaTheme="minorEastAsia" w:hAnsiTheme="minorHAnsi" w:cstheme="minorBidi"/>
          <w:b/>
          <w:noProof/>
          <w:sz w:val="22"/>
          <w:szCs w:val="22"/>
          <w:lang w:val="ru-RU"/>
        </w:rPr>
      </w:pPr>
      <w:hyperlink w:anchor="_Toc441479824" w:history="1">
        <w:r w:rsidR="00AE103B" w:rsidRPr="005E1040">
          <w:rPr>
            <w:rStyle w:val="afd"/>
            <w:rFonts w:cs="Arial"/>
            <w:b/>
            <w:noProof/>
            <w:lang w:val="en-US"/>
          </w:rPr>
          <w:t>36</w:t>
        </w:r>
        <w:r w:rsidR="00AE103B" w:rsidRPr="005E1040">
          <w:rPr>
            <w:rFonts w:asciiTheme="minorHAnsi" w:eastAsiaTheme="minorEastAsia" w:hAnsiTheme="minorHAnsi" w:cstheme="minorBidi"/>
            <w:b/>
            <w:noProof/>
            <w:sz w:val="22"/>
            <w:szCs w:val="22"/>
            <w:lang w:val="ru-RU"/>
          </w:rPr>
          <w:tab/>
        </w:r>
        <w:r w:rsidR="00AE103B" w:rsidRPr="005E1040">
          <w:rPr>
            <w:rStyle w:val="afd"/>
            <w:rFonts w:cs="Arial"/>
            <w:b/>
            <w:noProof/>
            <w:lang w:val="ru-RU"/>
          </w:rPr>
          <w:t>События после отчетной даты</w:t>
        </w:r>
        <w:r w:rsidR="00AE103B" w:rsidRPr="005E1040">
          <w:rPr>
            <w:b/>
            <w:noProof/>
            <w:webHidden/>
          </w:rPr>
          <w:tab/>
        </w:r>
        <w:r w:rsidRPr="005E1040">
          <w:rPr>
            <w:b/>
            <w:noProof/>
            <w:webHidden/>
          </w:rPr>
          <w:fldChar w:fldCharType="begin"/>
        </w:r>
        <w:r w:rsidR="00AE103B" w:rsidRPr="005E1040">
          <w:rPr>
            <w:b/>
            <w:noProof/>
            <w:webHidden/>
          </w:rPr>
          <w:instrText xml:space="preserve"> PAGEREF _Toc441479824 \h </w:instrText>
        </w:r>
        <w:r w:rsidRPr="005E1040">
          <w:rPr>
            <w:b/>
            <w:noProof/>
            <w:webHidden/>
          </w:rPr>
        </w:r>
        <w:r w:rsidRPr="005E1040">
          <w:rPr>
            <w:b/>
            <w:noProof/>
            <w:webHidden/>
          </w:rPr>
          <w:fldChar w:fldCharType="separate"/>
        </w:r>
        <w:r w:rsidR="00AE103B" w:rsidRPr="005E1040">
          <w:rPr>
            <w:b/>
            <w:noProof/>
            <w:webHidden/>
          </w:rPr>
          <w:t>95</w:t>
        </w:r>
        <w:r w:rsidRPr="005E1040">
          <w:rPr>
            <w:b/>
            <w:noProof/>
            <w:webHidden/>
          </w:rPr>
          <w:fldChar w:fldCharType="end"/>
        </w:r>
      </w:hyperlink>
    </w:p>
    <w:p w:rsidR="00AC14AB" w:rsidRPr="005E1040" w:rsidRDefault="00A54D11" w:rsidP="001F426D">
      <w:pPr>
        <w:pStyle w:val="Name"/>
        <w:tabs>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 w:val="left" w:pos="-528"/>
          <w:tab w:val="left" w:pos="993"/>
          <w:tab w:val="right" w:leader="dot" w:pos="9356"/>
        </w:tabs>
        <w:ind w:left="993" w:right="1984" w:hanging="993"/>
        <w:rPr>
          <w:rFonts w:cs="Arial"/>
          <w:spacing w:val="0"/>
          <w:sz w:val="18"/>
          <w:szCs w:val="18"/>
          <w:highlight w:val="yellow"/>
          <w:lang w:val="ru-RU"/>
        </w:rPr>
      </w:pPr>
      <w:r w:rsidRPr="005E1040">
        <w:fldChar w:fldCharType="end"/>
      </w:r>
    </w:p>
    <w:p w:rsidR="00AC14AB" w:rsidRPr="005E1040" w:rsidRDefault="00AC14AB" w:rsidP="00137009">
      <w:pPr>
        <w:pStyle w:val="ABC-Comments"/>
        <w:rPr>
          <w:rFonts w:cs="Arial"/>
          <w:b/>
          <w:color w:val="auto"/>
          <w:szCs w:val="24"/>
          <w:highlight w:val="yellow"/>
          <w:lang w:val="ru-RU"/>
        </w:rPr>
      </w:pPr>
    </w:p>
    <w:p w:rsidR="00AC14AB" w:rsidRPr="005E1040" w:rsidRDefault="00AC14AB" w:rsidP="00137009">
      <w:pPr>
        <w:pStyle w:val="ABC-paragrahinNotes"/>
        <w:rPr>
          <w:rFonts w:cs="Arial"/>
          <w:b/>
          <w:smallCaps/>
          <w:szCs w:val="24"/>
          <w:highlight w:val="yellow"/>
          <w:lang w:val="ru-RU"/>
        </w:rPr>
        <w:sectPr w:rsidR="00AC14AB" w:rsidRPr="005E1040" w:rsidSect="00127F73">
          <w:headerReference w:type="default" r:id="rId13"/>
          <w:footerReference w:type="default" r:id="rId14"/>
          <w:pgSz w:w="11907" w:h="16840" w:code="9"/>
          <w:pgMar w:top="1418" w:right="851" w:bottom="1418" w:left="1701" w:header="737" w:footer="737" w:gutter="0"/>
          <w:paperSrc w:other="2"/>
          <w:pgNumType w:start="1"/>
          <w:cols w:space="720"/>
          <w:noEndnote/>
        </w:sectPr>
      </w:pPr>
    </w:p>
    <w:p w:rsidR="003E55F7" w:rsidRPr="00746B32" w:rsidRDefault="003E55F7" w:rsidP="00746B32">
      <w:pPr>
        <w:jc w:val="right"/>
        <w:rPr>
          <w:rFonts w:eastAsia="Calibri" w:cs="Arial"/>
          <w:b/>
          <w:color w:val="000000"/>
          <w:sz w:val="22"/>
          <w:szCs w:val="22"/>
          <w:lang w:val="ru-RU" w:eastAsia="en-US"/>
        </w:rPr>
      </w:pPr>
      <w:r w:rsidRPr="00746B32">
        <w:rPr>
          <w:rFonts w:eastAsia="Calibri" w:cs="Arial"/>
          <w:b/>
          <w:color w:val="000000"/>
          <w:sz w:val="22"/>
          <w:szCs w:val="22"/>
          <w:lang w:val="ru-RU" w:eastAsia="en-US"/>
        </w:rPr>
        <w:lastRenderedPageBreak/>
        <w:t xml:space="preserve">Акционерам Санкт-Петербургского акционерного </w:t>
      </w:r>
    </w:p>
    <w:p w:rsidR="003E55F7" w:rsidRPr="00746B32" w:rsidRDefault="003E55F7" w:rsidP="00746B32">
      <w:pPr>
        <w:jc w:val="right"/>
        <w:rPr>
          <w:rFonts w:eastAsia="Calibri" w:cs="Arial"/>
          <w:b/>
          <w:color w:val="000000"/>
          <w:sz w:val="22"/>
          <w:szCs w:val="22"/>
          <w:lang w:val="ru-RU" w:eastAsia="en-US"/>
        </w:rPr>
      </w:pPr>
      <w:r w:rsidRPr="00746B32">
        <w:rPr>
          <w:rFonts w:eastAsia="Calibri" w:cs="Arial"/>
          <w:b/>
          <w:color w:val="000000"/>
          <w:sz w:val="22"/>
          <w:szCs w:val="22"/>
          <w:lang w:val="ru-RU" w:eastAsia="en-US"/>
        </w:rPr>
        <w:t xml:space="preserve">коммерческого банка «Таврический» </w:t>
      </w:r>
    </w:p>
    <w:p w:rsidR="003E55F7" w:rsidRPr="00746B32" w:rsidRDefault="003E55F7" w:rsidP="00746B32">
      <w:pPr>
        <w:jc w:val="right"/>
        <w:rPr>
          <w:rFonts w:eastAsia="Calibri" w:cs="Arial"/>
          <w:b/>
          <w:color w:val="000000"/>
          <w:sz w:val="22"/>
          <w:szCs w:val="22"/>
          <w:lang w:val="ru-RU" w:eastAsia="en-US"/>
        </w:rPr>
      </w:pPr>
      <w:r w:rsidRPr="00746B32">
        <w:rPr>
          <w:rFonts w:eastAsia="Calibri" w:cs="Arial"/>
          <w:b/>
          <w:color w:val="000000"/>
          <w:sz w:val="22"/>
          <w:szCs w:val="22"/>
          <w:lang w:val="ru-RU" w:eastAsia="en-US"/>
        </w:rPr>
        <w:t xml:space="preserve">(открытое акционерное общество) </w:t>
      </w:r>
    </w:p>
    <w:p w:rsidR="003E55F7" w:rsidRPr="00746B32" w:rsidRDefault="003E55F7" w:rsidP="00746B32">
      <w:pPr>
        <w:ind w:left="3969"/>
        <w:rPr>
          <w:rFonts w:cs="Arial"/>
          <w:bCs/>
          <w:sz w:val="22"/>
          <w:szCs w:val="22"/>
          <w:lang w:val="ru-RU"/>
        </w:rPr>
      </w:pPr>
    </w:p>
    <w:p w:rsidR="003E55F7" w:rsidRPr="00746B32" w:rsidRDefault="003E55F7" w:rsidP="00262397">
      <w:pPr>
        <w:jc w:val="center"/>
        <w:rPr>
          <w:rFonts w:cs="Arial"/>
          <w:b/>
          <w:sz w:val="22"/>
          <w:szCs w:val="22"/>
          <w:lang w:val="ru-RU"/>
        </w:rPr>
      </w:pPr>
      <w:r w:rsidRPr="00746B32">
        <w:rPr>
          <w:rFonts w:cs="Arial"/>
          <w:b/>
          <w:sz w:val="22"/>
          <w:szCs w:val="22"/>
          <w:lang w:val="ru-RU"/>
        </w:rPr>
        <w:t>АУДИТОРСКОЕ ЗАКЛЮЧЕНИЕ</w:t>
      </w:r>
    </w:p>
    <w:p w:rsidR="003E55F7" w:rsidRPr="00746B32" w:rsidRDefault="003E55F7" w:rsidP="00262397">
      <w:pPr>
        <w:jc w:val="center"/>
        <w:rPr>
          <w:rFonts w:cs="Arial"/>
          <w:b/>
          <w:sz w:val="22"/>
          <w:szCs w:val="22"/>
          <w:lang w:val="ru-RU"/>
        </w:rPr>
      </w:pPr>
      <w:r w:rsidRPr="00746B32">
        <w:rPr>
          <w:rFonts w:cs="Arial"/>
          <w:b/>
          <w:sz w:val="22"/>
          <w:szCs w:val="22"/>
          <w:lang w:val="ru-RU"/>
        </w:rPr>
        <w:t>независимой аудиторской компании ООО «Росэкспертиза»</w:t>
      </w:r>
    </w:p>
    <w:p w:rsidR="003E55F7" w:rsidRPr="00746B32" w:rsidRDefault="003E55F7" w:rsidP="00262397">
      <w:pPr>
        <w:jc w:val="center"/>
        <w:rPr>
          <w:rFonts w:cs="Arial"/>
          <w:b/>
          <w:sz w:val="22"/>
          <w:szCs w:val="22"/>
          <w:lang w:val="ru-RU"/>
        </w:rPr>
      </w:pPr>
      <w:r w:rsidRPr="00746B32">
        <w:rPr>
          <w:rFonts w:cs="Arial"/>
          <w:b/>
          <w:sz w:val="22"/>
          <w:szCs w:val="22"/>
          <w:lang w:val="ru-RU"/>
        </w:rPr>
        <w:t xml:space="preserve">по годовой финансовой отчетности </w:t>
      </w:r>
      <w:r w:rsidRPr="00746B32">
        <w:rPr>
          <w:rFonts w:eastAsia="Calibri" w:cs="Arial"/>
          <w:b/>
          <w:color w:val="000000"/>
          <w:sz w:val="22"/>
          <w:szCs w:val="22"/>
          <w:lang w:val="ru-RU" w:eastAsia="en-US"/>
        </w:rPr>
        <w:t xml:space="preserve">Санкт-Петербургского акционерного коммерческого банка «Таврический» (открытое акционерное общество) </w:t>
      </w:r>
      <w:r w:rsidRPr="00746B32">
        <w:rPr>
          <w:rFonts w:cs="Arial"/>
          <w:b/>
          <w:sz w:val="22"/>
          <w:szCs w:val="22"/>
          <w:lang w:val="ru-RU"/>
        </w:rPr>
        <w:t>за 2014 год, подготовленной в</w:t>
      </w:r>
      <w:r w:rsidR="008137D4" w:rsidRPr="00746B32">
        <w:rPr>
          <w:rFonts w:cs="Arial"/>
          <w:b/>
          <w:sz w:val="22"/>
          <w:szCs w:val="22"/>
          <w:lang w:val="ru-RU"/>
        </w:rPr>
        <w:t xml:space="preserve"> </w:t>
      </w:r>
      <w:r w:rsidRPr="00746B32">
        <w:rPr>
          <w:rFonts w:cs="Arial"/>
          <w:b/>
          <w:sz w:val="22"/>
          <w:szCs w:val="22"/>
          <w:lang w:val="ru-RU"/>
        </w:rPr>
        <w:t>соответствии с Международными стандартами финансовой отчетности</w:t>
      </w:r>
    </w:p>
    <w:p w:rsidR="003E55F7" w:rsidRPr="00746B32" w:rsidRDefault="003E55F7" w:rsidP="00262397">
      <w:pPr>
        <w:ind w:firstLine="540"/>
        <w:jc w:val="center"/>
        <w:rPr>
          <w:rFonts w:cs="Arial"/>
          <w:sz w:val="22"/>
          <w:szCs w:val="22"/>
          <w:lang w:val="ru-RU"/>
        </w:rPr>
      </w:pPr>
    </w:p>
    <w:p w:rsidR="003E55F7" w:rsidRPr="00746B32" w:rsidRDefault="003E55F7" w:rsidP="00746B32">
      <w:pPr>
        <w:pStyle w:val="ad"/>
        <w:jc w:val="left"/>
        <w:rPr>
          <w:rFonts w:cs="Arial"/>
          <w:sz w:val="22"/>
          <w:szCs w:val="22"/>
          <w:lang w:val="ru-RU"/>
        </w:rPr>
      </w:pPr>
      <w:r w:rsidRPr="00746B32">
        <w:rPr>
          <w:rFonts w:cs="Arial"/>
          <w:b/>
          <w:bCs/>
          <w:sz w:val="22"/>
          <w:szCs w:val="22"/>
          <w:u w:val="single"/>
          <w:lang w:val="ru-RU"/>
        </w:rPr>
        <w:t>Аудируемое лицо:</w:t>
      </w:r>
    </w:p>
    <w:p w:rsidR="003E55F7" w:rsidRPr="00746B32" w:rsidRDefault="003E55F7" w:rsidP="00746B32">
      <w:pPr>
        <w:pStyle w:val="ad"/>
        <w:jc w:val="left"/>
        <w:rPr>
          <w:rFonts w:cs="Arial"/>
          <w:sz w:val="22"/>
          <w:szCs w:val="22"/>
          <w:lang w:val="ru-RU"/>
        </w:rPr>
      </w:pP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Наименование: Санкт-Петербургский акционерный коммерческий банк «Таврический» (открытое акционерное общество).</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 xml:space="preserve">Зарегистрировано Центральным банком Российской Федерации </w:t>
      </w:r>
      <w:r w:rsidRPr="00746B32">
        <w:rPr>
          <w:rFonts w:cs="Arial"/>
          <w:color w:val="000000" w:themeColor="text1"/>
          <w:spacing w:val="-3"/>
          <w:sz w:val="22"/>
          <w:lang w:val="ru-RU"/>
        </w:rPr>
        <w:t>21 апреля 1993</w:t>
      </w:r>
      <w:r w:rsidRPr="00746B32">
        <w:rPr>
          <w:rFonts w:cs="Arial"/>
          <w:color w:val="000000" w:themeColor="text1"/>
          <w:spacing w:val="-3"/>
          <w:sz w:val="22"/>
        </w:rPr>
        <w:t> </w:t>
      </w:r>
      <w:r w:rsidRPr="00746B32">
        <w:rPr>
          <w:rFonts w:cs="Arial"/>
          <w:color w:val="000000" w:themeColor="text1"/>
          <w:spacing w:val="-3"/>
          <w:sz w:val="22"/>
          <w:lang w:val="ru-RU"/>
        </w:rPr>
        <w:t>года</w:t>
      </w:r>
      <w:r w:rsidRPr="00746B32">
        <w:rPr>
          <w:rFonts w:cs="Arial"/>
          <w:sz w:val="22"/>
          <w:szCs w:val="22"/>
          <w:lang w:val="ru-RU"/>
        </w:rPr>
        <w:t xml:space="preserve">, регистрационный номер </w:t>
      </w:r>
      <w:r w:rsidRPr="00746B32">
        <w:rPr>
          <w:rFonts w:cs="Arial"/>
          <w:color w:val="000000" w:themeColor="text1"/>
          <w:spacing w:val="-3"/>
          <w:sz w:val="22"/>
          <w:lang w:val="ru-RU"/>
        </w:rPr>
        <w:t>2304</w:t>
      </w:r>
      <w:r w:rsidRPr="00746B32">
        <w:rPr>
          <w:rFonts w:cs="Arial"/>
          <w:sz w:val="22"/>
          <w:szCs w:val="22"/>
          <w:lang w:val="ru-RU"/>
        </w:rPr>
        <w:t>.</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Государственный регистрационный номер: 1027800000315, внесено в Единый государственный реестр юридических лиц Управлением Федеральной налоговой службы по Санкт-Петербургу</w:t>
      </w:r>
      <w:r w:rsidR="00D57CED">
        <w:rPr>
          <w:rFonts w:cs="Arial"/>
          <w:sz w:val="22"/>
          <w:szCs w:val="22"/>
          <w:lang w:val="ru-RU"/>
        </w:rPr>
        <w:t xml:space="preserve"> </w:t>
      </w:r>
      <w:r w:rsidRPr="00746B32">
        <w:rPr>
          <w:rFonts w:cs="Arial"/>
          <w:sz w:val="22"/>
          <w:szCs w:val="22"/>
          <w:lang w:val="ru-RU"/>
        </w:rPr>
        <w:t xml:space="preserve">9 августа 2002 года. </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Место нахождения: 191123, Российская Федерация, г. Санкт-Петербург, ул. Радищева, дом 39.</w:t>
      </w:r>
    </w:p>
    <w:p w:rsidR="003E55F7" w:rsidRPr="00746B32" w:rsidRDefault="003E55F7" w:rsidP="00746B32">
      <w:pPr>
        <w:rPr>
          <w:sz w:val="16"/>
          <w:szCs w:val="16"/>
          <w:lang w:val="ru-RU"/>
        </w:rPr>
      </w:pPr>
    </w:p>
    <w:p w:rsidR="003E55F7" w:rsidRPr="00746B32" w:rsidRDefault="003E55F7" w:rsidP="00746B32">
      <w:pPr>
        <w:jc w:val="both"/>
        <w:rPr>
          <w:rFonts w:cs="Arial"/>
          <w:sz w:val="22"/>
          <w:szCs w:val="22"/>
        </w:rPr>
      </w:pPr>
      <w:r w:rsidRPr="00746B32">
        <w:rPr>
          <w:rFonts w:cs="Arial"/>
          <w:b/>
          <w:bCs/>
          <w:sz w:val="22"/>
          <w:szCs w:val="22"/>
          <w:u w:val="single"/>
        </w:rPr>
        <w:t>Аудитор:</w:t>
      </w:r>
    </w:p>
    <w:p w:rsidR="003E55F7" w:rsidRPr="00746B32" w:rsidRDefault="003E55F7" w:rsidP="00746B32">
      <w:pPr>
        <w:jc w:val="both"/>
        <w:rPr>
          <w:rFonts w:cs="Arial"/>
          <w:sz w:val="22"/>
          <w:szCs w:val="22"/>
        </w:rPr>
      </w:pP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Наименование: Общество с ограниченной ответственностью «Росэкспертиза».</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Свидетельство о государственной регистрации ООО «Росэкспертиза» № 183142 выдано Московской регистрационной палатой 23 сентября 1993 года.</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Свидетельство о внесении 27 сентября 2002 года записи в Единый государственный реестр юридических лиц о юридическом лице, зарегистрированном до 01 июля 2002 года, за основным государственным номером 1027739273946.</w:t>
      </w:r>
    </w:p>
    <w:p w:rsidR="003E55F7" w:rsidRPr="00746B32" w:rsidRDefault="00F3741F"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Место</w:t>
      </w:r>
      <w:r w:rsidR="00621CEC" w:rsidRPr="00746B32">
        <w:rPr>
          <w:rFonts w:cs="Arial"/>
          <w:sz w:val="22"/>
          <w:szCs w:val="22"/>
          <w:lang w:val="ru-RU"/>
        </w:rPr>
        <w:t xml:space="preserve"> </w:t>
      </w:r>
      <w:r w:rsidRPr="00746B32">
        <w:rPr>
          <w:rFonts w:cs="Arial"/>
          <w:sz w:val="22"/>
          <w:szCs w:val="22"/>
          <w:lang w:val="ru-RU"/>
        </w:rPr>
        <w:t>нахождения:</w:t>
      </w:r>
    </w:p>
    <w:p w:rsidR="003E55F7" w:rsidRPr="00746B32" w:rsidRDefault="003E55F7" w:rsidP="00746B32">
      <w:pPr>
        <w:numPr>
          <w:ilvl w:val="0"/>
          <w:numId w:val="38"/>
        </w:numPr>
        <w:tabs>
          <w:tab w:val="clear" w:pos="360"/>
          <w:tab w:val="num" w:pos="1146"/>
        </w:tabs>
        <w:ind w:left="1146" w:hanging="426"/>
        <w:jc w:val="both"/>
        <w:rPr>
          <w:rFonts w:cs="Arial"/>
          <w:sz w:val="22"/>
          <w:szCs w:val="22"/>
          <w:lang w:val="ru-RU"/>
        </w:rPr>
      </w:pPr>
      <w:r w:rsidRPr="00746B32">
        <w:rPr>
          <w:rFonts w:cs="Arial"/>
          <w:sz w:val="22"/>
          <w:szCs w:val="22"/>
          <w:lang w:val="ru-RU"/>
        </w:rPr>
        <w:t xml:space="preserve">Юридический адрес: Российская Федерация, </w:t>
      </w:r>
      <w:smartTag w:uri="urn:schemas-microsoft-com:office:smarttags" w:element="metricconverter">
        <w:smartTagPr>
          <w:attr w:name="ProductID" w:val="107078, г"/>
        </w:smartTagPr>
        <w:r w:rsidRPr="00746B32">
          <w:rPr>
            <w:rFonts w:cs="Arial"/>
            <w:sz w:val="22"/>
            <w:szCs w:val="22"/>
            <w:lang w:val="ru-RU"/>
          </w:rPr>
          <w:t>107078, г</w:t>
        </w:r>
      </w:smartTag>
      <w:r w:rsidRPr="00746B32">
        <w:rPr>
          <w:rFonts w:cs="Arial"/>
          <w:sz w:val="22"/>
          <w:szCs w:val="22"/>
          <w:lang w:val="ru-RU"/>
        </w:rPr>
        <w:t>.</w:t>
      </w:r>
      <w:r w:rsidRPr="00746B32">
        <w:rPr>
          <w:rFonts w:cs="Arial"/>
          <w:sz w:val="22"/>
          <w:szCs w:val="22"/>
        </w:rPr>
        <w:t> </w:t>
      </w:r>
      <w:r w:rsidRPr="00746B32">
        <w:rPr>
          <w:rFonts w:cs="Arial"/>
          <w:sz w:val="22"/>
          <w:szCs w:val="22"/>
          <w:lang w:val="ru-RU"/>
        </w:rPr>
        <w:t xml:space="preserve">Москва, ул. </w:t>
      </w:r>
      <w:r w:rsidR="00F3741F" w:rsidRPr="00746B32">
        <w:rPr>
          <w:rFonts w:cs="Arial"/>
          <w:sz w:val="22"/>
          <w:szCs w:val="22"/>
          <w:lang w:val="ru-RU"/>
        </w:rPr>
        <w:t>Маши</w:t>
      </w:r>
      <w:r w:rsidR="00B86F90" w:rsidRPr="00746B32">
        <w:rPr>
          <w:rFonts w:cs="Arial"/>
          <w:sz w:val="22"/>
          <w:szCs w:val="22"/>
          <w:lang w:val="ru-RU"/>
        </w:rPr>
        <w:t xml:space="preserve"> </w:t>
      </w:r>
      <w:r w:rsidR="00F3741F" w:rsidRPr="00746B32">
        <w:rPr>
          <w:rFonts w:cs="Arial"/>
          <w:sz w:val="22"/>
          <w:szCs w:val="22"/>
          <w:lang w:val="ru-RU"/>
        </w:rPr>
        <w:t>Порываевой, дом</w:t>
      </w:r>
      <w:r w:rsidR="00B86F90" w:rsidRPr="00746B32">
        <w:rPr>
          <w:rFonts w:cs="Arial"/>
          <w:sz w:val="22"/>
          <w:szCs w:val="22"/>
          <w:lang w:val="ru-RU"/>
        </w:rPr>
        <w:t xml:space="preserve"> </w:t>
      </w:r>
      <w:r w:rsidRPr="00746B32">
        <w:rPr>
          <w:rFonts w:cs="Arial"/>
          <w:sz w:val="22"/>
          <w:szCs w:val="22"/>
          <w:lang w:val="ru-RU"/>
        </w:rPr>
        <w:t>34</w:t>
      </w:r>
      <w:r w:rsidR="00F3741F" w:rsidRPr="00746B32">
        <w:rPr>
          <w:rFonts w:cs="Arial"/>
          <w:sz w:val="22"/>
          <w:szCs w:val="22"/>
          <w:lang w:val="ru-RU"/>
        </w:rPr>
        <w:t xml:space="preserve">. </w:t>
      </w:r>
    </w:p>
    <w:p w:rsidR="003E55F7" w:rsidRPr="00746B32" w:rsidRDefault="003E55F7" w:rsidP="00746B32">
      <w:pPr>
        <w:numPr>
          <w:ilvl w:val="0"/>
          <w:numId w:val="38"/>
        </w:numPr>
        <w:tabs>
          <w:tab w:val="clear" w:pos="360"/>
          <w:tab w:val="num" w:pos="1146"/>
        </w:tabs>
        <w:ind w:left="1146" w:hanging="426"/>
        <w:jc w:val="both"/>
        <w:rPr>
          <w:rFonts w:cs="Arial"/>
          <w:sz w:val="22"/>
          <w:szCs w:val="22"/>
          <w:lang w:val="ru-RU"/>
        </w:rPr>
      </w:pPr>
      <w:r w:rsidRPr="00746B32">
        <w:rPr>
          <w:rFonts w:cs="Arial"/>
          <w:sz w:val="22"/>
          <w:szCs w:val="22"/>
          <w:lang w:val="ru-RU"/>
        </w:rPr>
        <w:t xml:space="preserve">Почтовый адрес: Российская Федерация, </w:t>
      </w:r>
      <w:smartTag w:uri="urn:schemas-microsoft-com:office:smarttags" w:element="metricconverter">
        <w:smartTagPr>
          <w:attr w:name="ProductID" w:val="127055, г"/>
        </w:smartTagPr>
        <w:r w:rsidRPr="00746B32">
          <w:rPr>
            <w:rFonts w:cs="Arial"/>
            <w:sz w:val="22"/>
            <w:szCs w:val="22"/>
            <w:lang w:val="ru-RU"/>
          </w:rPr>
          <w:t>127055, г</w:t>
        </w:r>
      </w:smartTag>
      <w:r w:rsidRPr="00746B32">
        <w:rPr>
          <w:rFonts w:cs="Arial"/>
          <w:sz w:val="22"/>
          <w:szCs w:val="22"/>
          <w:lang w:val="ru-RU"/>
        </w:rPr>
        <w:t>. Москва, Тихвинский пер.</w:t>
      </w:r>
      <w:r w:rsidR="00694576">
        <w:rPr>
          <w:rFonts w:cs="Arial"/>
          <w:sz w:val="22"/>
          <w:szCs w:val="22"/>
          <w:lang w:val="ru-RU"/>
        </w:rPr>
        <w:t>,</w:t>
      </w:r>
      <w:r w:rsidRPr="00746B32">
        <w:rPr>
          <w:rFonts w:cs="Arial"/>
          <w:sz w:val="22"/>
          <w:szCs w:val="22"/>
          <w:lang w:val="ru-RU"/>
        </w:rPr>
        <w:t xml:space="preserve"> дом 7, строение 3. </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Член СРОА «НП «Российская коллегия аудиторов» в соответствии с решением Совета РКА от 23 апреля 2007 года, свидетельство № 362-ю.</w:t>
      </w:r>
    </w:p>
    <w:p w:rsidR="003E55F7" w:rsidRPr="00746B32" w:rsidRDefault="003E55F7" w:rsidP="00746B32">
      <w:pPr>
        <w:numPr>
          <w:ilvl w:val="0"/>
          <w:numId w:val="38"/>
        </w:numPr>
        <w:tabs>
          <w:tab w:val="clear" w:pos="360"/>
          <w:tab w:val="num" w:pos="993"/>
        </w:tabs>
        <w:ind w:left="993" w:hanging="426"/>
        <w:jc w:val="both"/>
        <w:rPr>
          <w:rFonts w:cs="Arial"/>
          <w:sz w:val="22"/>
          <w:szCs w:val="22"/>
          <w:lang w:val="ru-RU"/>
        </w:rPr>
      </w:pPr>
      <w:r w:rsidRPr="00746B32">
        <w:rPr>
          <w:rFonts w:cs="Arial"/>
          <w:sz w:val="22"/>
          <w:szCs w:val="22"/>
          <w:lang w:val="ru-RU"/>
        </w:rPr>
        <w:t>Основной регистрационный номер в Реестре аудиторов и аудиторских организаций 10205006556.</w:t>
      </w:r>
    </w:p>
    <w:p w:rsidR="003E55F7" w:rsidRPr="00746B32" w:rsidRDefault="003E55F7" w:rsidP="00746B32">
      <w:pPr>
        <w:ind w:firstLine="540"/>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Мы провели аудит прилагаемой годовой финансовой отчетности Санкт-Петербургского акционерного коммерческого банка «Таврический» (открытое акционерное общество) (далее – Банк</w:t>
      </w:r>
      <w:r w:rsidR="0013632D">
        <w:rPr>
          <w:rFonts w:cs="Arial"/>
          <w:sz w:val="22"/>
          <w:szCs w:val="22"/>
          <w:lang w:val="ru-RU"/>
        </w:rPr>
        <w:t xml:space="preserve"> «Таврический» (ОАО) или Банк</w:t>
      </w:r>
      <w:r w:rsidRPr="00746B32">
        <w:rPr>
          <w:rFonts w:cs="Arial"/>
          <w:sz w:val="22"/>
          <w:szCs w:val="22"/>
          <w:lang w:val="ru-RU"/>
        </w:rPr>
        <w:t>), состоящей из отчета о финансовом положении по состоянию за 31 декабря 2014 года, отчета о совокупном доходе, отчета об изменениях в капитале и отчета о движении денежных средств за 2014 год, а также примечаний, состоящих из краткого обзора основных положений учетной политики и прочей пояснительной информации.</w:t>
      </w:r>
    </w:p>
    <w:p w:rsidR="003E55F7" w:rsidRPr="00746B32" w:rsidRDefault="003E55F7" w:rsidP="00746B32">
      <w:pPr>
        <w:jc w:val="both"/>
        <w:rPr>
          <w:rFonts w:cs="Arial"/>
          <w:sz w:val="22"/>
          <w:szCs w:val="22"/>
          <w:lang w:val="ru-RU"/>
        </w:rPr>
        <w:sectPr w:rsidR="003E55F7" w:rsidRPr="00746B32" w:rsidSect="00BD011F">
          <w:headerReference w:type="default" r:id="rId15"/>
          <w:footerReference w:type="default" r:id="rId16"/>
          <w:pgSz w:w="11906" w:h="16838" w:code="9"/>
          <w:pgMar w:top="1701" w:right="851" w:bottom="1701" w:left="1134" w:header="720" w:footer="720" w:gutter="0"/>
          <w:cols w:space="720"/>
        </w:sectPr>
      </w:pPr>
    </w:p>
    <w:p w:rsidR="003E55F7" w:rsidRPr="00746B32" w:rsidRDefault="003E55F7" w:rsidP="00746B32">
      <w:pPr>
        <w:ind w:firstLine="540"/>
        <w:jc w:val="center"/>
        <w:rPr>
          <w:rFonts w:cs="Arial"/>
          <w:b/>
          <w:sz w:val="22"/>
          <w:szCs w:val="22"/>
          <w:u w:val="single"/>
          <w:lang w:val="ru-RU"/>
        </w:rPr>
      </w:pPr>
      <w:r w:rsidRPr="00746B32">
        <w:rPr>
          <w:rFonts w:cs="Arial"/>
          <w:b/>
          <w:sz w:val="22"/>
          <w:szCs w:val="22"/>
          <w:u w:val="single"/>
          <w:lang w:val="ru-RU"/>
        </w:rPr>
        <w:lastRenderedPageBreak/>
        <w:t>Ответственность аудируемого лица за годовую финансовую отчетность</w:t>
      </w:r>
    </w:p>
    <w:p w:rsidR="003E55F7" w:rsidRPr="00746B32" w:rsidRDefault="003E55F7" w:rsidP="00746B32">
      <w:pPr>
        <w:ind w:firstLine="540"/>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Руководство Банка несет ответственность за составление и достоверность указанной годовой финансовой отчетности в соответствии с Международными стандартами финансовой отчетности и за систему внутреннего контроля, необходимую для составления годовой финансовой отчетности, не содержащей существенных искажений вследствие недобросовестных действий или ошибок.</w:t>
      </w:r>
    </w:p>
    <w:p w:rsidR="003E55F7" w:rsidRPr="00746B32" w:rsidRDefault="003E55F7" w:rsidP="00746B32">
      <w:pPr>
        <w:ind w:firstLine="540"/>
        <w:jc w:val="both"/>
        <w:rPr>
          <w:rFonts w:cs="Arial"/>
          <w:sz w:val="22"/>
          <w:szCs w:val="22"/>
          <w:lang w:val="ru-RU"/>
        </w:rPr>
      </w:pPr>
    </w:p>
    <w:p w:rsidR="003E55F7" w:rsidRPr="00746B32" w:rsidRDefault="003E55F7" w:rsidP="00262397">
      <w:pPr>
        <w:jc w:val="center"/>
        <w:rPr>
          <w:rFonts w:cs="Arial"/>
          <w:b/>
          <w:sz w:val="22"/>
          <w:szCs w:val="22"/>
          <w:u w:val="single"/>
          <w:lang w:val="ru-RU"/>
        </w:rPr>
      </w:pPr>
      <w:r w:rsidRPr="00746B32">
        <w:rPr>
          <w:rFonts w:cs="Arial"/>
          <w:b/>
          <w:sz w:val="22"/>
          <w:szCs w:val="22"/>
          <w:u w:val="single"/>
          <w:lang w:val="ru-RU"/>
        </w:rPr>
        <w:t>Ответственность аудитора</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Наша ответственность заключается в выражении мнения о достоверности годовой финансовой отчетности во всех существенных отношениях на основе проведенного нами аудита. Мы провели аудит в соответствии с федеральными стандартами аудиторской деятельности, действующими в Российской Федерации, и международными стандартами аудита. Данные стандарты требуют соблюдения применимых этических норм, а также планирования и проведения аудита таким образом, чтобы получить достаточную уверенность в том, что годовая финансовая отчетность не содержит существенных искажений.</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Аудит включает в себя проведение аудиторских процедур, направленных на получение аудиторских доказательств, подтверждающих числовые показатели в финансовой отчетности и раскрытие в ней информации. Выбор аудиторских процедур является предметом суждения аудитора, которое основывается на оценке риска существенных искажений финансовой отчетности, допущенных вследствие недобросовестных действий или ошибок. В процессе оценки данного риска аудитор рассматривает систему внутреннего контроля, обеспечивающую составление и достоверность финансовой отчетности, с целью выбора соответствующих аудиторских процедур, но не с целью выражения мнения об эффективности системы внутреннего контроля. Аудит также включает в себя оценку надлежащего характера применяемой учетной политики и обоснованности оценочных показателей, полученных руководством, а также оценку представления годовой финансовой отчетности в целом.</w:t>
      </w:r>
    </w:p>
    <w:p w:rsidR="003E55F7" w:rsidRPr="00746B32" w:rsidRDefault="003E55F7" w:rsidP="00746B32">
      <w:pPr>
        <w:jc w:val="both"/>
        <w:rPr>
          <w:rFonts w:cs="Arial"/>
          <w:sz w:val="22"/>
          <w:szCs w:val="22"/>
          <w:lang w:val="ru-RU"/>
        </w:rPr>
      </w:pPr>
    </w:p>
    <w:p w:rsidR="003E55F7" w:rsidRDefault="003E55F7" w:rsidP="00746B32">
      <w:pPr>
        <w:jc w:val="both"/>
        <w:rPr>
          <w:rFonts w:cs="Arial"/>
          <w:sz w:val="22"/>
          <w:szCs w:val="22"/>
          <w:lang w:val="ru-RU"/>
        </w:rPr>
      </w:pPr>
      <w:r w:rsidRPr="00746B32">
        <w:rPr>
          <w:rFonts w:cs="Arial"/>
          <w:sz w:val="22"/>
          <w:szCs w:val="22"/>
          <w:lang w:val="ru-RU"/>
        </w:rPr>
        <w:t>Мы полагаем, что полученные в ходе аудита аудиторские доказательства представляют достаточные и надлежащие основания для выражения мнения с оговоркой о достоверности годовой финансовой отчетности.</w:t>
      </w:r>
    </w:p>
    <w:p w:rsidR="00262397" w:rsidRPr="00746B32" w:rsidRDefault="00262397" w:rsidP="00746B32">
      <w:pPr>
        <w:jc w:val="both"/>
        <w:rPr>
          <w:rFonts w:cs="Arial"/>
          <w:sz w:val="22"/>
          <w:szCs w:val="22"/>
          <w:lang w:val="ru-RU"/>
        </w:rPr>
      </w:pPr>
    </w:p>
    <w:p w:rsidR="003E55F7" w:rsidRPr="00746B32" w:rsidRDefault="003E55F7" w:rsidP="00262397">
      <w:pPr>
        <w:jc w:val="center"/>
        <w:rPr>
          <w:rFonts w:cs="Arial"/>
          <w:b/>
          <w:sz w:val="22"/>
          <w:szCs w:val="22"/>
          <w:u w:val="single"/>
          <w:lang w:val="ru-RU"/>
        </w:rPr>
      </w:pPr>
      <w:r w:rsidRPr="00746B32">
        <w:rPr>
          <w:rFonts w:cs="Arial"/>
          <w:b/>
          <w:sz w:val="22"/>
          <w:szCs w:val="22"/>
          <w:u w:val="single"/>
          <w:lang w:val="ru-RU"/>
        </w:rPr>
        <w:t>Основание для выражения мнения с оговоркой</w:t>
      </w:r>
    </w:p>
    <w:p w:rsidR="003E55F7" w:rsidRPr="00746B32" w:rsidRDefault="003E55F7" w:rsidP="00746B32">
      <w:pPr>
        <w:jc w:val="center"/>
        <w:rPr>
          <w:rFonts w:cs="Arial"/>
          <w:b/>
          <w:sz w:val="22"/>
          <w:szCs w:val="22"/>
          <w:u w:val="single"/>
          <w:lang w:val="ru-RU"/>
        </w:rPr>
      </w:pPr>
    </w:p>
    <w:p w:rsidR="003E55F7" w:rsidRPr="00746B32" w:rsidRDefault="003E55F7" w:rsidP="00746B32">
      <w:pPr>
        <w:jc w:val="both"/>
        <w:rPr>
          <w:rFonts w:cs="Arial"/>
          <w:sz w:val="22"/>
          <w:szCs w:val="22"/>
          <w:lang w:val="ru-RU"/>
        </w:rPr>
      </w:pPr>
      <w:r w:rsidRPr="00746B32">
        <w:rPr>
          <w:rFonts w:cs="Arial"/>
          <w:sz w:val="22"/>
          <w:szCs w:val="22"/>
          <w:lang w:val="ru-RU"/>
        </w:rPr>
        <w:t xml:space="preserve">Информация о нераспределенной прибыли, рассчитанной в соответствии с требованиями российского законодательства (Примечание 21 «Нераспределенная прибыль»), нормативе достаточности собственных средств (капитала), рассчитанном в соответствии с требованиями российского законодательства  (Примечание </w:t>
      </w:r>
      <w:r w:rsidR="0013632D" w:rsidRPr="00746B32">
        <w:rPr>
          <w:rFonts w:cs="Arial"/>
          <w:sz w:val="22"/>
          <w:szCs w:val="22"/>
          <w:lang w:val="ru-RU"/>
        </w:rPr>
        <w:t>3</w:t>
      </w:r>
      <w:r w:rsidR="0013632D">
        <w:rPr>
          <w:rFonts w:cs="Arial"/>
          <w:sz w:val="22"/>
          <w:szCs w:val="22"/>
          <w:lang w:val="ru-RU"/>
        </w:rPr>
        <w:t>4</w:t>
      </w:r>
      <w:r w:rsidR="0013632D" w:rsidRPr="00746B32">
        <w:rPr>
          <w:rFonts w:cs="Arial"/>
          <w:sz w:val="22"/>
          <w:szCs w:val="22"/>
          <w:lang w:val="ru-RU"/>
        </w:rPr>
        <w:t xml:space="preserve"> </w:t>
      </w:r>
      <w:r w:rsidRPr="00746B32">
        <w:rPr>
          <w:rFonts w:cs="Arial"/>
          <w:sz w:val="22"/>
          <w:szCs w:val="22"/>
          <w:lang w:val="ru-RU"/>
        </w:rPr>
        <w:t xml:space="preserve">«Управление </w:t>
      </w:r>
      <w:r w:rsidRPr="0013632D">
        <w:rPr>
          <w:rFonts w:cs="Arial"/>
          <w:sz w:val="22"/>
          <w:szCs w:val="22"/>
          <w:lang w:val="ru-RU"/>
        </w:rPr>
        <w:t>капиталом»), и нормативах ликвидности, рассчитанных в соответствии с требованиями российского законодательства (Примечание 33 «Управление финансовым риском»),</w:t>
      </w:r>
      <w:r w:rsidR="00694576" w:rsidRPr="0013632D">
        <w:rPr>
          <w:rFonts w:cs="Arial"/>
          <w:sz w:val="22"/>
          <w:szCs w:val="22"/>
          <w:lang w:val="ru-RU"/>
        </w:rPr>
        <w:t xml:space="preserve"> </w:t>
      </w:r>
      <w:r w:rsidRPr="0013632D">
        <w:rPr>
          <w:rFonts w:cs="Arial"/>
          <w:sz w:val="22"/>
          <w:szCs w:val="22"/>
          <w:lang w:val="ru-RU"/>
        </w:rPr>
        <w:t>основана на данных годовой бухгалтерской (финансовой) отчетности за 2014 год, в отношении которой аудитором ООО «ИКАР» выражено отрицательное мнение о том, что годовая бухгалтерская (финансовая) отчетность не отражает достоверно во всех</w:t>
      </w:r>
      <w:r w:rsidRPr="00746B32">
        <w:rPr>
          <w:rFonts w:cs="Arial"/>
          <w:sz w:val="22"/>
          <w:szCs w:val="22"/>
          <w:lang w:val="ru-RU"/>
        </w:rPr>
        <w:t xml:space="preserve"> существенных отношениях финансовое положение Банка по состоянию на 1 января 2014 года, его финансовые результаты и движение денежных средств за 2014 год в соответствии с российскими правилами составления бухгалтерской (финансовой) отчетности кредитными организациями.</w:t>
      </w:r>
      <w:r w:rsidR="000D6864" w:rsidRPr="00746B32">
        <w:rPr>
          <w:rFonts w:cs="Arial"/>
          <w:sz w:val="22"/>
          <w:szCs w:val="22"/>
          <w:lang w:val="ru-RU"/>
        </w:rPr>
        <w:t xml:space="preserve"> </w:t>
      </w:r>
      <w:r w:rsidRPr="00746B32">
        <w:rPr>
          <w:rFonts w:cs="Arial"/>
          <w:sz w:val="22"/>
          <w:szCs w:val="22"/>
          <w:lang w:val="ru-RU"/>
        </w:rPr>
        <w:t>Количественная оценка влияния искажения, допущенного при составлении финансовой отчетности, не осуществлялась.</w:t>
      </w:r>
    </w:p>
    <w:p w:rsidR="003E55F7" w:rsidRPr="00746B32" w:rsidRDefault="003E55F7" w:rsidP="00746B32">
      <w:pPr>
        <w:jc w:val="both"/>
        <w:rPr>
          <w:rFonts w:cs="Arial"/>
          <w:sz w:val="22"/>
          <w:szCs w:val="22"/>
          <w:lang w:val="ru-RU"/>
        </w:rPr>
      </w:pPr>
      <w:r w:rsidRPr="00746B32">
        <w:rPr>
          <w:rFonts w:cs="Arial"/>
          <w:sz w:val="22"/>
          <w:szCs w:val="22"/>
          <w:lang w:val="ru-RU"/>
        </w:rPr>
        <w:lastRenderedPageBreak/>
        <w:t xml:space="preserve">Система внутреннего контроля и организация систем управления рисками не соответствовали требованиям российского законодательства в следующих аспектах: </w:t>
      </w:r>
    </w:p>
    <w:p w:rsidR="003E55F7" w:rsidRPr="00746B32" w:rsidRDefault="003E55F7" w:rsidP="00746B32">
      <w:pPr>
        <w:numPr>
          <w:ilvl w:val="0"/>
          <w:numId w:val="39"/>
        </w:numPr>
        <w:jc w:val="both"/>
        <w:rPr>
          <w:rFonts w:cs="Arial"/>
          <w:sz w:val="22"/>
          <w:szCs w:val="22"/>
          <w:lang w:val="ru-RU"/>
        </w:rPr>
      </w:pPr>
      <w:r w:rsidRPr="00746B32">
        <w:rPr>
          <w:rFonts w:cs="Arial"/>
          <w:sz w:val="22"/>
          <w:szCs w:val="22"/>
          <w:lang w:val="ru-RU"/>
        </w:rPr>
        <w:t>по состоянию на 31 декабря 2014 года не был назначен руководитель Службы внутреннего аудита;</w:t>
      </w:r>
    </w:p>
    <w:p w:rsidR="003E55F7" w:rsidRPr="00746B32" w:rsidRDefault="003E55F7" w:rsidP="00746B32">
      <w:pPr>
        <w:numPr>
          <w:ilvl w:val="0"/>
          <w:numId w:val="39"/>
        </w:numPr>
        <w:jc w:val="both"/>
        <w:rPr>
          <w:rFonts w:cs="Arial"/>
          <w:sz w:val="22"/>
          <w:szCs w:val="22"/>
          <w:lang w:val="ru-RU"/>
        </w:rPr>
      </w:pPr>
      <w:r w:rsidRPr="00746B32">
        <w:rPr>
          <w:rFonts w:cs="Arial"/>
          <w:sz w:val="22"/>
          <w:szCs w:val="22"/>
          <w:lang w:val="ru-RU"/>
        </w:rPr>
        <w:t xml:space="preserve">отчеты, подготовленные </w:t>
      </w:r>
      <w:r w:rsidR="00684D7C" w:rsidRPr="00746B32">
        <w:rPr>
          <w:rFonts w:cs="Arial"/>
          <w:sz w:val="22"/>
          <w:szCs w:val="22"/>
          <w:lang w:val="ru-RU"/>
        </w:rPr>
        <w:t>отделом банковских рисков</w:t>
      </w:r>
      <w:r w:rsidRPr="00746B32">
        <w:rPr>
          <w:rFonts w:cs="Arial"/>
          <w:sz w:val="22"/>
          <w:szCs w:val="22"/>
          <w:lang w:val="ru-RU"/>
        </w:rPr>
        <w:t xml:space="preserve"> Банка и службой внутреннего контроля Банка в течение 2014 года, в отношении вопросов управления, кредитными, рыночными, операционными рисками и риском потери ликвидности Банка не включали результаты наблюдения</w:t>
      </w:r>
      <w:r w:rsidR="000D6864" w:rsidRPr="00746B32">
        <w:rPr>
          <w:rFonts w:cs="Arial"/>
          <w:sz w:val="22"/>
          <w:szCs w:val="22"/>
          <w:lang w:val="ru-RU"/>
        </w:rPr>
        <w:t xml:space="preserve"> </w:t>
      </w:r>
      <w:r w:rsidRPr="00746B32">
        <w:rPr>
          <w:rFonts w:cs="Arial"/>
          <w:sz w:val="22"/>
          <w:szCs w:val="22"/>
          <w:lang w:val="ru-RU"/>
        </w:rPr>
        <w:t>в отношении эффективности соответствующих методик Банка по управлению рисками, а также рекомендации по их совершенствованию;</w:t>
      </w:r>
    </w:p>
    <w:p w:rsidR="003E55F7" w:rsidRPr="00746B32" w:rsidRDefault="003E55F7" w:rsidP="00746B32">
      <w:pPr>
        <w:numPr>
          <w:ilvl w:val="0"/>
          <w:numId w:val="39"/>
        </w:numPr>
        <w:jc w:val="both"/>
        <w:rPr>
          <w:rFonts w:cs="Arial"/>
          <w:sz w:val="22"/>
          <w:szCs w:val="22"/>
          <w:lang w:val="ru-RU"/>
        </w:rPr>
      </w:pPr>
      <w:r w:rsidRPr="00746B32">
        <w:rPr>
          <w:rFonts w:cs="Arial"/>
          <w:sz w:val="22"/>
          <w:szCs w:val="22"/>
          <w:lang w:val="ru-RU"/>
        </w:rPr>
        <w:t xml:space="preserve">отчеты Банка о состоянии кредитных, рыночных рисков и риска потери ликвидности за 4 квартал 2014 года не предоставлены; </w:t>
      </w:r>
    </w:p>
    <w:p w:rsidR="003E55F7" w:rsidRPr="00746B32" w:rsidRDefault="003E55F7" w:rsidP="00746B32">
      <w:pPr>
        <w:numPr>
          <w:ilvl w:val="0"/>
          <w:numId w:val="39"/>
        </w:numPr>
        <w:jc w:val="both"/>
        <w:rPr>
          <w:rFonts w:cs="Arial"/>
          <w:sz w:val="22"/>
          <w:szCs w:val="22"/>
          <w:lang w:val="ru-RU"/>
        </w:rPr>
      </w:pPr>
      <w:r w:rsidRPr="00746B32">
        <w:rPr>
          <w:rFonts w:cs="Arial"/>
          <w:sz w:val="22"/>
          <w:szCs w:val="22"/>
          <w:lang w:val="ru-RU"/>
        </w:rPr>
        <w:t xml:space="preserve">документы, подтверждающие осуществление контрольных функций Советом директоров и органов управления Банка в 4 квартале 2014 года, не предоставлены.  </w:t>
      </w:r>
    </w:p>
    <w:p w:rsidR="003E55F7" w:rsidRPr="00746B32" w:rsidRDefault="003E55F7" w:rsidP="00746B32">
      <w:pPr>
        <w:ind w:left="567" w:hanging="283"/>
        <w:jc w:val="both"/>
        <w:rPr>
          <w:rFonts w:cs="Arial"/>
          <w:sz w:val="22"/>
          <w:szCs w:val="22"/>
          <w:lang w:val="ru-RU"/>
        </w:rPr>
      </w:pPr>
    </w:p>
    <w:p w:rsidR="003E55F7" w:rsidRPr="00746B32" w:rsidRDefault="003E55F7" w:rsidP="00746B32">
      <w:pPr>
        <w:pStyle w:val="ConsPlusNormal0"/>
        <w:ind w:firstLine="540"/>
        <w:jc w:val="both"/>
      </w:pPr>
    </w:p>
    <w:p w:rsidR="003E55F7" w:rsidRPr="00746B32" w:rsidRDefault="003E55F7" w:rsidP="00746B32">
      <w:pPr>
        <w:jc w:val="center"/>
        <w:rPr>
          <w:rFonts w:cs="Arial"/>
          <w:b/>
          <w:sz w:val="22"/>
          <w:szCs w:val="22"/>
          <w:u w:val="single"/>
          <w:lang w:val="ru-RU"/>
        </w:rPr>
      </w:pPr>
      <w:r w:rsidRPr="00746B32">
        <w:rPr>
          <w:rFonts w:cs="Arial"/>
          <w:b/>
          <w:sz w:val="22"/>
          <w:szCs w:val="22"/>
          <w:u w:val="single"/>
          <w:lang w:val="ru-RU"/>
        </w:rPr>
        <w:t>Мнение с оговоркой</w:t>
      </w:r>
    </w:p>
    <w:p w:rsidR="003E55F7" w:rsidRPr="00746B32" w:rsidRDefault="003E55F7" w:rsidP="00746B32">
      <w:pPr>
        <w:pStyle w:val="ConsPlusNormal0"/>
        <w:ind w:firstLine="540"/>
        <w:jc w:val="both"/>
      </w:pPr>
    </w:p>
    <w:p w:rsidR="003E55F7" w:rsidRPr="00746B32" w:rsidRDefault="003E55F7" w:rsidP="00746B32">
      <w:pPr>
        <w:jc w:val="both"/>
        <w:rPr>
          <w:sz w:val="22"/>
          <w:szCs w:val="22"/>
          <w:lang w:val="ru-RU"/>
        </w:rPr>
      </w:pPr>
      <w:r w:rsidRPr="00746B32">
        <w:rPr>
          <w:sz w:val="22"/>
          <w:szCs w:val="22"/>
          <w:lang w:val="ru-RU"/>
        </w:rPr>
        <w:t>По нашему мнению, за исключением влияния на годовую финансовую отчетность обстоятельств, изложенных в части, содержащей основание для выражения мнения с оговоркой, годовая финансовая отчетность отражает достоверно во всех существенных отношениях финансовое положение Банка «Таврический» (ОАО) по состоянию за 31 декабря 2014 года, финансовые результаты его деятельности и движение денежных средств за 2014 год в соответствии с Международными стандартами финансовой отчетности.</w:t>
      </w:r>
    </w:p>
    <w:p w:rsidR="003E55F7" w:rsidRPr="00746B32" w:rsidRDefault="003E55F7" w:rsidP="00746B32">
      <w:pPr>
        <w:jc w:val="center"/>
        <w:rPr>
          <w:rFonts w:cs="Arial"/>
          <w:b/>
          <w:sz w:val="22"/>
          <w:szCs w:val="22"/>
          <w:u w:val="single"/>
          <w:lang w:val="ru-RU"/>
        </w:rPr>
      </w:pPr>
    </w:p>
    <w:p w:rsidR="003E55F7" w:rsidRPr="00746B32" w:rsidRDefault="003E55F7" w:rsidP="00746B32">
      <w:pPr>
        <w:jc w:val="center"/>
        <w:rPr>
          <w:rFonts w:cs="Arial"/>
          <w:b/>
          <w:sz w:val="22"/>
          <w:szCs w:val="22"/>
          <w:u w:val="single"/>
          <w:lang w:val="ru-RU"/>
        </w:rPr>
      </w:pPr>
      <w:r w:rsidRPr="00746B32">
        <w:rPr>
          <w:rFonts w:cs="Arial"/>
          <w:b/>
          <w:sz w:val="22"/>
          <w:szCs w:val="22"/>
          <w:u w:val="single"/>
          <w:lang w:val="ru-RU"/>
        </w:rPr>
        <w:t>Важные обстоятельства</w:t>
      </w:r>
    </w:p>
    <w:p w:rsidR="003E55F7" w:rsidRPr="00746B32" w:rsidRDefault="003E55F7" w:rsidP="00746B32">
      <w:pPr>
        <w:rPr>
          <w:rFonts w:cs="Arial"/>
          <w:sz w:val="22"/>
          <w:szCs w:val="22"/>
          <w:lang w:val="ru-RU"/>
        </w:rPr>
      </w:pP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Не изменяя нашего мнения о достоверности финансовой отчетности, мы обращаем внимание на информацию, изложенную в разделе «Непрерывность деятельности» Примечания 3 «Основы составления отчетности» и</w:t>
      </w:r>
      <w:r w:rsidR="002C30FF">
        <w:rPr>
          <w:rFonts w:cs="Arial"/>
          <w:sz w:val="22"/>
          <w:szCs w:val="22"/>
          <w:lang w:val="ru-RU"/>
        </w:rPr>
        <w:t xml:space="preserve"> </w:t>
      </w:r>
      <w:r w:rsidRPr="00746B32">
        <w:rPr>
          <w:rFonts w:cs="Arial"/>
          <w:sz w:val="22"/>
          <w:szCs w:val="22"/>
          <w:lang w:val="ru-RU"/>
        </w:rPr>
        <w:t xml:space="preserve">в Примечании 36 «События после отчетной даты» финансовой отчетности о том, что, начиная с 11 февраля 2015 года Государственная корпорация «Агентство по страхованию вкладов» совместно с Банком России начала осуществлять в отношении </w:t>
      </w:r>
      <w:r w:rsidR="00221179" w:rsidRPr="00746B32">
        <w:rPr>
          <w:sz w:val="22"/>
          <w:szCs w:val="22"/>
          <w:lang w:val="ru-RU"/>
        </w:rPr>
        <w:t xml:space="preserve">Банка «Таврический» (ОАО) </w:t>
      </w:r>
      <w:r w:rsidRPr="00746B32">
        <w:rPr>
          <w:rFonts w:cs="Arial"/>
          <w:sz w:val="22"/>
          <w:szCs w:val="22"/>
          <w:lang w:val="ru-RU"/>
        </w:rPr>
        <w:t xml:space="preserve"> мероприятия по предупреждению банкротства в соответствии с Федеральным законом от 26 октября 2002 года № 127-ФЗ «О несостоятельности (банкротстве)». В качестве инвестора был выбран ОАО АКБ «МЕЖДУНАРОДНЫЙ ФИНАНСОВЫЙ КЛУБ». В целях устранения признаков неустойчивого финансового положения Банка Государственной корпорацией</w:t>
      </w:r>
      <w:r w:rsidR="00621CEC" w:rsidRPr="00746B32">
        <w:rPr>
          <w:rFonts w:cs="Arial"/>
          <w:sz w:val="22"/>
          <w:szCs w:val="22"/>
          <w:lang w:val="ru-RU"/>
        </w:rPr>
        <w:t xml:space="preserve"> </w:t>
      </w:r>
      <w:r w:rsidRPr="00746B32">
        <w:rPr>
          <w:rFonts w:cs="Arial"/>
          <w:sz w:val="22"/>
          <w:szCs w:val="22"/>
          <w:lang w:val="ru-RU"/>
        </w:rPr>
        <w:t>«Агентство по страхованию вкладов»</w:t>
      </w:r>
      <w:r w:rsidR="00621CEC" w:rsidRPr="00746B32">
        <w:rPr>
          <w:rFonts w:cs="Arial"/>
          <w:sz w:val="22"/>
          <w:szCs w:val="22"/>
          <w:lang w:val="ru-RU"/>
        </w:rPr>
        <w:t xml:space="preserve"> </w:t>
      </w:r>
      <w:r w:rsidRPr="00746B32">
        <w:rPr>
          <w:rFonts w:cs="Arial"/>
          <w:sz w:val="22"/>
          <w:szCs w:val="22"/>
          <w:lang w:val="ru-RU"/>
        </w:rPr>
        <w:t>и Банком России</w:t>
      </w:r>
      <w:r w:rsidR="000D6864" w:rsidRPr="00746B32">
        <w:rPr>
          <w:rFonts w:cs="Arial"/>
          <w:sz w:val="22"/>
          <w:szCs w:val="22"/>
          <w:lang w:val="ru-RU"/>
        </w:rPr>
        <w:t xml:space="preserve"> </w:t>
      </w:r>
      <w:r w:rsidRPr="00746B32">
        <w:rPr>
          <w:rFonts w:cs="Arial"/>
          <w:sz w:val="22"/>
          <w:szCs w:val="22"/>
          <w:lang w:val="ru-RU"/>
        </w:rPr>
        <w:t xml:space="preserve">был разработан План </w:t>
      </w:r>
      <w:r w:rsidR="003464BC" w:rsidRPr="00746B32">
        <w:rPr>
          <w:rFonts w:cs="Arial"/>
          <w:sz w:val="22"/>
          <w:szCs w:val="22"/>
          <w:lang w:val="ru-RU"/>
        </w:rPr>
        <w:t>финансового оздоровления Санкт-Петербургского акционерного коммерческого банка «Таврический» (открытое акционерное общество) (далее – План финансового оздоровления)</w:t>
      </w:r>
      <w:r w:rsidRPr="00746B32">
        <w:rPr>
          <w:rFonts w:cs="Arial"/>
          <w:sz w:val="22"/>
          <w:szCs w:val="22"/>
          <w:lang w:val="ru-RU"/>
        </w:rPr>
        <w:t xml:space="preserve">. Указанный план рассчитан на период 2015-2025 годов и предусматривает постепенное восстановление финансовой устойчивости </w:t>
      </w:r>
      <w:r w:rsidR="00221179" w:rsidRPr="00746B32">
        <w:rPr>
          <w:sz w:val="22"/>
          <w:szCs w:val="22"/>
          <w:lang w:val="ru-RU"/>
        </w:rPr>
        <w:t>Банка «Таврический» (ОАО)</w:t>
      </w:r>
      <w:r w:rsidRPr="00746B32">
        <w:rPr>
          <w:rFonts w:cs="Arial"/>
          <w:sz w:val="22"/>
          <w:szCs w:val="22"/>
          <w:lang w:val="ru-RU"/>
        </w:rPr>
        <w:t>.</w:t>
      </w:r>
      <w:r w:rsidR="000D6864" w:rsidRPr="00746B32">
        <w:rPr>
          <w:rFonts w:cs="Arial"/>
          <w:sz w:val="22"/>
          <w:szCs w:val="22"/>
          <w:lang w:val="ru-RU"/>
        </w:rPr>
        <w:t xml:space="preserve"> </w:t>
      </w:r>
      <w:r w:rsidRPr="00746B32">
        <w:rPr>
          <w:rFonts w:cs="Arial"/>
          <w:sz w:val="22"/>
          <w:szCs w:val="22"/>
          <w:lang w:val="ru-RU"/>
        </w:rPr>
        <w:t>В соответствии с указанным Планом нормативы достаточности капитала и норматив текущей ликвидности могут не соблюдаться Банком «Таврический» (ОАО) до 2025 года без применения мер воздействия, предусмотренных законодательством в рамках полномочий Банка России по банковскому надзору.</w:t>
      </w:r>
      <w:r w:rsidR="003464BC" w:rsidRPr="00746B32">
        <w:rPr>
          <w:rFonts w:cs="Arial"/>
          <w:sz w:val="22"/>
          <w:szCs w:val="22"/>
          <w:lang w:val="ru-RU"/>
        </w:rPr>
        <w:t xml:space="preserve"> Аудитор отмечает, что утвержденный и подписанный План финансового оздоровления не предоставлен.</w:t>
      </w:r>
    </w:p>
    <w:p w:rsidR="003E55F7" w:rsidRPr="00746B32" w:rsidRDefault="003E55F7" w:rsidP="00746B32">
      <w:pPr>
        <w:jc w:val="both"/>
        <w:rPr>
          <w:rFonts w:cs="Arial"/>
          <w:color w:val="FF0000"/>
          <w:sz w:val="22"/>
          <w:szCs w:val="22"/>
          <w:lang w:val="ru-RU"/>
        </w:rPr>
      </w:pP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p>
    <w:p w:rsidR="003E55F7" w:rsidRPr="00746B32" w:rsidRDefault="003E55F7" w:rsidP="00746B32">
      <w:pPr>
        <w:jc w:val="center"/>
        <w:rPr>
          <w:rFonts w:cs="Arial"/>
          <w:b/>
          <w:sz w:val="22"/>
          <w:szCs w:val="22"/>
          <w:u w:val="single"/>
          <w:lang w:val="ru-RU"/>
        </w:rPr>
      </w:pPr>
      <w:r w:rsidRPr="00746B32">
        <w:rPr>
          <w:rFonts w:cs="Arial"/>
          <w:b/>
          <w:sz w:val="22"/>
          <w:szCs w:val="22"/>
          <w:u w:val="single"/>
          <w:lang w:val="ru-RU"/>
        </w:rPr>
        <w:t>Прочие сведения</w:t>
      </w:r>
    </w:p>
    <w:p w:rsidR="003E55F7" w:rsidRPr="00746B32" w:rsidRDefault="003E55F7" w:rsidP="00746B32">
      <w:pPr>
        <w:jc w:val="center"/>
        <w:rPr>
          <w:rFonts w:cs="Arial"/>
          <w:b/>
          <w:sz w:val="22"/>
          <w:szCs w:val="22"/>
          <w:u w:val="single"/>
          <w:lang w:val="ru-RU"/>
        </w:rPr>
      </w:pPr>
    </w:p>
    <w:p w:rsidR="003E55F7" w:rsidRPr="00746B32" w:rsidRDefault="003E55F7" w:rsidP="00746B32">
      <w:pPr>
        <w:autoSpaceDE w:val="0"/>
        <w:autoSpaceDN w:val="0"/>
        <w:adjustRightInd w:val="0"/>
        <w:jc w:val="both"/>
        <w:rPr>
          <w:rFonts w:cs="Arial"/>
          <w:sz w:val="22"/>
          <w:szCs w:val="22"/>
          <w:lang w:val="ru-RU"/>
        </w:rPr>
      </w:pPr>
      <w:r w:rsidRPr="00746B32">
        <w:rPr>
          <w:rFonts w:cs="Arial"/>
          <w:sz w:val="22"/>
          <w:szCs w:val="22"/>
          <w:lang w:val="ru-RU"/>
        </w:rPr>
        <w:t>Аудит консолидированной финансовой отчетности Банка «Таврический» (ОАО) за 2013 год был проведен другим аудитором, выдавшим аудиторское заключение от 30 мая 2014 года с выражением немодифицированного мнения.</w:t>
      </w:r>
    </w:p>
    <w:p w:rsidR="003E55F7" w:rsidRPr="00746B32" w:rsidRDefault="003E55F7" w:rsidP="00746B32">
      <w:pPr>
        <w:ind w:firstLine="540"/>
        <w:jc w:val="center"/>
        <w:rPr>
          <w:rFonts w:cs="Arial"/>
          <w:sz w:val="22"/>
          <w:szCs w:val="22"/>
          <w:lang w:val="ru-RU"/>
        </w:rPr>
      </w:pPr>
    </w:p>
    <w:p w:rsidR="003E55F7" w:rsidRPr="00746B32" w:rsidRDefault="003E55F7" w:rsidP="00746B32">
      <w:pPr>
        <w:jc w:val="center"/>
        <w:rPr>
          <w:rFonts w:cs="Arial"/>
          <w:b/>
          <w:sz w:val="22"/>
          <w:szCs w:val="22"/>
          <w:u w:val="single"/>
          <w:lang w:val="ru-RU"/>
        </w:rPr>
      </w:pPr>
      <w:r w:rsidRPr="00746B32">
        <w:rPr>
          <w:rFonts w:cs="Arial"/>
          <w:b/>
          <w:sz w:val="22"/>
          <w:szCs w:val="22"/>
          <w:u w:val="single"/>
          <w:lang w:val="ru-RU"/>
        </w:rPr>
        <w:t>Отчет о результатах проверки в соответствии с требованиями статьи 42</w:t>
      </w:r>
      <w:r w:rsidR="000D6864" w:rsidRPr="00746B32">
        <w:rPr>
          <w:rFonts w:cs="Arial"/>
          <w:b/>
          <w:sz w:val="22"/>
          <w:szCs w:val="22"/>
          <w:u w:val="single"/>
          <w:lang w:val="ru-RU"/>
        </w:rPr>
        <w:t xml:space="preserve"> </w:t>
      </w:r>
      <w:r w:rsidRPr="00746B32">
        <w:rPr>
          <w:rFonts w:cs="Arial"/>
          <w:b/>
          <w:sz w:val="22"/>
          <w:szCs w:val="22"/>
          <w:u w:val="single"/>
          <w:lang w:val="ru-RU"/>
        </w:rPr>
        <w:t>Федерального закона от 2 декабря 1990 г. № 395-1 «О банках и банковской</w:t>
      </w:r>
      <w:r w:rsidR="00AD3AD6" w:rsidRPr="00746B32">
        <w:rPr>
          <w:rFonts w:cs="Arial"/>
          <w:b/>
          <w:sz w:val="22"/>
          <w:szCs w:val="22"/>
          <w:u w:val="single"/>
          <w:lang w:val="ru-RU"/>
        </w:rPr>
        <w:t xml:space="preserve"> </w:t>
      </w:r>
      <w:r w:rsidRPr="00746B32">
        <w:rPr>
          <w:rFonts w:cs="Arial"/>
          <w:b/>
          <w:sz w:val="22"/>
          <w:szCs w:val="22"/>
          <w:u w:val="single"/>
          <w:lang w:val="ru-RU"/>
        </w:rPr>
        <w:t>деятельности»</w:t>
      </w:r>
    </w:p>
    <w:p w:rsidR="003E55F7" w:rsidRPr="00746B32" w:rsidRDefault="003E55F7" w:rsidP="00746B32">
      <w:pPr>
        <w:ind w:firstLine="540"/>
        <w:jc w:val="center"/>
        <w:rPr>
          <w:rFonts w:cs="Arial"/>
          <w:b/>
          <w:sz w:val="22"/>
          <w:szCs w:val="22"/>
          <w:u w:val="single"/>
          <w:lang w:val="ru-RU"/>
        </w:rPr>
      </w:pPr>
    </w:p>
    <w:p w:rsidR="003E55F7" w:rsidRPr="00746B32" w:rsidRDefault="003E55F7" w:rsidP="00746B32">
      <w:pPr>
        <w:ind w:firstLine="540"/>
        <w:jc w:val="center"/>
        <w:rPr>
          <w:rFonts w:cs="Arial"/>
          <w:b/>
          <w:sz w:val="22"/>
          <w:szCs w:val="22"/>
          <w:u w:val="single"/>
          <w:lang w:val="ru-RU"/>
        </w:rPr>
      </w:pPr>
    </w:p>
    <w:p w:rsidR="003E55F7" w:rsidRPr="00746B32" w:rsidRDefault="003E55F7" w:rsidP="00746B32">
      <w:pPr>
        <w:jc w:val="both"/>
        <w:rPr>
          <w:rFonts w:cs="Arial"/>
          <w:sz w:val="22"/>
          <w:szCs w:val="22"/>
          <w:lang w:val="ru-RU"/>
        </w:rPr>
      </w:pPr>
      <w:r w:rsidRPr="00746B32">
        <w:rPr>
          <w:rFonts w:cs="Arial"/>
          <w:sz w:val="22"/>
          <w:szCs w:val="22"/>
          <w:lang w:val="ru-RU"/>
        </w:rPr>
        <w:t>Руководство Банка несет ответственность за выполнение Банком обязательных нормативов, установленных Банком России, а также за соответствие внутреннего контроля и организации систем управления рисками Банка требованиям, предъявляемым Банком России к таким системам.</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В соответствии с требованиями статьи 42 Федерального закона от 2 декабря 1990 г. № 395-1 «О банках и банковской деятельности» (далее – Федеральный закон) в ходе аудита годовой финансовой отчетности Банка за 2014 год мы провели проверку:</w:t>
      </w:r>
    </w:p>
    <w:p w:rsidR="003E55F7" w:rsidRPr="00746B32" w:rsidRDefault="003E55F7" w:rsidP="00746B32">
      <w:pPr>
        <w:numPr>
          <w:ilvl w:val="0"/>
          <w:numId w:val="39"/>
        </w:numPr>
        <w:jc w:val="both"/>
        <w:rPr>
          <w:rFonts w:cs="Arial"/>
          <w:sz w:val="22"/>
          <w:szCs w:val="22"/>
          <w:lang w:val="ru-RU"/>
        </w:rPr>
      </w:pPr>
      <w:r w:rsidRPr="00746B32">
        <w:rPr>
          <w:rFonts w:cs="Arial"/>
          <w:sz w:val="22"/>
          <w:szCs w:val="22"/>
          <w:lang w:val="ru-RU"/>
        </w:rPr>
        <w:t>выполнения Банком по состоянию на 1 января 2015 года обязательных нормативов, установленных Банком России;</w:t>
      </w:r>
    </w:p>
    <w:p w:rsidR="003E55F7" w:rsidRPr="00746B32" w:rsidRDefault="003E55F7" w:rsidP="00746B32">
      <w:pPr>
        <w:numPr>
          <w:ilvl w:val="0"/>
          <w:numId w:val="39"/>
        </w:numPr>
        <w:jc w:val="both"/>
        <w:rPr>
          <w:rFonts w:cs="Arial"/>
          <w:sz w:val="22"/>
          <w:szCs w:val="22"/>
          <w:lang w:val="ru-RU"/>
        </w:rPr>
      </w:pPr>
      <w:r w:rsidRPr="00746B32">
        <w:rPr>
          <w:rFonts w:cs="Arial"/>
          <w:sz w:val="22"/>
          <w:szCs w:val="22"/>
          <w:lang w:val="ru-RU"/>
        </w:rPr>
        <w:t>соответствия внутреннего контроля и организации систем управления рисками Банка требованиям, предъявляемым Банком России к таким системам в части:</w:t>
      </w:r>
    </w:p>
    <w:p w:rsidR="003E55F7" w:rsidRPr="00746B32" w:rsidRDefault="003E55F7" w:rsidP="00746B32">
      <w:pPr>
        <w:numPr>
          <w:ilvl w:val="1"/>
          <w:numId w:val="39"/>
        </w:numPr>
        <w:jc w:val="both"/>
        <w:rPr>
          <w:rFonts w:cs="Arial"/>
          <w:sz w:val="22"/>
          <w:szCs w:val="22"/>
        </w:rPr>
      </w:pPr>
      <w:r w:rsidRPr="00746B32">
        <w:rPr>
          <w:rFonts w:cs="Arial"/>
          <w:sz w:val="22"/>
          <w:szCs w:val="22"/>
        </w:rPr>
        <w:t>подчиненности</w:t>
      </w:r>
      <w:r w:rsidR="000D6864" w:rsidRPr="00746B32">
        <w:rPr>
          <w:rFonts w:cs="Arial"/>
          <w:sz w:val="22"/>
          <w:szCs w:val="22"/>
          <w:lang w:val="ru-RU"/>
        </w:rPr>
        <w:t xml:space="preserve"> </w:t>
      </w:r>
      <w:r w:rsidRPr="00746B32">
        <w:rPr>
          <w:rFonts w:cs="Arial"/>
          <w:sz w:val="22"/>
          <w:szCs w:val="22"/>
        </w:rPr>
        <w:t>подразделений</w:t>
      </w:r>
      <w:r w:rsidR="000D6864" w:rsidRPr="00746B32">
        <w:rPr>
          <w:rFonts w:cs="Arial"/>
          <w:sz w:val="22"/>
          <w:szCs w:val="22"/>
          <w:lang w:val="ru-RU"/>
        </w:rPr>
        <w:t xml:space="preserve"> </w:t>
      </w:r>
      <w:r w:rsidRPr="00746B32">
        <w:rPr>
          <w:rFonts w:cs="Arial"/>
          <w:sz w:val="22"/>
          <w:szCs w:val="22"/>
        </w:rPr>
        <w:t>управления</w:t>
      </w:r>
      <w:r w:rsidR="000D6864" w:rsidRPr="00746B32">
        <w:rPr>
          <w:rFonts w:cs="Arial"/>
          <w:sz w:val="22"/>
          <w:szCs w:val="22"/>
          <w:lang w:val="ru-RU"/>
        </w:rPr>
        <w:t xml:space="preserve"> </w:t>
      </w:r>
      <w:r w:rsidRPr="00746B32">
        <w:rPr>
          <w:rFonts w:cs="Arial"/>
          <w:sz w:val="22"/>
          <w:szCs w:val="22"/>
        </w:rPr>
        <w:t>рисками;</w:t>
      </w:r>
    </w:p>
    <w:p w:rsidR="003E55F7" w:rsidRPr="00746B32" w:rsidRDefault="003E55F7" w:rsidP="00746B32">
      <w:pPr>
        <w:numPr>
          <w:ilvl w:val="1"/>
          <w:numId w:val="39"/>
        </w:numPr>
        <w:jc w:val="both"/>
        <w:rPr>
          <w:rFonts w:cs="Arial"/>
          <w:sz w:val="22"/>
          <w:szCs w:val="22"/>
          <w:lang w:val="ru-RU"/>
        </w:rPr>
      </w:pPr>
      <w:r w:rsidRPr="00746B32">
        <w:rPr>
          <w:rFonts w:cs="Arial"/>
          <w:sz w:val="22"/>
          <w:szCs w:val="22"/>
          <w:lang w:val="ru-RU"/>
        </w:rPr>
        <w:t>наличия у Банка утвержденных уполномоченными органами Банка методик выявления значимых для Банка рисков, управления значимыми для Банка рисками, осуществления стресс-тестирования, наличия системы отчетности по значимым для Банка рискам и капиталу;</w:t>
      </w:r>
    </w:p>
    <w:p w:rsidR="003E55F7" w:rsidRPr="00746B32" w:rsidRDefault="003E55F7" w:rsidP="00746B32">
      <w:pPr>
        <w:numPr>
          <w:ilvl w:val="1"/>
          <w:numId w:val="39"/>
        </w:numPr>
        <w:jc w:val="both"/>
        <w:rPr>
          <w:rFonts w:cs="Arial"/>
          <w:sz w:val="22"/>
          <w:szCs w:val="22"/>
          <w:lang w:val="ru-RU"/>
        </w:rPr>
      </w:pPr>
      <w:r w:rsidRPr="00746B32">
        <w:rPr>
          <w:rFonts w:cs="Arial"/>
          <w:sz w:val="22"/>
          <w:szCs w:val="22"/>
          <w:lang w:val="ru-RU"/>
        </w:rPr>
        <w:t>последовательности применения в Банке методик управления значимыми для Банка рисками и оценки их эффективности;</w:t>
      </w:r>
    </w:p>
    <w:p w:rsidR="003E55F7" w:rsidRPr="00746B32" w:rsidRDefault="003E55F7" w:rsidP="00746B32">
      <w:pPr>
        <w:numPr>
          <w:ilvl w:val="1"/>
          <w:numId w:val="39"/>
        </w:numPr>
        <w:jc w:val="both"/>
        <w:rPr>
          <w:rFonts w:cs="Arial"/>
          <w:sz w:val="22"/>
          <w:szCs w:val="22"/>
          <w:lang w:val="ru-RU"/>
        </w:rPr>
      </w:pPr>
      <w:r w:rsidRPr="00746B32">
        <w:rPr>
          <w:rFonts w:cs="Arial"/>
          <w:sz w:val="22"/>
          <w:szCs w:val="22"/>
          <w:lang w:val="ru-RU"/>
        </w:rPr>
        <w:t>осуществления Советом директоров и исполнительными органами управления Банка контроля соблюдения установленных внутренними документами Банка предельных значений рисков и достаточности собственных средств (капитала), эффективности применяемых в Банке процедур управления рисками и последовательности их применения.</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Указанная проверка ограничивалась такими выбранными на основе нашего суждения процедурами как запросы, анализ, изучение документов, сравнение утвержденных Банком требований, порядка и методик с требованиями, предъявляемыми Банком России, а также пересчет, сравнение и сверка числовых значений и иной информации.</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Результаты проведенной нами проверки изложены ниже.</w:t>
      </w:r>
    </w:p>
    <w:p w:rsidR="003E55F7" w:rsidRPr="00746B32" w:rsidRDefault="003E55F7" w:rsidP="00746B32">
      <w:pPr>
        <w:jc w:val="both"/>
        <w:rPr>
          <w:rFonts w:cs="Arial"/>
          <w:sz w:val="22"/>
          <w:szCs w:val="22"/>
          <w:lang w:val="ru-RU"/>
        </w:rPr>
      </w:pPr>
    </w:p>
    <w:p w:rsidR="003E55F7" w:rsidRPr="00746B32" w:rsidRDefault="003E55F7" w:rsidP="00746B32">
      <w:pPr>
        <w:jc w:val="center"/>
        <w:rPr>
          <w:rFonts w:cs="Arial"/>
          <w:sz w:val="22"/>
          <w:szCs w:val="22"/>
          <w:u w:val="single"/>
          <w:lang w:val="ru-RU"/>
        </w:rPr>
      </w:pPr>
      <w:r w:rsidRPr="00746B32">
        <w:rPr>
          <w:rFonts w:cs="Arial"/>
          <w:sz w:val="22"/>
          <w:szCs w:val="22"/>
          <w:u w:val="single"/>
          <w:lang w:val="ru-RU"/>
        </w:rPr>
        <w:t>Выполнение Банком обязательных нормативов, установленных Банком России</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 xml:space="preserve">Мы установили, что значения обязательных нормативов Банка по состоянию на 1 января 2015 года рассчитаны на основе данных годовой бухгалтерской (финансовой) отчетности за 2014 год, в отношении которой аудитором ООО «ИКАР» выражено отрицательное мнение о том, что годовая бухгалтерская (финансовая) отчетность не отражает достоверно во всех существенных отношениях финансовое положение Банка по состоянию на 1 января 2014 года, его финансовые результаты и движение денежных </w:t>
      </w:r>
      <w:r w:rsidRPr="00746B32">
        <w:rPr>
          <w:rFonts w:cs="Arial"/>
          <w:sz w:val="22"/>
          <w:szCs w:val="22"/>
          <w:lang w:val="ru-RU"/>
        </w:rPr>
        <w:lastRenderedPageBreak/>
        <w:t>средств за 2014 год в соответствии с российскими правилами составления бухгалтерской (финансовой) отчетности кредитными организациями.</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Мы не проводили каких-либо процедур в отношении данных бухгалтерского учета Банка, кроме процедур, которые мы сочли необходимыми для целей выражения мнения о том, отражает ли годовая финансовая отчетность Банка достоверно во всех существенных отношениях его финансовое положение по состоянию за 31 декабря 2014 года, финансовые результаты его деятельности и движение денежных средств за 2014 год в соответствии с Международными стандартами финансовой отчетности.</w:t>
      </w:r>
    </w:p>
    <w:p w:rsidR="003E55F7" w:rsidRPr="00746B32" w:rsidRDefault="003E55F7" w:rsidP="00746B32">
      <w:pPr>
        <w:jc w:val="both"/>
        <w:rPr>
          <w:rFonts w:cs="Arial"/>
          <w:sz w:val="22"/>
          <w:szCs w:val="22"/>
          <w:lang w:val="ru-RU"/>
        </w:rPr>
      </w:pPr>
    </w:p>
    <w:p w:rsidR="003E55F7" w:rsidRPr="00746B32" w:rsidRDefault="003E55F7" w:rsidP="00746B32">
      <w:pPr>
        <w:jc w:val="center"/>
        <w:rPr>
          <w:rFonts w:cs="Arial"/>
          <w:sz w:val="22"/>
          <w:szCs w:val="22"/>
          <w:u w:val="single"/>
          <w:lang w:val="ru-RU"/>
        </w:rPr>
      </w:pPr>
      <w:r w:rsidRPr="00746B32">
        <w:rPr>
          <w:rFonts w:cs="Arial"/>
          <w:sz w:val="22"/>
          <w:szCs w:val="22"/>
          <w:u w:val="single"/>
          <w:lang w:val="ru-RU"/>
        </w:rPr>
        <w:t>Соответствие внутреннего контроля и организации систем управления рисками Банка требованиям, предъявляемым Банком России к таким системам</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Мы установили, что в соответствии с нормативными актами и рекомендациями Банка России по состоянию за 31 декабря 2014 года служба внутреннего аудита Банка подчинена и подотчетна Совету директоров, а подразделения управления рисками Банка не были подчинены и не были подотчетны подразделениям, принимающим соответствующие риски. По состоянию на 31 декабря 2014 года не был назначен руководитель Службы внутреннего аудита. Руководитель подразделения управления рисками Банка соответствует квалификационным требованиям, установленным Банком России.</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Мы установили, что действующие за 31 декабря 2014 года внутренние документы Банка, устанавливающие методики выявления значимых для Банка кредитных, рыночных, операционных рисков и риска потери ликвидности, управления такими рисками и осуществления стресс-тестирования утверждены уполномоченными органами управления Банка в соответствии с нормативными актами и рекомендациями Банка России. Мы также установили наличие в Банке по состоянию за 31 декабря 2014 года системы отчетности по значимым для Банка кредитным, рыночным, операционным рискам и риску потери ликвидности и собственным средствам (капиталу) Банка.</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 xml:space="preserve">Мы установили, что периодичность и последовательность отчетов, подготовленных </w:t>
      </w:r>
      <w:r w:rsidR="00F27192" w:rsidRPr="00746B32">
        <w:rPr>
          <w:rFonts w:cs="Arial"/>
          <w:sz w:val="22"/>
          <w:szCs w:val="22"/>
          <w:lang w:val="ru-RU"/>
        </w:rPr>
        <w:t xml:space="preserve">отделом банковских рисков </w:t>
      </w:r>
      <w:r w:rsidRPr="00746B32">
        <w:rPr>
          <w:rFonts w:cs="Arial"/>
          <w:sz w:val="22"/>
          <w:szCs w:val="22"/>
          <w:lang w:val="ru-RU"/>
        </w:rPr>
        <w:t xml:space="preserve"> и службой внутреннего контроля Банка в течение 2014 года, в отношении вопросов управления, кредитными, рыночными, операционными рисками и риском потери ликвидности Банка соответствовали внутренним документам Банка; вместе с тем указанные отчеты не включали результаты наблюдения, сделанные </w:t>
      </w:r>
      <w:r w:rsidR="00F27192" w:rsidRPr="00746B32">
        <w:rPr>
          <w:rFonts w:cs="Arial"/>
          <w:sz w:val="22"/>
          <w:szCs w:val="22"/>
          <w:lang w:val="ru-RU"/>
        </w:rPr>
        <w:t>отделом банковских рисков</w:t>
      </w:r>
      <w:r w:rsidRPr="00746B32">
        <w:rPr>
          <w:rFonts w:cs="Arial"/>
          <w:sz w:val="22"/>
          <w:szCs w:val="22"/>
          <w:lang w:val="ru-RU"/>
        </w:rPr>
        <w:t xml:space="preserve"> и службой внутреннего аудита Банка, в отношении эффективности соответствующих методик Банка по управлению рисками, а также рекомендации по их совершенствованию. Отчеты Банка о состоянии кредитных, рыночных рисков и риска потери ликвидности за 4 квартал 2014 года не предоставлены.</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t xml:space="preserve">Мы установили, что по состоянию за 31 декабря 2014 года к полномочиям Совета директоров и исполнительных органов управления Банка относился контроль за соблюдением Банком установленных внутренними документами Банка предельных значений рисков и достаточности собственных средств (капитала). С целью осуществления контроля эффективности применяемых в Банке процедур управления рисками и последовательности их применения в течение 1-3 кварталов 2014 года Совет директоров и органы управления Банка на периодической основе рассматривали отчеты, подготовленные подразделениями управления рисками Банка и службами внутреннего контроля. Документы, подтверждающие осуществление контрольных функций Советом директоров и органов управления Банка в 4 квартале 2014 года, не предоставлены.  </w:t>
      </w:r>
    </w:p>
    <w:p w:rsidR="003E55F7" w:rsidRPr="00746B32" w:rsidRDefault="003E55F7" w:rsidP="00746B32">
      <w:pPr>
        <w:jc w:val="both"/>
        <w:rPr>
          <w:rFonts w:cs="Arial"/>
          <w:sz w:val="22"/>
          <w:szCs w:val="22"/>
          <w:lang w:val="ru-RU"/>
        </w:rPr>
      </w:pPr>
    </w:p>
    <w:p w:rsidR="003E55F7" w:rsidRPr="00746B32" w:rsidRDefault="003E55F7" w:rsidP="00746B32">
      <w:pPr>
        <w:jc w:val="both"/>
        <w:rPr>
          <w:rFonts w:cs="Arial"/>
          <w:sz w:val="22"/>
          <w:szCs w:val="22"/>
          <w:lang w:val="ru-RU"/>
        </w:rPr>
      </w:pPr>
      <w:r w:rsidRPr="00746B32">
        <w:rPr>
          <w:rFonts w:cs="Arial"/>
          <w:sz w:val="22"/>
          <w:szCs w:val="22"/>
          <w:lang w:val="ru-RU"/>
        </w:rPr>
        <w:lastRenderedPageBreak/>
        <w:t>Процедуры в отношении внутреннего контроля и организации систем управления рисками были проведены нами исключительно для целей проверки соответствия указанных в Федеральном законе и описанных выше определенных элементов внутреннего контроля и организации систем управления рисками Банка требованиям, предъявляемым Банком России к таким системам.</w:t>
      </w:r>
    </w:p>
    <w:p w:rsidR="003E55F7" w:rsidRPr="00746B32" w:rsidRDefault="003E55F7" w:rsidP="00746B32">
      <w:pPr>
        <w:ind w:firstLine="540"/>
        <w:jc w:val="both"/>
        <w:rPr>
          <w:rFonts w:cs="Arial"/>
          <w:sz w:val="22"/>
          <w:szCs w:val="22"/>
          <w:lang w:val="ru-RU"/>
        </w:rPr>
      </w:pPr>
    </w:p>
    <w:p w:rsidR="003E55F7" w:rsidRPr="00746B32" w:rsidRDefault="003E55F7" w:rsidP="00746B32">
      <w:pPr>
        <w:ind w:firstLine="540"/>
        <w:jc w:val="both"/>
        <w:rPr>
          <w:rFonts w:cs="Arial"/>
          <w:sz w:val="22"/>
          <w:szCs w:val="22"/>
          <w:lang w:val="ru-RU"/>
        </w:rPr>
      </w:pPr>
      <w:r w:rsidRPr="00746B32">
        <w:rPr>
          <w:rFonts w:cs="Arial"/>
          <w:sz w:val="22"/>
          <w:szCs w:val="22"/>
          <w:lang w:val="ru-RU"/>
        </w:rPr>
        <w:t xml:space="preserve">Заместитель Генерального директора – </w:t>
      </w:r>
    </w:p>
    <w:p w:rsidR="003E55F7" w:rsidRPr="00746B32" w:rsidRDefault="003E55F7" w:rsidP="00746B32">
      <w:pPr>
        <w:ind w:firstLine="540"/>
        <w:jc w:val="both"/>
        <w:rPr>
          <w:rFonts w:cs="Arial"/>
          <w:sz w:val="22"/>
          <w:szCs w:val="22"/>
          <w:lang w:val="ru-RU"/>
        </w:rPr>
      </w:pPr>
      <w:r w:rsidRPr="00746B32">
        <w:rPr>
          <w:rFonts w:cs="Arial"/>
          <w:sz w:val="22"/>
          <w:szCs w:val="22"/>
          <w:lang w:val="ru-RU"/>
        </w:rPr>
        <w:t>Директор Департамента международной</w:t>
      </w:r>
    </w:p>
    <w:p w:rsidR="003E55F7" w:rsidRPr="00746B32" w:rsidRDefault="003E55F7" w:rsidP="00746B32">
      <w:pPr>
        <w:ind w:firstLine="540"/>
        <w:jc w:val="both"/>
        <w:rPr>
          <w:rFonts w:cs="Arial"/>
          <w:sz w:val="22"/>
          <w:szCs w:val="22"/>
          <w:lang w:val="ru-RU"/>
        </w:rPr>
      </w:pPr>
      <w:r w:rsidRPr="00746B32">
        <w:rPr>
          <w:rFonts w:cs="Arial"/>
          <w:sz w:val="22"/>
          <w:szCs w:val="22"/>
          <w:lang w:val="ru-RU"/>
        </w:rPr>
        <w:t>финансовой отчетности</w:t>
      </w:r>
      <w:r w:rsidRPr="00746B32">
        <w:rPr>
          <w:rFonts w:cs="Arial"/>
          <w:sz w:val="22"/>
          <w:szCs w:val="22"/>
          <w:lang w:val="ru-RU"/>
        </w:rPr>
        <w:tab/>
      </w:r>
      <w:r w:rsidRPr="00746B32">
        <w:rPr>
          <w:rFonts w:cs="Arial"/>
          <w:sz w:val="22"/>
          <w:szCs w:val="22"/>
          <w:lang w:val="ru-RU"/>
        </w:rPr>
        <w:tab/>
      </w:r>
      <w:r w:rsidRPr="00746B32">
        <w:rPr>
          <w:rFonts w:cs="Arial"/>
          <w:sz w:val="22"/>
          <w:szCs w:val="22"/>
          <w:lang w:val="ru-RU"/>
        </w:rPr>
        <w:tab/>
      </w:r>
      <w:r w:rsidRPr="00746B32">
        <w:rPr>
          <w:rFonts w:cs="Arial"/>
          <w:sz w:val="22"/>
          <w:szCs w:val="22"/>
          <w:lang w:val="ru-RU"/>
        </w:rPr>
        <w:tab/>
      </w:r>
      <w:r w:rsidRPr="00746B32">
        <w:rPr>
          <w:rFonts w:cs="Arial"/>
          <w:sz w:val="22"/>
          <w:szCs w:val="22"/>
          <w:lang w:val="ru-RU"/>
        </w:rPr>
        <w:tab/>
      </w:r>
      <w:r w:rsidRPr="00746B32">
        <w:rPr>
          <w:rFonts w:cs="Arial"/>
          <w:sz w:val="22"/>
          <w:szCs w:val="22"/>
          <w:lang w:val="ru-RU"/>
        </w:rPr>
        <w:tab/>
      </w:r>
      <w:r w:rsidRPr="00746B32">
        <w:rPr>
          <w:rFonts w:cs="Arial"/>
          <w:sz w:val="22"/>
          <w:szCs w:val="22"/>
          <w:lang w:val="ru-RU"/>
        </w:rPr>
        <w:tab/>
        <w:t>Потехин В.В.</w:t>
      </w:r>
    </w:p>
    <w:p w:rsidR="003E55F7" w:rsidRPr="00746B32" w:rsidRDefault="003E55F7" w:rsidP="00746B32">
      <w:pPr>
        <w:ind w:firstLine="540"/>
        <w:jc w:val="both"/>
        <w:rPr>
          <w:rFonts w:cs="Arial"/>
          <w:sz w:val="22"/>
          <w:szCs w:val="22"/>
          <w:lang w:val="ru-RU"/>
        </w:rPr>
      </w:pPr>
    </w:p>
    <w:p w:rsidR="003E55F7" w:rsidRPr="00746B32" w:rsidRDefault="003E55F7" w:rsidP="00746B32">
      <w:pPr>
        <w:ind w:firstLine="540"/>
        <w:jc w:val="both"/>
        <w:rPr>
          <w:rFonts w:cs="Arial"/>
          <w:lang w:val="ru-RU"/>
        </w:rPr>
      </w:pPr>
      <w:r w:rsidRPr="00746B32">
        <w:rPr>
          <w:rFonts w:cs="Arial"/>
          <w:lang w:val="ru-RU"/>
        </w:rPr>
        <w:t>Квалификационный аттестат аудитора № 05-000126, выдан на основании решения</w:t>
      </w:r>
    </w:p>
    <w:p w:rsidR="003E55F7" w:rsidRPr="00746B32" w:rsidRDefault="003E55F7" w:rsidP="00746B32">
      <w:pPr>
        <w:ind w:firstLine="540"/>
        <w:jc w:val="both"/>
        <w:rPr>
          <w:rFonts w:cs="Arial"/>
          <w:lang w:val="ru-RU"/>
        </w:rPr>
      </w:pPr>
      <w:r w:rsidRPr="00746B32">
        <w:rPr>
          <w:rFonts w:cs="Arial"/>
          <w:lang w:val="ru-RU"/>
        </w:rPr>
        <w:t>СРОА «НП «Российская коллегия аудиторов»» от 22.06.2012 г. № 20.</w:t>
      </w:r>
    </w:p>
    <w:p w:rsidR="003E55F7" w:rsidRPr="00746B32" w:rsidRDefault="003E55F7" w:rsidP="00746B32">
      <w:pPr>
        <w:ind w:firstLine="540"/>
        <w:jc w:val="both"/>
        <w:rPr>
          <w:rFonts w:cs="Arial"/>
          <w:lang w:val="ru-RU"/>
        </w:rPr>
      </w:pPr>
      <w:r w:rsidRPr="00746B32">
        <w:rPr>
          <w:rFonts w:cs="Arial"/>
          <w:lang w:val="ru-RU"/>
        </w:rPr>
        <w:t xml:space="preserve">Основной регистрационный номер в Реестре аудиторов и аудиторских организаций </w:t>
      </w:r>
    </w:p>
    <w:p w:rsidR="003E55F7" w:rsidRPr="00746B32" w:rsidRDefault="003E55F7" w:rsidP="00746B32">
      <w:pPr>
        <w:ind w:firstLine="540"/>
        <w:jc w:val="both"/>
        <w:rPr>
          <w:rFonts w:cs="Arial"/>
          <w:lang w:val="ru-RU"/>
        </w:rPr>
      </w:pPr>
      <w:r w:rsidRPr="00746B32">
        <w:rPr>
          <w:rFonts w:cs="Arial"/>
          <w:lang w:val="ru-RU"/>
        </w:rPr>
        <w:t>20205019596, член СРОА «НП «Российская коллегия аудиторов»</w:t>
      </w:r>
    </w:p>
    <w:p w:rsidR="003E55F7" w:rsidRPr="00746B32" w:rsidRDefault="003E55F7" w:rsidP="00746B32">
      <w:pPr>
        <w:ind w:firstLine="540"/>
        <w:jc w:val="both"/>
        <w:rPr>
          <w:rFonts w:cs="Arial"/>
          <w:lang w:val="ru-RU"/>
        </w:rPr>
      </w:pPr>
      <w:r w:rsidRPr="00746B32">
        <w:rPr>
          <w:rFonts w:cs="Arial"/>
          <w:lang w:val="ru-RU"/>
        </w:rPr>
        <w:t>в соответствии с решением Совета РКА от 12.11.2009 г., Свидетельство № 3453</w:t>
      </w:r>
    </w:p>
    <w:p w:rsidR="003E55F7" w:rsidRPr="00746B32" w:rsidRDefault="003E55F7" w:rsidP="00746B32">
      <w:pPr>
        <w:jc w:val="both"/>
        <w:rPr>
          <w:rFonts w:cs="Arial"/>
          <w:sz w:val="22"/>
          <w:szCs w:val="22"/>
          <w:lang w:val="ru-RU"/>
        </w:rPr>
      </w:pPr>
    </w:p>
    <w:p w:rsidR="003E55F7" w:rsidRPr="00746B32" w:rsidRDefault="003E55F7" w:rsidP="00746B32">
      <w:pPr>
        <w:ind w:firstLine="540"/>
        <w:jc w:val="both"/>
        <w:rPr>
          <w:rFonts w:cs="Arial"/>
          <w:sz w:val="22"/>
          <w:szCs w:val="22"/>
          <w:lang w:val="ru-RU"/>
        </w:rPr>
      </w:pPr>
    </w:p>
    <w:p w:rsidR="003E55F7" w:rsidRPr="00746B32" w:rsidRDefault="003E55F7" w:rsidP="00746B32">
      <w:pPr>
        <w:ind w:firstLine="540"/>
        <w:jc w:val="both"/>
      </w:pPr>
      <w:r w:rsidRPr="00746B32">
        <w:rPr>
          <w:rFonts w:cs="Arial"/>
          <w:sz w:val="22"/>
          <w:szCs w:val="22"/>
          <w:lang w:val="ru-RU"/>
        </w:rPr>
        <w:t>20 января 2016 года</w:t>
      </w:r>
    </w:p>
    <w:p w:rsidR="009C4246" w:rsidRPr="00746B32" w:rsidRDefault="009C4246" w:rsidP="00746B32">
      <w:pPr>
        <w:spacing w:after="120"/>
        <w:rPr>
          <w:noProof/>
          <w:sz w:val="20"/>
          <w:lang w:val="ru-RU" w:eastAsia="en-GB"/>
        </w:rPr>
      </w:pPr>
    </w:p>
    <w:p w:rsidR="005C7342" w:rsidRPr="00746B32" w:rsidRDefault="005C7342" w:rsidP="00746B32">
      <w:pPr>
        <w:pStyle w:val="Report"/>
        <w:numPr>
          <w:ilvl w:val="0"/>
          <w:numId w:val="0"/>
        </w:numPr>
        <w:spacing w:after="120"/>
        <w:rPr>
          <w:rFonts w:asciiTheme="majorHAnsi" w:eastAsia="Arial" w:hAnsiTheme="majorHAnsi"/>
          <w:lang w:val="ru-RU"/>
        </w:rPr>
      </w:pPr>
    </w:p>
    <w:p w:rsidR="006C3F3A" w:rsidRPr="00746B32" w:rsidRDefault="006C3F3A" w:rsidP="00746B32">
      <w:pPr>
        <w:pStyle w:val="Report"/>
        <w:numPr>
          <w:ilvl w:val="0"/>
          <w:numId w:val="0"/>
        </w:numPr>
        <w:spacing w:after="120"/>
        <w:rPr>
          <w:rFonts w:asciiTheme="majorHAnsi" w:eastAsia="Arial" w:hAnsiTheme="majorHAnsi"/>
          <w:lang w:val="ru-RU"/>
        </w:rPr>
        <w:sectPr w:rsidR="006C3F3A" w:rsidRPr="00746B32" w:rsidSect="00E1603B">
          <w:pgSz w:w="11907" w:h="16840" w:code="9"/>
          <w:pgMar w:top="1446" w:right="851" w:bottom="255" w:left="1701" w:header="709" w:footer="709" w:gutter="0"/>
          <w:paperSrc w:other="15"/>
          <w:pgNumType w:start="1"/>
          <w:cols w:space="720"/>
          <w:noEndnote/>
        </w:sectPr>
      </w:pPr>
    </w:p>
    <w:tbl>
      <w:tblPr>
        <w:tblW w:w="9704" w:type="dxa"/>
        <w:tblCellMar>
          <w:left w:w="30" w:type="dxa"/>
          <w:right w:w="30" w:type="dxa"/>
        </w:tblCellMar>
        <w:tblLook w:val="0000"/>
      </w:tblPr>
      <w:tblGrid>
        <w:gridCol w:w="9558"/>
        <w:gridCol w:w="80"/>
        <w:gridCol w:w="66"/>
      </w:tblGrid>
      <w:tr w:rsidR="001F426D" w:rsidRPr="0046554E" w:rsidTr="009F6FE2">
        <w:trPr>
          <w:trHeight w:val="13630"/>
        </w:trPr>
        <w:tc>
          <w:tcPr>
            <w:tcW w:w="9558" w:type="dxa"/>
            <w:shd w:val="solid" w:color="FFFFFF" w:fill="auto"/>
          </w:tcPr>
          <w:tbl>
            <w:tblPr>
              <w:tblW w:w="9214" w:type="dxa"/>
              <w:tblCellMar>
                <w:left w:w="30" w:type="dxa"/>
                <w:right w:w="30" w:type="dxa"/>
              </w:tblCellMar>
              <w:tblLook w:val="0000"/>
            </w:tblPr>
            <w:tblGrid>
              <w:gridCol w:w="1601"/>
              <w:gridCol w:w="1603"/>
              <w:gridCol w:w="811"/>
              <w:gridCol w:w="1617"/>
              <w:gridCol w:w="1688"/>
              <w:gridCol w:w="1894"/>
            </w:tblGrid>
            <w:tr w:rsidR="00E00640" w:rsidRPr="00746B32" w:rsidTr="00C06AC5">
              <w:trPr>
                <w:gridAfter w:val="4"/>
                <w:wAfter w:w="3261" w:type="pct"/>
                <w:trHeight w:val="202"/>
              </w:trPr>
              <w:tc>
                <w:tcPr>
                  <w:tcW w:w="869" w:type="pct"/>
                  <w:shd w:val="solid" w:color="FFFFFF" w:fill="auto"/>
                </w:tcPr>
                <w:p w:rsidR="00E00640" w:rsidRPr="00746B32" w:rsidRDefault="00E00640" w:rsidP="00746B32">
                  <w:pPr>
                    <w:autoSpaceDE w:val="0"/>
                    <w:autoSpaceDN w:val="0"/>
                    <w:adjustRightInd w:val="0"/>
                    <w:jc w:val="right"/>
                    <w:rPr>
                      <w:rFonts w:cs="Arial"/>
                      <w:i/>
                      <w:iCs/>
                      <w:color w:val="000000"/>
                      <w:sz w:val="20"/>
                      <w:lang w:val="ru-RU"/>
                    </w:rPr>
                  </w:pPr>
                </w:p>
              </w:tc>
              <w:tc>
                <w:tcPr>
                  <w:tcW w:w="870" w:type="pct"/>
                  <w:shd w:val="solid" w:color="FFFFFF" w:fill="auto"/>
                </w:tcPr>
                <w:p w:rsidR="00E00640" w:rsidRPr="00746B32" w:rsidRDefault="00E00640" w:rsidP="00746B32">
                  <w:pPr>
                    <w:autoSpaceDE w:val="0"/>
                    <w:autoSpaceDN w:val="0"/>
                    <w:adjustRightInd w:val="0"/>
                    <w:jc w:val="right"/>
                    <w:rPr>
                      <w:rFonts w:cs="Arial"/>
                      <w:i/>
                      <w:iCs/>
                      <w:color w:val="000000"/>
                      <w:sz w:val="20"/>
                      <w:lang w:val="ru-RU"/>
                    </w:rPr>
                  </w:pPr>
                </w:p>
              </w:tc>
            </w:tr>
            <w:tr w:rsidR="00E00640" w:rsidRPr="00746B32" w:rsidTr="00C06AC5">
              <w:tblPrEx>
                <w:tblCellMar>
                  <w:left w:w="108" w:type="dxa"/>
                  <w:right w:w="108" w:type="dxa"/>
                </w:tblCellMar>
                <w:tblLook w:val="04A0"/>
              </w:tblPrEx>
              <w:trPr>
                <w:trHeight w:val="63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p>
              </w:tc>
              <w:tc>
                <w:tcPr>
                  <w:tcW w:w="440" w:type="pct"/>
                  <w:tcBorders>
                    <w:top w:val="nil"/>
                    <w:left w:val="nil"/>
                    <w:bottom w:val="single" w:sz="4" w:space="0" w:color="auto"/>
                    <w:right w:val="nil"/>
                  </w:tcBorders>
                  <w:shd w:val="clear" w:color="auto" w:fill="auto"/>
                  <w:noWrap/>
                  <w:vAlign w:val="bottom"/>
                  <w:hideMark/>
                </w:tcPr>
                <w:p w:rsidR="00E00640" w:rsidRPr="00746B32" w:rsidRDefault="00E00640" w:rsidP="00746B32">
                  <w:pPr>
                    <w:jc w:val="center"/>
                    <w:rPr>
                      <w:rFonts w:cs="Arial"/>
                      <w:b/>
                      <w:bCs/>
                      <w:color w:val="000000"/>
                      <w:sz w:val="20"/>
                      <w:lang w:val="ru-RU"/>
                    </w:rPr>
                  </w:pPr>
                  <w:r w:rsidRPr="00746B32">
                    <w:rPr>
                      <w:rFonts w:cs="Arial"/>
                      <w:b/>
                      <w:bCs/>
                      <w:color w:val="000000"/>
                      <w:sz w:val="20"/>
                      <w:lang w:val="ru-RU"/>
                    </w:rPr>
                    <w:t>Прим.</w:t>
                  </w:r>
                </w:p>
              </w:tc>
              <w:tc>
                <w:tcPr>
                  <w:tcW w:w="877" w:type="pct"/>
                  <w:tcBorders>
                    <w:top w:val="nil"/>
                    <w:left w:val="nil"/>
                    <w:bottom w:val="single" w:sz="4" w:space="0" w:color="auto"/>
                    <w:right w:val="nil"/>
                  </w:tcBorders>
                  <w:shd w:val="clear" w:color="auto" w:fill="auto"/>
                  <w:vAlign w:val="bottom"/>
                  <w:hideMark/>
                </w:tcPr>
                <w:p w:rsidR="00BA7360" w:rsidRPr="00746B32" w:rsidRDefault="00E00640" w:rsidP="00746B32">
                  <w:pPr>
                    <w:jc w:val="right"/>
                    <w:rPr>
                      <w:rFonts w:cs="Arial"/>
                      <w:b/>
                      <w:bCs/>
                      <w:color w:val="000000"/>
                      <w:sz w:val="20"/>
                      <w:lang w:val="ru-RU"/>
                    </w:rPr>
                  </w:pPr>
                  <w:r w:rsidRPr="00746B32">
                    <w:rPr>
                      <w:rFonts w:cs="Arial"/>
                      <w:b/>
                      <w:bCs/>
                      <w:color w:val="000000"/>
                      <w:sz w:val="20"/>
                      <w:lang w:val="ru-RU"/>
                    </w:rPr>
                    <w:t>31 декабря 2014 года</w:t>
                  </w:r>
                </w:p>
              </w:tc>
              <w:tc>
                <w:tcPr>
                  <w:tcW w:w="916" w:type="pct"/>
                  <w:tcBorders>
                    <w:top w:val="nil"/>
                    <w:left w:val="nil"/>
                    <w:bottom w:val="single" w:sz="4" w:space="0" w:color="auto"/>
                    <w:right w:val="nil"/>
                  </w:tcBorders>
                  <w:shd w:val="clear" w:color="auto" w:fill="auto"/>
                  <w:vAlign w:val="bottom"/>
                  <w:hideMark/>
                </w:tcPr>
                <w:p w:rsidR="00BA7360" w:rsidRPr="00746B32" w:rsidRDefault="00E00640" w:rsidP="00746B32">
                  <w:pPr>
                    <w:jc w:val="right"/>
                    <w:rPr>
                      <w:rFonts w:cs="Arial"/>
                      <w:b/>
                      <w:bCs/>
                      <w:color w:val="000000"/>
                      <w:sz w:val="20"/>
                      <w:lang w:val="ru-RU"/>
                    </w:rPr>
                  </w:pPr>
                  <w:r w:rsidRPr="00746B32">
                    <w:rPr>
                      <w:rFonts w:cs="Arial"/>
                      <w:b/>
                      <w:bCs/>
                      <w:color w:val="000000"/>
                      <w:sz w:val="20"/>
                      <w:lang w:val="ru-RU"/>
                    </w:rPr>
                    <w:t>31 декабря 2013 года</w:t>
                  </w:r>
                </w:p>
              </w:tc>
              <w:tc>
                <w:tcPr>
                  <w:tcW w:w="1028" w:type="pct"/>
                  <w:tcBorders>
                    <w:top w:val="nil"/>
                    <w:left w:val="nil"/>
                    <w:bottom w:val="single" w:sz="4" w:space="0" w:color="auto"/>
                    <w:right w:val="nil"/>
                  </w:tcBorders>
                  <w:shd w:val="clear" w:color="auto" w:fill="auto"/>
                  <w:vAlign w:val="bottom"/>
                  <w:hideMark/>
                </w:tcPr>
                <w:p w:rsidR="00BA7360" w:rsidRPr="00746B32" w:rsidRDefault="00E00640" w:rsidP="00746B32">
                  <w:pPr>
                    <w:jc w:val="right"/>
                    <w:rPr>
                      <w:rFonts w:cs="Arial"/>
                      <w:b/>
                      <w:bCs/>
                      <w:color w:val="000000"/>
                      <w:sz w:val="20"/>
                      <w:lang w:val="ru-RU"/>
                    </w:rPr>
                  </w:pPr>
                  <w:r w:rsidRPr="00746B32">
                    <w:rPr>
                      <w:rFonts w:cs="Arial"/>
                      <w:b/>
                      <w:bCs/>
                      <w:color w:val="000000"/>
                      <w:sz w:val="20"/>
                      <w:lang w:val="ru-RU"/>
                    </w:rPr>
                    <w:t xml:space="preserve">31 декабря </w:t>
                  </w:r>
                </w:p>
                <w:p w:rsidR="00BA7360" w:rsidRPr="00746B32" w:rsidRDefault="00E00640" w:rsidP="00746B32">
                  <w:pPr>
                    <w:jc w:val="right"/>
                    <w:rPr>
                      <w:rFonts w:cs="Arial"/>
                      <w:b/>
                      <w:bCs/>
                      <w:color w:val="000000"/>
                      <w:sz w:val="20"/>
                      <w:lang w:val="ru-RU"/>
                    </w:rPr>
                  </w:pPr>
                  <w:r w:rsidRPr="00746B32">
                    <w:rPr>
                      <w:rFonts w:cs="Arial"/>
                      <w:b/>
                      <w:bCs/>
                      <w:color w:val="000000"/>
                      <w:sz w:val="20"/>
                      <w:lang w:val="ru-RU"/>
                    </w:rPr>
                    <w:t>2012 года</w:t>
                  </w:r>
                </w:p>
              </w:tc>
            </w:tr>
            <w:tr w:rsidR="00E00640" w:rsidRPr="00746B32" w:rsidTr="00C06AC5">
              <w:tblPrEx>
                <w:tblCellMar>
                  <w:left w:w="108" w:type="dxa"/>
                  <w:right w:w="108" w:type="dxa"/>
                </w:tblCellMar>
                <w:tblLook w:val="04A0"/>
              </w:tblPrEx>
              <w:trPr>
                <w:trHeight w:val="30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b/>
                      <w:bCs/>
                      <w:color w:val="000000"/>
                      <w:sz w:val="20"/>
                      <w:lang w:val="ru-RU"/>
                    </w:rPr>
                  </w:pPr>
                  <w:r w:rsidRPr="00746B32">
                    <w:rPr>
                      <w:rFonts w:cs="Arial"/>
                      <w:b/>
                      <w:bCs/>
                      <w:color w:val="000000"/>
                      <w:sz w:val="20"/>
                      <w:lang w:val="ru-RU"/>
                    </w:rPr>
                    <w:t>Активы</w:t>
                  </w:r>
                </w:p>
              </w:tc>
              <w:tc>
                <w:tcPr>
                  <w:tcW w:w="440" w:type="pct"/>
                  <w:tcBorders>
                    <w:top w:val="nil"/>
                    <w:left w:val="nil"/>
                    <w:bottom w:val="nil"/>
                    <w:right w:val="nil"/>
                  </w:tcBorders>
                  <w:shd w:val="clear" w:color="auto" w:fill="auto"/>
                  <w:noWrap/>
                  <w:vAlign w:val="center"/>
                  <w:hideMark/>
                </w:tcPr>
                <w:p w:rsidR="00E00640" w:rsidRPr="00746B32" w:rsidRDefault="00E00640" w:rsidP="00746B32">
                  <w:pPr>
                    <w:jc w:val="center"/>
                    <w:rPr>
                      <w:rFonts w:cs="Arial"/>
                      <w:sz w:val="20"/>
                      <w:lang w:val="ru-RU"/>
                    </w:rPr>
                  </w:pPr>
                </w:p>
              </w:tc>
              <w:tc>
                <w:tcPr>
                  <w:tcW w:w="877"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916"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1028"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r>
            <w:tr w:rsidR="00E00640" w:rsidRPr="00746B32" w:rsidTr="00C06AC5">
              <w:tblPrEx>
                <w:tblCellMar>
                  <w:left w:w="108" w:type="dxa"/>
                  <w:right w:w="108" w:type="dxa"/>
                </w:tblCellMar>
                <w:tblLook w:val="04A0"/>
              </w:tblPrEx>
              <w:trPr>
                <w:trHeight w:val="54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Денежные средства и их эквиваленты</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5</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725 186</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5 378 076</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5</w:t>
                  </w:r>
                  <w:r w:rsidR="0038580E" w:rsidRPr="00746B32">
                    <w:rPr>
                      <w:rFonts w:cs="Arial"/>
                      <w:sz w:val="20"/>
                      <w:lang w:val="ru-RU"/>
                    </w:rPr>
                    <w:t> </w:t>
                  </w:r>
                  <w:r w:rsidRPr="00746B32">
                    <w:rPr>
                      <w:rFonts w:cs="Arial"/>
                      <w:sz w:val="20"/>
                      <w:lang w:val="ru-RU"/>
                    </w:rPr>
                    <w:t>269</w:t>
                  </w:r>
                  <w:r w:rsidR="0038580E" w:rsidRPr="00746B32">
                    <w:rPr>
                      <w:rFonts w:cs="Arial"/>
                      <w:sz w:val="20"/>
                      <w:lang w:val="ru-RU"/>
                    </w:rPr>
                    <w:t> </w:t>
                  </w:r>
                  <w:r w:rsidRPr="00746B32">
                    <w:rPr>
                      <w:rFonts w:cs="Arial"/>
                      <w:sz w:val="20"/>
                      <w:lang w:val="ru-RU"/>
                    </w:rPr>
                    <w:t>289</w:t>
                  </w:r>
                </w:p>
              </w:tc>
            </w:tr>
            <w:tr w:rsidR="00E00640" w:rsidRPr="00746B32" w:rsidTr="00C06AC5">
              <w:tblPrEx>
                <w:tblCellMar>
                  <w:left w:w="108" w:type="dxa"/>
                  <w:right w:w="108" w:type="dxa"/>
                </w:tblCellMar>
                <w:tblLook w:val="04A0"/>
              </w:tblPrEx>
              <w:trPr>
                <w:trHeight w:val="735"/>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 xml:space="preserve">Обязательные резервы в Центральном </w:t>
                  </w:r>
                  <w:r w:rsidR="00097557" w:rsidRPr="00746B32">
                    <w:rPr>
                      <w:rFonts w:cs="Arial"/>
                      <w:sz w:val="20"/>
                      <w:lang w:val="ru-RU"/>
                    </w:rPr>
                    <w:t>б</w:t>
                  </w:r>
                  <w:r w:rsidRPr="00746B32">
                    <w:rPr>
                      <w:rFonts w:cs="Arial"/>
                      <w:sz w:val="20"/>
                      <w:lang w:val="ru-RU"/>
                    </w:rPr>
                    <w:t xml:space="preserve">анке  </w:t>
                  </w:r>
                  <w:r w:rsidR="00097557" w:rsidRPr="00746B32">
                    <w:rPr>
                      <w:rFonts w:cs="Arial"/>
                      <w:sz w:val="20"/>
                      <w:lang w:val="ru-RU"/>
                    </w:rPr>
                    <w:t>Российской Федерации</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6</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1 396 639</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1 390 737</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485</w:t>
                  </w:r>
                  <w:r w:rsidR="0038580E" w:rsidRPr="00746B32">
                    <w:rPr>
                      <w:rFonts w:cs="Arial"/>
                      <w:sz w:val="20"/>
                      <w:lang w:val="ru-RU"/>
                    </w:rPr>
                    <w:t> </w:t>
                  </w:r>
                  <w:r w:rsidRPr="00746B32">
                    <w:rPr>
                      <w:rFonts w:cs="Arial"/>
                      <w:sz w:val="20"/>
                      <w:lang w:val="ru-RU"/>
                    </w:rPr>
                    <w:t>992</w:t>
                  </w:r>
                </w:p>
              </w:tc>
            </w:tr>
            <w:tr w:rsidR="00E00640" w:rsidRPr="00746B32" w:rsidTr="00C06AC5">
              <w:tblPrEx>
                <w:tblCellMar>
                  <w:left w:w="108" w:type="dxa"/>
                  <w:right w:w="108" w:type="dxa"/>
                </w:tblCellMar>
                <w:tblLook w:val="04A0"/>
              </w:tblPrEx>
              <w:trPr>
                <w:trHeight w:val="765"/>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Средства в других банках</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7</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43 799</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10 673</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w:t>
                  </w:r>
                  <w:r w:rsidR="0038580E" w:rsidRPr="00746B32">
                    <w:rPr>
                      <w:rFonts w:cs="Arial"/>
                      <w:sz w:val="20"/>
                      <w:lang w:val="ru-RU"/>
                    </w:rPr>
                    <w:t> </w:t>
                  </w:r>
                  <w:r w:rsidRPr="00746B32">
                    <w:rPr>
                      <w:rFonts w:cs="Arial"/>
                      <w:sz w:val="20"/>
                      <w:lang w:val="ru-RU"/>
                    </w:rPr>
                    <w:t>433</w:t>
                  </w:r>
                  <w:r w:rsidR="0038580E" w:rsidRPr="00746B32">
                    <w:rPr>
                      <w:rFonts w:cs="Arial"/>
                      <w:sz w:val="20"/>
                      <w:lang w:val="ru-RU"/>
                    </w:rPr>
                    <w:t> </w:t>
                  </w:r>
                  <w:r w:rsidRPr="00746B32">
                    <w:rPr>
                      <w:rFonts w:cs="Arial"/>
                      <w:sz w:val="20"/>
                      <w:lang w:val="ru-RU"/>
                    </w:rPr>
                    <w:t>636</w:t>
                  </w:r>
                </w:p>
              </w:tc>
            </w:tr>
            <w:tr w:rsidR="00E00640" w:rsidRPr="00746B32" w:rsidTr="00C06AC5">
              <w:tblPrEx>
                <w:tblCellMar>
                  <w:left w:w="108" w:type="dxa"/>
                  <w:right w:w="108" w:type="dxa"/>
                </w:tblCellMar>
                <w:tblLook w:val="04A0"/>
              </w:tblPrEx>
              <w:trPr>
                <w:trHeight w:val="51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Кредиты клиентам</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8</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10 975 253</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37 090 089</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30</w:t>
                  </w:r>
                  <w:r w:rsidR="0038580E" w:rsidRPr="00746B32">
                    <w:rPr>
                      <w:rFonts w:cs="Arial"/>
                      <w:sz w:val="20"/>
                      <w:lang w:val="ru-RU"/>
                    </w:rPr>
                    <w:t> </w:t>
                  </w:r>
                  <w:r w:rsidRPr="00746B32">
                    <w:rPr>
                      <w:rFonts w:cs="Arial"/>
                      <w:sz w:val="20"/>
                      <w:lang w:val="ru-RU"/>
                    </w:rPr>
                    <w:t>803</w:t>
                  </w:r>
                  <w:r w:rsidR="0038580E" w:rsidRPr="00746B32">
                    <w:rPr>
                      <w:rFonts w:cs="Arial"/>
                      <w:sz w:val="20"/>
                      <w:lang w:val="ru-RU"/>
                    </w:rPr>
                    <w:t> </w:t>
                  </w:r>
                  <w:r w:rsidRPr="00746B32">
                    <w:rPr>
                      <w:rFonts w:cs="Arial"/>
                      <w:sz w:val="20"/>
                      <w:lang w:val="ru-RU"/>
                    </w:rPr>
                    <w:t>383</w:t>
                  </w:r>
                </w:p>
              </w:tc>
            </w:tr>
            <w:tr w:rsidR="00E00640" w:rsidRPr="00746B32" w:rsidTr="00C06AC5">
              <w:tblPrEx>
                <w:tblCellMar>
                  <w:left w:w="108" w:type="dxa"/>
                  <w:right w:w="108" w:type="dxa"/>
                </w:tblCellMar>
                <w:tblLook w:val="04A0"/>
              </w:tblPrEx>
              <w:trPr>
                <w:trHeight w:val="72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 xml:space="preserve">Ценные бумаги, имеющиеся в наличии для продажи </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9</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278 590</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378 224</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426</w:t>
                  </w:r>
                  <w:r w:rsidR="0038580E" w:rsidRPr="00746B32">
                    <w:rPr>
                      <w:rFonts w:cs="Arial"/>
                      <w:sz w:val="20"/>
                      <w:lang w:val="ru-RU"/>
                    </w:rPr>
                    <w:t> </w:t>
                  </w:r>
                  <w:r w:rsidRPr="00746B32">
                    <w:rPr>
                      <w:rFonts w:cs="Arial"/>
                      <w:sz w:val="20"/>
                      <w:lang w:val="ru-RU"/>
                    </w:rPr>
                    <w:t>146</w:t>
                  </w:r>
                </w:p>
              </w:tc>
            </w:tr>
            <w:tr w:rsidR="00E00640" w:rsidRPr="00746B32" w:rsidTr="00C06AC5">
              <w:tblPrEx>
                <w:tblCellMar>
                  <w:left w:w="108" w:type="dxa"/>
                  <w:right w:w="108" w:type="dxa"/>
                </w:tblCellMar>
                <w:tblLook w:val="04A0"/>
              </w:tblPrEx>
              <w:trPr>
                <w:trHeight w:val="75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Переплата по налогу  на прибыль</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92 973</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39 589</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90</w:t>
                  </w:r>
                  <w:r w:rsidR="0038580E" w:rsidRPr="00746B32">
                    <w:rPr>
                      <w:rFonts w:cs="Arial"/>
                      <w:sz w:val="20"/>
                      <w:lang w:val="ru-RU"/>
                    </w:rPr>
                    <w:t> </w:t>
                  </w:r>
                  <w:r w:rsidRPr="00746B32">
                    <w:rPr>
                      <w:rFonts w:cs="Arial"/>
                      <w:sz w:val="20"/>
                      <w:lang w:val="ru-RU"/>
                    </w:rPr>
                    <w:t>319</w:t>
                  </w:r>
                </w:p>
              </w:tc>
            </w:tr>
            <w:tr w:rsidR="00E00640" w:rsidRPr="00746B32" w:rsidTr="00C06AC5">
              <w:tblPrEx>
                <w:tblCellMar>
                  <w:left w:w="108" w:type="dxa"/>
                  <w:right w:w="108" w:type="dxa"/>
                </w:tblCellMar>
                <w:tblLook w:val="04A0"/>
              </w:tblPrEx>
              <w:trPr>
                <w:trHeight w:val="840"/>
              </w:trPr>
              <w:tc>
                <w:tcPr>
                  <w:tcW w:w="1739" w:type="pct"/>
                  <w:gridSpan w:val="2"/>
                  <w:tcBorders>
                    <w:top w:val="nil"/>
                    <w:left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Прочие активы и дебиторская задолженность</w:t>
                  </w:r>
                </w:p>
              </w:tc>
              <w:tc>
                <w:tcPr>
                  <w:tcW w:w="440" w:type="pct"/>
                  <w:tcBorders>
                    <w:top w:val="nil"/>
                    <w:left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10</w:t>
                  </w:r>
                </w:p>
              </w:tc>
              <w:tc>
                <w:tcPr>
                  <w:tcW w:w="877" w:type="pct"/>
                  <w:tcBorders>
                    <w:top w:val="nil"/>
                    <w:left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52 376</w:t>
                  </w:r>
                </w:p>
              </w:tc>
              <w:tc>
                <w:tcPr>
                  <w:tcW w:w="916" w:type="pct"/>
                  <w:tcBorders>
                    <w:top w:val="nil"/>
                    <w:left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193 318</w:t>
                  </w:r>
                </w:p>
              </w:tc>
              <w:tc>
                <w:tcPr>
                  <w:tcW w:w="1028" w:type="pct"/>
                  <w:tcBorders>
                    <w:top w:val="nil"/>
                    <w:left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255612</w:t>
                  </w:r>
                </w:p>
              </w:tc>
            </w:tr>
            <w:tr w:rsidR="00E00640" w:rsidRPr="00746B32" w:rsidTr="00C06AC5">
              <w:tblPrEx>
                <w:tblCellMar>
                  <w:left w:w="108" w:type="dxa"/>
                  <w:right w:w="108" w:type="dxa"/>
                </w:tblCellMar>
                <w:tblLook w:val="04A0"/>
              </w:tblPrEx>
              <w:trPr>
                <w:trHeight w:val="660"/>
              </w:trPr>
              <w:tc>
                <w:tcPr>
                  <w:tcW w:w="1739" w:type="pct"/>
                  <w:gridSpan w:val="2"/>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Отложенный налоговый актив</w:t>
                  </w:r>
                </w:p>
              </w:tc>
              <w:tc>
                <w:tcPr>
                  <w:tcW w:w="440" w:type="pct"/>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11</w:t>
                  </w:r>
                </w:p>
              </w:tc>
              <w:tc>
                <w:tcPr>
                  <w:tcW w:w="877" w:type="pct"/>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 xml:space="preserve">                        -     </w:t>
                  </w:r>
                </w:p>
              </w:tc>
              <w:tc>
                <w:tcPr>
                  <w:tcW w:w="916" w:type="pct"/>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35 799</w:t>
                  </w:r>
                </w:p>
              </w:tc>
              <w:tc>
                <w:tcPr>
                  <w:tcW w:w="1028" w:type="pct"/>
                  <w:shd w:val="clear" w:color="auto" w:fill="auto"/>
                  <w:noWrap/>
                  <w:vAlign w:val="bottom"/>
                  <w:hideMark/>
                </w:tcPr>
                <w:p w:rsidR="008E3EDA" w:rsidRPr="00746B32" w:rsidRDefault="00E00640" w:rsidP="00746B32">
                  <w:pPr>
                    <w:jc w:val="right"/>
                    <w:rPr>
                      <w:rFonts w:cs="Arial"/>
                      <w:b/>
                      <w:bCs/>
                      <w:sz w:val="20"/>
                      <w:lang w:val="ru-RU"/>
                    </w:rPr>
                  </w:pPr>
                  <w:r w:rsidRPr="00746B32">
                    <w:rPr>
                      <w:rFonts w:cs="Arial"/>
                      <w:sz w:val="20"/>
                      <w:lang w:val="ru-RU"/>
                    </w:rPr>
                    <w:t>-</w:t>
                  </w:r>
                </w:p>
              </w:tc>
            </w:tr>
            <w:tr w:rsidR="00E00640" w:rsidRPr="00746B32" w:rsidTr="00C06AC5">
              <w:tblPrEx>
                <w:tblCellMar>
                  <w:left w:w="108" w:type="dxa"/>
                  <w:right w:w="108" w:type="dxa"/>
                </w:tblCellMar>
                <w:tblLook w:val="04A0"/>
              </w:tblPrEx>
              <w:trPr>
                <w:trHeight w:val="766"/>
              </w:trPr>
              <w:tc>
                <w:tcPr>
                  <w:tcW w:w="1739" w:type="pct"/>
                  <w:gridSpan w:val="2"/>
                  <w:shd w:val="clear" w:color="auto" w:fill="auto"/>
                  <w:vAlign w:val="bottom"/>
                  <w:hideMark/>
                </w:tcPr>
                <w:p w:rsidR="00E00640" w:rsidRPr="00746B32" w:rsidRDefault="00F16CBC" w:rsidP="00746B32">
                  <w:pPr>
                    <w:rPr>
                      <w:rFonts w:cs="Arial"/>
                      <w:sz w:val="20"/>
                      <w:lang w:val="ru-RU"/>
                    </w:rPr>
                  </w:pPr>
                  <w:r w:rsidRPr="00746B32">
                    <w:rPr>
                      <w:rFonts w:cs="Arial"/>
                      <w:sz w:val="20"/>
                      <w:lang w:val="ru-RU"/>
                    </w:rPr>
                    <w:t>Долго</w:t>
                  </w:r>
                  <w:r w:rsidR="00097557" w:rsidRPr="00746B32">
                    <w:rPr>
                      <w:rFonts w:cs="Arial"/>
                      <w:sz w:val="20"/>
                      <w:lang w:val="ru-RU"/>
                    </w:rPr>
                    <w:t>срочные</w:t>
                  </w:r>
                  <w:r w:rsidR="000D6864" w:rsidRPr="00746B32">
                    <w:rPr>
                      <w:rFonts w:cs="Arial"/>
                      <w:sz w:val="20"/>
                      <w:lang w:val="ru-RU"/>
                    </w:rPr>
                    <w:t xml:space="preserve"> </w:t>
                  </w:r>
                  <w:r w:rsidR="00E00640" w:rsidRPr="00746B32">
                    <w:rPr>
                      <w:rFonts w:cs="Arial"/>
                      <w:sz w:val="20"/>
                      <w:lang w:val="ru-RU"/>
                    </w:rPr>
                    <w:t>активы, предназначенные для продажи</w:t>
                  </w:r>
                </w:p>
              </w:tc>
              <w:tc>
                <w:tcPr>
                  <w:tcW w:w="440" w:type="pct"/>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12</w:t>
                  </w:r>
                </w:p>
              </w:tc>
              <w:tc>
                <w:tcPr>
                  <w:tcW w:w="877" w:type="pct"/>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91 631</w:t>
                  </w:r>
                </w:p>
              </w:tc>
              <w:tc>
                <w:tcPr>
                  <w:tcW w:w="916" w:type="pct"/>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17 071</w:t>
                  </w:r>
                </w:p>
              </w:tc>
              <w:tc>
                <w:tcPr>
                  <w:tcW w:w="1028" w:type="pct"/>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4</w:t>
                  </w:r>
                  <w:r w:rsidR="0038580E" w:rsidRPr="00746B32">
                    <w:rPr>
                      <w:rFonts w:cs="Arial"/>
                      <w:sz w:val="20"/>
                      <w:lang w:val="ru-RU"/>
                    </w:rPr>
                    <w:t> </w:t>
                  </w:r>
                  <w:r w:rsidRPr="00746B32">
                    <w:rPr>
                      <w:rFonts w:cs="Arial"/>
                      <w:sz w:val="20"/>
                      <w:lang w:val="ru-RU"/>
                    </w:rPr>
                    <w:t>608</w:t>
                  </w:r>
                </w:p>
              </w:tc>
            </w:tr>
            <w:tr w:rsidR="00E00640" w:rsidRPr="00746B32" w:rsidTr="00C06AC5">
              <w:tblPrEx>
                <w:tblCellMar>
                  <w:left w:w="108" w:type="dxa"/>
                  <w:right w:w="108" w:type="dxa"/>
                </w:tblCellMar>
                <w:tblLook w:val="04A0"/>
              </w:tblPrEx>
              <w:trPr>
                <w:trHeight w:val="765"/>
              </w:trPr>
              <w:tc>
                <w:tcPr>
                  <w:tcW w:w="1739" w:type="pct"/>
                  <w:gridSpan w:val="2"/>
                  <w:tcBorders>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 xml:space="preserve">Инвестиционная </w:t>
                  </w:r>
                  <w:r w:rsidR="006B3896" w:rsidRPr="00746B32">
                    <w:rPr>
                      <w:rFonts w:cs="Arial"/>
                      <w:sz w:val="20"/>
                      <w:lang w:val="ru-RU"/>
                    </w:rPr>
                    <w:t>недвижимость</w:t>
                  </w:r>
                </w:p>
              </w:tc>
              <w:tc>
                <w:tcPr>
                  <w:tcW w:w="440" w:type="pct"/>
                  <w:tcBorders>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13</w:t>
                  </w:r>
                </w:p>
              </w:tc>
              <w:tc>
                <w:tcPr>
                  <w:tcW w:w="877" w:type="pct"/>
                  <w:tcBorders>
                    <w:left w:val="nil"/>
                    <w:bottom w:val="nil"/>
                    <w:right w:val="nil"/>
                  </w:tcBorders>
                  <w:shd w:val="clear" w:color="auto" w:fill="auto"/>
                  <w:noWrap/>
                  <w:vAlign w:val="bottom"/>
                  <w:hideMark/>
                </w:tcPr>
                <w:p w:rsidR="008E3EDA" w:rsidRPr="00746B32" w:rsidRDefault="00E00640" w:rsidP="00746B32">
                  <w:pPr>
                    <w:jc w:val="right"/>
                    <w:rPr>
                      <w:rFonts w:cs="Arial"/>
                      <w:b/>
                      <w:bCs/>
                      <w:sz w:val="20"/>
                      <w:lang w:val="ru-RU"/>
                    </w:rPr>
                  </w:pPr>
                  <w:r w:rsidRPr="00746B32">
                    <w:rPr>
                      <w:rFonts w:cs="Arial"/>
                      <w:sz w:val="20"/>
                      <w:lang w:val="ru-RU"/>
                    </w:rPr>
                    <w:t xml:space="preserve">                    -     </w:t>
                  </w:r>
                </w:p>
              </w:tc>
              <w:tc>
                <w:tcPr>
                  <w:tcW w:w="916" w:type="pct"/>
                  <w:tcBorders>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1 357</w:t>
                  </w:r>
                </w:p>
              </w:tc>
              <w:tc>
                <w:tcPr>
                  <w:tcW w:w="1028" w:type="pct"/>
                  <w:tcBorders>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142</w:t>
                  </w:r>
                  <w:r w:rsidR="0038580E" w:rsidRPr="00746B32">
                    <w:rPr>
                      <w:rFonts w:cs="Arial"/>
                      <w:sz w:val="20"/>
                      <w:lang w:val="ru-RU"/>
                    </w:rPr>
                    <w:t> </w:t>
                  </w:r>
                  <w:r w:rsidRPr="00746B32">
                    <w:rPr>
                      <w:rFonts w:cs="Arial"/>
                      <w:sz w:val="20"/>
                      <w:lang w:val="ru-RU"/>
                    </w:rPr>
                    <w:t>139</w:t>
                  </w:r>
                </w:p>
              </w:tc>
            </w:tr>
            <w:tr w:rsidR="00E00640" w:rsidRPr="00746B32" w:rsidTr="00C06AC5">
              <w:tblPrEx>
                <w:tblCellMar>
                  <w:left w:w="108" w:type="dxa"/>
                  <w:right w:w="108" w:type="dxa"/>
                </w:tblCellMar>
                <w:tblLook w:val="04A0"/>
              </w:tblPrEx>
              <w:trPr>
                <w:trHeight w:val="735"/>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Основные средства и нематериальные активы</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14</w:t>
                  </w:r>
                </w:p>
              </w:tc>
              <w:tc>
                <w:tcPr>
                  <w:tcW w:w="877" w:type="pct"/>
                  <w:tcBorders>
                    <w:top w:val="nil"/>
                    <w:left w:val="nil"/>
                    <w:bottom w:val="single" w:sz="4" w:space="0" w:color="auto"/>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1 93</w:t>
                  </w:r>
                  <w:r w:rsidR="00C608AF" w:rsidRPr="00746B32">
                    <w:rPr>
                      <w:rFonts w:cs="Arial"/>
                      <w:sz w:val="20"/>
                      <w:lang w:val="ru-RU"/>
                    </w:rPr>
                    <w:t>2</w:t>
                  </w:r>
                  <w:r w:rsidRPr="00746B32">
                    <w:rPr>
                      <w:rFonts w:cs="Arial"/>
                      <w:sz w:val="20"/>
                      <w:lang w:val="ru-RU"/>
                    </w:rPr>
                    <w:t xml:space="preserve"> 770</w:t>
                  </w:r>
                </w:p>
              </w:tc>
              <w:tc>
                <w:tcPr>
                  <w:tcW w:w="916" w:type="pct"/>
                  <w:tcBorders>
                    <w:top w:val="nil"/>
                    <w:left w:val="nil"/>
                    <w:bottom w:val="single" w:sz="4" w:space="0" w:color="auto"/>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1 973 098</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w:t>
                  </w:r>
                  <w:r w:rsidR="0038580E" w:rsidRPr="00746B32">
                    <w:rPr>
                      <w:rFonts w:cs="Arial"/>
                      <w:sz w:val="20"/>
                      <w:lang w:val="ru-RU"/>
                    </w:rPr>
                    <w:t> </w:t>
                  </w:r>
                  <w:r w:rsidRPr="00746B32">
                    <w:rPr>
                      <w:rFonts w:cs="Arial"/>
                      <w:sz w:val="20"/>
                      <w:lang w:val="ru-RU"/>
                    </w:rPr>
                    <w:t>911</w:t>
                  </w:r>
                  <w:r w:rsidR="0038580E" w:rsidRPr="00746B32">
                    <w:rPr>
                      <w:rFonts w:cs="Arial"/>
                      <w:sz w:val="20"/>
                      <w:lang w:val="ru-RU"/>
                    </w:rPr>
                    <w:t> </w:t>
                  </w:r>
                  <w:r w:rsidRPr="00746B32">
                    <w:rPr>
                      <w:rFonts w:cs="Arial"/>
                      <w:sz w:val="20"/>
                      <w:lang w:val="ru-RU"/>
                    </w:rPr>
                    <w:t>820</w:t>
                  </w:r>
                </w:p>
              </w:tc>
            </w:tr>
            <w:tr w:rsidR="00E00640" w:rsidRPr="00746B32" w:rsidTr="00C06AC5">
              <w:tblPrEx>
                <w:tblCellMar>
                  <w:left w:w="108" w:type="dxa"/>
                  <w:right w:w="108" w:type="dxa"/>
                </w:tblCellMar>
                <w:tblLook w:val="04A0"/>
              </w:tblPrEx>
              <w:trPr>
                <w:trHeight w:val="615"/>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b/>
                      <w:bCs/>
                      <w:color w:val="000000"/>
                      <w:sz w:val="20"/>
                      <w:lang w:val="ru-RU"/>
                    </w:rPr>
                  </w:pPr>
                  <w:r w:rsidRPr="00746B32">
                    <w:rPr>
                      <w:rFonts w:cs="Arial"/>
                      <w:b/>
                      <w:bCs/>
                      <w:color w:val="000000"/>
                      <w:sz w:val="20"/>
                      <w:lang w:val="ru-RU"/>
                    </w:rPr>
                    <w:t>Итого активов</w:t>
                  </w:r>
                </w:p>
              </w:tc>
              <w:tc>
                <w:tcPr>
                  <w:tcW w:w="440" w:type="pct"/>
                  <w:tcBorders>
                    <w:top w:val="nil"/>
                    <w:left w:val="nil"/>
                    <w:bottom w:val="nil"/>
                    <w:right w:val="nil"/>
                  </w:tcBorders>
                  <w:shd w:val="clear" w:color="auto" w:fill="auto"/>
                  <w:noWrap/>
                  <w:vAlign w:val="center"/>
                  <w:hideMark/>
                </w:tcPr>
                <w:p w:rsidR="00E00640" w:rsidRPr="00746B32" w:rsidRDefault="00E00640" w:rsidP="00746B32">
                  <w:pPr>
                    <w:jc w:val="center"/>
                    <w:rPr>
                      <w:rFonts w:cs="Arial"/>
                      <w:sz w:val="20"/>
                      <w:lang w:val="ru-RU"/>
                    </w:rPr>
                  </w:pPr>
                </w:p>
              </w:tc>
              <w:tc>
                <w:tcPr>
                  <w:tcW w:w="877" w:type="pct"/>
                  <w:tcBorders>
                    <w:top w:val="nil"/>
                    <w:left w:val="nil"/>
                    <w:bottom w:val="double" w:sz="6" w:space="0" w:color="auto"/>
                    <w:right w:val="nil"/>
                  </w:tcBorders>
                  <w:shd w:val="clear" w:color="auto" w:fill="auto"/>
                  <w:noWrap/>
                  <w:vAlign w:val="bottom"/>
                  <w:hideMark/>
                </w:tcPr>
                <w:p w:rsidR="00E00640" w:rsidRPr="00746B32" w:rsidRDefault="00E00640" w:rsidP="00746B32">
                  <w:pPr>
                    <w:jc w:val="right"/>
                    <w:rPr>
                      <w:rFonts w:cs="Arial"/>
                      <w:b/>
                      <w:bCs/>
                      <w:color w:val="000000"/>
                      <w:sz w:val="20"/>
                      <w:lang w:val="ru-RU"/>
                    </w:rPr>
                  </w:pPr>
                  <w:r w:rsidRPr="00746B32">
                    <w:rPr>
                      <w:rFonts w:cs="Arial"/>
                      <w:b/>
                      <w:bCs/>
                      <w:color w:val="000000"/>
                      <w:sz w:val="20"/>
                      <w:lang w:val="ru-RU"/>
                    </w:rPr>
                    <w:t>15 589 217</w:t>
                  </w:r>
                </w:p>
              </w:tc>
              <w:tc>
                <w:tcPr>
                  <w:tcW w:w="916" w:type="pct"/>
                  <w:tcBorders>
                    <w:top w:val="nil"/>
                    <w:left w:val="nil"/>
                    <w:bottom w:val="double" w:sz="6" w:space="0" w:color="auto"/>
                    <w:right w:val="nil"/>
                  </w:tcBorders>
                  <w:shd w:val="clear" w:color="auto" w:fill="auto"/>
                  <w:noWrap/>
                  <w:vAlign w:val="bottom"/>
                  <w:hideMark/>
                </w:tcPr>
                <w:p w:rsidR="00E00640" w:rsidRPr="00746B32" w:rsidRDefault="00E00640" w:rsidP="00746B32">
                  <w:pPr>
                    <w:jc w:val="right"/>
                    <w:rPr>
                      <w:rFonts w:cs="Arial"/>
                      <w:b/>
                      <w:bCs/>
                      <w:color w:val="000000"/>
                      <w:sz w:val="20"/>
                      <w:lang w:val="ru-RU"/>
                    </w:rPr>
                  </w:pPr>
                  <w:r w:rsidRPr="00746B32">
                    <w:rPr>
                      <w:rFonts w:cs="Arial"/>
                      <w:b/>
                      <w:bCs/>
                      <w:color w:val="000000"/>
                      <w:sz w:val="20"/>
                      <w:lang w:val="ru-RU"/>
                    </w:rPr>
                    <w:t>46 508 031</w:t>
                  </w:r>
                </w:p>
              </w:tc>
              <w:tc>
                <w:tcPr>
                  <w:tcW w:w="1028" w:type="pct"/>
                  <w:tcBorders>
                    <w:top w:val="single" w:sz="4" w:space="0" w:color="auto"/>
                    <w:left w:val="nil"/>
                    <w:bottom w:val="double" w:sz="6" w:space="0" w:color="auto"/>
                    <w:right w:val="nil"/>
                  </w:tcBorders>
                  <w:shd w:val="clear" w:color="auto" w:fill="auto"/>
                  <w:noWrap/>
                  <w:vAlign w:val="bottom"/>
                  <w:hideMark/>
                </w:tcPr>
                <w:p w:rsidR="00E00640" w:rsidRPr="00746B32" w:rsidRDefault="00E00640" w:rsidP="00746B32">
                  <w:pPr>
                    <w:jc w:val="right"/>
                    <w:rPr>
                      <w:rFonts w:cs="Arial"/>
                      <w:b/>
                      <w:bCs/>
                      <w:color w:val="000000"/>
                      <w:sz w:val="20"/>
                      <w:lang w:val="ru-RU"/>
                    </w:rPr>
                  </w:pPr>
                  <w:r w:rsidRPr="00746B32">
                    <w:rPr>
                      <w:rFonts w:cs="Arial"/>
                      <w:b/>
                      <w:bCs/>
                      <w:color w:val="000000"/>
                      <w:sz w:val="20"/>
                      <w:lang w:val="ru-RU"/>
                    </w:rPr>
                    <w:t>42 822944</w:t>
                  </w:r>
                </w:p>
              </w:tc>
            </w:tr>
            <w:tr w:rsidR="00E00640" w:rsidRPr="00746B32" w:rsidTr="00C06AC5">
              <w:tblPrEx>
                <w:tblCellMar>
                  <w:left w:w="108" w:type="dxa"/>
                  <w:right w:w="108" w:type="dxa"/>
                </w:tblCellMar>
                <w:tblLook w:val="04A0"/>
              </w:tblPrEx>
              <w:trPr>
                <w:trHeight w:val="270"/>
              </w:trPr>
              <w:tc>
                <w:tcPr>
                  <w:tcW w:w="1739" w:type="pct"/>
                  <w:gridSpan w:val="2"/>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440"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877"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916"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1028"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r>
            <w:tr w:rsidR="00E00640" w:rsidRPr="0046554E" w:rsidTr="00C06AC5">
              <w:tblPrEx>
                <w:tblCellMar>
                  <w:left w:w="108" w:type="dxa"/>
                  <w:right w:w="108" w:type="dxa"/>
                </w:tblCellMar>
                <w:tblLook w:val="04A0"/>
              </w:tblPrEx>
              <w:trPr>
                <w:trHeight w:val="600"/>
              </w:trPr>
              <w:tc>
                <w:tcPr>
                  <w:tcW w:w="1739" w:type="pct"/>
                  <w:gridSpan w:val="2"/>
                  <w:tcBorders>
                    <w:top w:val="nil"/>
                    <w:left w:val="nil"/>
                    <w:bottom w:val="nil"/>
                    <w:right w:val="nil"/>
                  </w:tcBorders>
                  <w:shd w:val="clear" w:color="auto" w:fill="auto"/>
                  <w:vAlign w:val="bottom"/>
                  <w:hideMark/>
                </w:tcPr>
                <w:p w:rsidR="00E00640" w:rsidRPr="00746B32" w:rsidRDefault="002923F4" w:rsidP="00746B32">
                  <w:pPr>
                    <w:rPr>
                      <w:rFonts w:cs="Arial"/>
                      <w:b/>
                      <w:bCs/>
                      <w:color w:val="000000"/>
                      <w:sz w:val="20"/>
                      <w:lang w:val="ru-RU"/>
                    </w:rPr>
                  </w:pPr>
                  <w:r w:rsidRPr="00746B32">
                    <w:rPr>
                      <w:rFonts w:cs="Arial"/>
                      <w:b/>
                      <w:bCs/>
                      <w:color w:val="000000"/>
                      <w:sz w:val="20"/>
                      <w:lang w:val="ru-RU"/>
                    </w:rPr>
                    <w:t>Обязательства и собственные средства</w:t>
                  </w:r>
                </w:p>
                <w:p w:rsidR="002D5298" w:rsidRPr="00746B32" w:rsidRDefault="002D5298" w:rsidP="00746B32">
                  <w:pPr>
                    <w:rPr>
                      <w:rFonts w:cs="Arial"/>
                      <w:b/>
                      <w:bCs/>
                      <w:color w:val="000000"/>
                      <w:sz w:val="20"/>
                      <w:lang w:val="ru-RU"/>
                    </w:rPr>
                  </w:pPr>
                </w:p>
                <w:p w:rsidR="002D5298" w:rsidRPr="00746B32" w:rsidRDefault="002D5298" w:rsidP="00746B32">
                  <w:pPr>
                    <w:rPr>
                      <w:rFonts w:cs="Arial"/>
                      <w:b/>
                      <w:bCs/>
                      <w:color w:val="000000"/>
                      <w:sz w:val="20"/>
                      <w:lang w:val="ru-RU"/>
                    </w:rPr>
                  </w:pPr>
                  <w:r w:rsidRPr="00746B32">
                    <w:rPr>
                      <w:rFonts w:cs="Arial"/>
                      <w:b/>
                      <w:bCs/>
                      <w:color w:val="000000"/>
                      <w:sz w:val="20"/>
                      <w:lang w:val="ru-RU"/>
                    </w:rPr>
                    <w:t>Обязательства</w:t>
                  </w:r>
                </w:p>
              </w:tc>
              <w:tc>
                <w:tcPr>
                  <w:tcW w:w="440" w:type="pct"/>
                  <w:tcBorders>
                    <w:top w:val="nil"/>
                    <w:left w:val="nil"/>
                    <w:bottom w:val="nil"/>
                    <w:right w:val="nil"/>
                  </w:tcBorders>
                  <w:shd w:val="clear" w:color="auto" w:fill="auto"/>
                  <w:noWrap/>
                  <w:vAlign w:val="center"/>
                  <w:hideMark/>
                </w:tcPr>
                <w:p w:rsidR="00E00640" w:rsidRPr="00746B32" w:rsidRDefault="00E00640" w:rsidP="00746B32">
                  <w:pPr>
                    <w:jc w:val="center"/>
                    <w:rPr>
                      <w:rFonts w:cs="Arial"/>
                      <w:sz w:val="20"/>
                      <w:lang w:val="ru-RU"/>
                    </w:rPr>
                  </w:pPr>
                </w:p>
              </w:tc>
              <w:tc>
                <w:tcPr>
                  <w:tcW w:w="877"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916"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c>
                <w:tcPr>
                  <w:tcW w:w="1028" w:type="pct"/>
                  <w:tcBorders>
                    <w:top w:val="nil"/>
                    <w:left w:val="nil"/>
                    <w:bottom w:val="nil"/>
                    <w:right w:val="nil"/>
                  </w:tcBorders>
                  <w:shd w:val="clear" w:color="auto" w:fill="auto"/>
                  <w:noWrap/>
                  <w:vAlign w:val="bottom"/>
                  <w:hideMark/>
                </w:tcPr>
                <w:p w:rsidR="00E00640" w:rsidRPr="00746B32" w:rsidRDefault="00E00640" w:rsidP="00746B32">
                  <w:pPr>
                    <w:rPr>
                      <w:rFonts w:cs="Arial"/>
                      <w:sz w:val="20"/>
                      <w:lang w:val="ru-RU"/>
                    </w:rPr>
                  </w:pPr>
                </w:p>
              </w:tc>
            </w:tr>
            <w:tr w:rsidR="00E00640" w:rsidRPr="00746B32" w:rsidTr="00C06AC5">
              <w:tblPrEx>
                <w:tblCellMar>
                  <w:left w:w="108" w:type="dxa"/>
                  <w:right w:w="108" w:type="dxa"/>
                </w:tblCellMar>
                <w:tblLook w:val="04A0"/>
              </w:tblPrEx>
              <w:trPr>
                <w:trHeight w:val="615"/>
              </w:trPr>
              <w:tc>
                <w:tcPr>
                  <w:tcW w:w="1739" w:type="pct"/>
                  <w:gridSpan w:val="2"/>
                  <w:tcBorders>
                    <w:top w:val="nil"/>
                    <w:left w:val="nil"/>
                    <w:bottom w:val="nil"/>
                    <w:right w:val="nil"/>
                  </w:tcBorders>
                  <w:shd w:val="clear" w:color="auto" w:fill="auto"/>
                  <w:vAlign w:val="bottom"/>
                  <w:hideMark/>
                </w:tcPr>
                <w:p w:rsidR="00E00640" w:rsidRPr="00746B32" w:rsidRDefault="00C64367" w:rsidP="00746B32">
                  <w:pPr>
                    <w:rPr>
                      <w:rFonts w:cs="Arial"/>
                      <w:sz w:val="20"/>
                      <w:lang w:val="ru-RU"/>
                    </w:rPr>
                  </w:pPr>
                  <w:r w:rsidRPr="00746B32">
                    <w:rPr>
                      <w:rFonts w:cs="Arial"/>
                      <w:sz w:val="20"/>
                      <w:lang w:val="ru-RU"/>
                    </w:rPr>
                    <w:t xml:space="preserve">Средства </w:t>
                  </w:r>
                  <w:r w:rsidR="00E00640" w:rsidRPr="00746B32">
                    <w:rPr>
                      <w:rFonts w:cs="Arial"/>
                      <w:sz w:val="20"/>
                      <w:lang w:val="ru-RU"/>
                    </w:rPr>
                    <w:t>других банк</w:t>
                  </w:r>
                  <w:r w:rsidRPr="00746B32">
                    <w:rPr>
                      <w:rFonts w:cs="Arial"/>
                      <w:sz w:val="20"/>
                      <w:lang w:val="ru-RU"/>
                    </w:rPr>
                    <w:t>ов</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15</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411 383</w:t>
                  </w:r>
                </w:p>
              </w:tc>
              <w:tc>
                <w:tcPr>
                  <w:tcW w:w="916" w:type="pct"/>
                  <w:tcBorders>
                    <w:top w:val="nil"/>
                    <w:left w:val="nil"/>
                    <w:bottom w:val="nil"/>
                    <w:right w:val="nil"/>
                  </w:tcBorders>
                  <w:shd w:val="clear" w:color="auto" w:fill="auto"/>
                  <w:noWrap/>
                  <w:vAlign w:val="bottom"/>
                  <w:hideMark/>
                </w:tcPr>
                <w:p w:rsidR="00E00640" w:rsidRPr="00746B32" w:rsidRDefault="00C64367" w:rsidP="00746B32">
                  <w:pPr>
                    <w:jc w:val="right"/>
                    <w:rPr>
                      <w:rFonts w:cs="Arial"/>
                      <w:b/>
                      <w:bCs/>
                      <w:sz w:val="20"/>
                      <w:lang w:val="ru-RU"/>
                    </w:rPr>
                  </w:pPr>
                  <w:r w:rsidRPr="00746B32">
                    <w:rPr>
                      <w:rFonts w:cs="Arial"/>
                      <w:sz w:val="20"/>
                      <w:lang w:val="ru-RU"/>
                    </w:rPr>
                    <w:t>2 865 869</w:t>
                  </w:r>
                </w:p>
              </w:tc>
              <w:tc>
                <w:tcPr>
                  <w:tcW w:w="1028" w:type="pct"/>
                  <w:tcBorders>
                    <w:top w:val="nil"/>
                    <w:left w:val="nil"/>
                    <w:bottom w:val="nil"/>
                    <w:right w:val="nil"/>
                  </w:tcBorders>
                  <w:shd w:val="clear" w:color="auto" w:fill="auto"/>
                  <w:noWrap/>
                  <w:vAlign w:val="bottom"/>
                  <w:hideMark/>
                </w:tcPr>
                <w:p w:rsidR="00E00640" w:rsidRPr="00746B32" w:rsidRDefault="00C64367" w:rsidP="00746B32">
                  <w:pPr>
                    <w:jc w:val="right"/>
                    <w:rPr>
                      <w:rFonts w:cs="Arial"/>
                      <w:b/>
                      <w:bCs/>
                      <w:sz w:val="20"/>
                      <w:lang w:val="ru-RU"/>
                    </w:rPr>
                  </w:pPr>
                  <w:r w:rsidRPr="00746B32">
                    <w:rPr>
                      <w:rFonts w:cs="Arial"/>
                      <w:sz w:val="20"/>
                      <w:lang w:val="ru-RU"/>
                    </w:rPr>
                    <w:t>2 772 887</w:t>
                  </w:r>
                </w:p>
              </w:tc>
            </w:tr>
            <w:tr w:rsidR="00E00640" w:rsidRPr="00746B32" w:rsidTr="00C06AC5">
              <w:tblPrEx>
                <w:tblCellMar>
                  <w:left w:w="108" w:type="dxa"/>
                  <w:right w:w="108" w:type="dxa"/>
                </w:tblCellMar>
                <w:tblLook w:val="04A0"/>
              </w:tblPrEx>
              <w:trPr>
                <w:trHeight w:val="45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Средства клиентов</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16</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39 926 803</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37 102 363</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34</w:t>
                  </w:r>
                  <w:r w:rsidR="0038580E" w:rsidRPr="00746B32">
                    <w:rPr>
                      <w:rFonts w:cs="Arial"/>
                      <w:sz w:val="20"/>
                      <w:lang w:val="ru-RU"/>
                    </w:rPr>
                    <w:t> </w:t>
                  </w:r>
                  <w:r w:rsidRPr="00746B32">
                    <w:rPr>
                      <w:rFonts w:cs="Arial"/>
                      <w:sz w:val="20"/>
                      <w:lang w:val="ru-RU"/>
                    </w:rPr>
                    <w:t>184</w:t>
                  </w:r>
                  <w:r w:rsidR="0038580E" w:rsidRPr="00746B32">
                    <w:rPr>
                      <w:rFonts w:cs="Arial"/>
                      <w:sz w:val="20"/>
                      <w:lang w:val="ru-RU"/>
                    </w:rPr>
                    <w:t> </w:t>
                  </w:r>
                  <w:r w:rsidRPr="00746B32">
                    <w:rPr>
                      <w:rFonts w:cs="Arial"/>
                      <w:sz w:val="20"/>
                      <w:lang w:val="ru-RU"/>
                    </w:rPr>
                    <w:t>232</w:t>
                  </w:r>
                </w:p>
              </w:tc>
            </w:tr>
            <w:tr w:rsidR="009F6FE2" w:rsidRPr="00746B32" w:rsidTr="00C06AC5">
              <w:tblPrEx>
                <w:tblCellMar>
                  <w:left w:w="108" w:type="dxa"/>
                  <w:right w:w="108" w:type="dxa"/>
                </w:tblCellMar>
                <w:tblLook w:val="04A0"/>
              </w:tblPrEx>
              <w:trPr>
                <w:trHeight w:val="257"/>
              </w:trPr>
              <w:tc>
                <w:tcPr>
                  <w:tcW w:w="1739" w:type="pct"/>
                  <w:gridSpan w:val="2"/>
                  <w:tcBorders>
                    <w:top w:val="nil"/>
                    <w:left w:val="nil"/>
                    <w:bottom w:val="nil"/>
                    <w:right w:val="nil"/>
                  </w:tcBorders>
                  <w:shd w:val="clear" w:color="auto" w:fill="auto"/>
                  <w:vAlign w:val="bottom"/>
                  <w:hideMark/>
                </w:tcPr>
                <w:p w:rsidR="009F6FE2" w:rsidRPr="00746B32" w:rsidRDefault="009F6FE2" w:rsidP="00746B32">
                  <w:pPr>
                    <w:rPr>
                      <w:rFonts w:cs="Arial"/>
                      <w:sz w:val="20"/>
                      <w:lang w:val="ru-RU"/>
                    </w:rPr>
                  </w:pPr>
                </w:p>
              </w:tc>
              <w:tc>
                <w:tcPr>
                  <w:tcW w:w="440" w:type="pct"/>
                  <w:tcBorders>
                    <w:top w:val="nil"/>
                    <w:left w:val="nil"/>
                    <w:bottom w:val="nil"/>
                    <w:right w:val="nil"/>
                  </w:tcBorders>
                  <w:shd w:val="clear" w:color="auto" w:fill="auto"/>
                  <w:noWrap/>
                  <w:vAlign w:val="bottom"/>
                  <w:hideMark/>
                </w:tcPr>
                <w:p w:rsidR="009F6FE2" w:rsidRPr="00746B32" w:rsidRDefault="009F6FE2" w:rsidP="00746B32">
                  <w:pPr>
                    <w:jc w:val="center"/>
                    <w:rPr>
                      <w:rFonts w:cs="Arial"/>
                      <w:sz w:val="20"/>
                      <w:lang w:val="ru-RU"/>
                    </w:rPr>
                  </w:pPr>
                </w:p>
              </w:tc>
              <w:tc>
                <w:tcPr>
                  <w:tcW w:w="877" w:type="pct"/>
                  <w:tcBorders>
                    <w:top w:val="nil"/>
                    <w:left w:val="nil"/>
                    <w:bottom w:val="nil"/>
                    <w:right w:val="nil"/>
                  </w:tcBorders>
                  <w:shd w:val="clear" w:color="auto" w:fill="auto"/>
                  <w:noWrap/>
                  <w:vAlign w:val="bottom"/>
                  <w:hideMark/>
                </w:tcPr>
                <w:p w:rsidR="009F6FE2" w:rsidRPr="00746B32" w:rsidRDefault="009F6FE2" w:rsidP="00746B32">
                  <w:pPr>
                    <w:jc w:val="right"/>
                    <w:rPr>
                      <w:rFonts w:cs="Arial"/>
                      <w:sz w:val="20"/>
                      <w:lang w:val="ru-RU"/>
                    </w:rPr>
                  </w:pPr>
                </w:p>
              </w:tc>
              <w:tc>
                <w:tcPr>
                  <w:tcW w:w="916" w:type="pct"/>
                  <w:tcBorders>
                    <w:top w:val="nil"/>
                    <w:left w:val="nil"/>
                    <w:bottom w:val="nil"/>
                    <w:right w:val="nil"/>
                  </w:tcBorders>
                  <w:shd w:val="clear" w:color="auto" w:fill="auto"/>
                  <w:noWrap/>
                  <w:vAlign w:val="bottom"/>
                  <w:hideMark/>
                </w:tcPr>
                <w:p w:rsidR="009F6FE2" w:rsidRPr="00746B32" w:rsidRDefault="009F6FE2" w:rsidP="00746B32">
                  <w:pPr>
                    <w:jc w:val="right"/>
                    <w:rPr>
                      <w:rFonts w:cs="Arial"/>
                      <w:sz w:val="20"/>
                      <w:lang w:val="ru-RU"/>
                    </w:rPr>
                  </w:pPr>
                </w:p>
              </w:tc>
              <w:tc>
                <w:tcPr>
                  <w:tcW w:w="1028" w:type="pct"/>
                  <w:tcBorders>
                    <w:top w:val="nil"/>
                    <w:left w:val="nil"/>
                    <w:bottom w:val="nil"/>
                    <w:right w:val="nil"/>
                  </w:tcBorders>
                  <w:shd w:val="clear" w:color="auto" w:fill="auto"/>
                  <w:noWrap/>
                  <w:vAlign w:val="bottom"/>
                  <w:hideMark/>
                </w:tcPr>
                <w:p w:rsidR="008E3EDA" w:rsidRPr="00746B32" w:rsidRDefault="008E3EDA" w:rsidP="00746B32">
                  <w:pPr>
                    <w:jc w:val="right"/>
                    <w:rPr>
                      <w:rFonts w:cs="Arial"/>
                      <w:sz w:val="20"/>
                      <w:lang w:val="ru-RU"/>
                    </w:rPr>
                  </w:pPr>
                </w:p>
              </w:tc>
            </w:tr>
            <w:tr w:rsidR="00E00640" w:rsidRPr="00746B32" w:rsidTr="00C06AC5">
              <w:tblPrEx>
                <w:tblCellMar>
                  <w:left w:w="108" w:type="dxa"/>
                  <w:right w:w="108" w:type="dxa"/>
                </w:tblCellMar>
                <w:tblLook w:val="04A0"/>
              </w:tblPrEx>
              <w:trPr>
                <w:trHeight w:val="51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Вып</w:t>
                  </w:r>
                  <w:r w:rsidR="00C608AF" w:rsidRPr="00746B32">
                    <w:rPr>
                      <w:rFonts w:cs="Arial"/>
                      <w:sz w:val="20"/>
                      <w:lang w:val="ru-RU"/>
                    </w:rPr>
                    <w:t>у</w:t>
                  </w:r>
                  <w:r w:rsidRPr="00746B32">
                    <w:rPr>
                      <w:rFonts w:cs="Arial"/>
                      <w:sz w:val="20"/>
                      <w:lang w:val="ru-RU"/>
                    </w:rPr>
                    <w:t xml:space="preserve">щенные долговые </w:t>
                  </w:r>
                  <w:r w:rsidR="00F3741F" w:rsidRPr="00746B32">
                    <w:rPr>
                      <w:rFonts w:cs="Arial"/>
                      <w:sz w:val="20"/>
                      <w:lang w:val="ru-RU"/>
                    </w:rPr>
                    <w:t>ценные бумаги</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17</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172 305</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578 786</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156</w:t>
                  </w:r>
                  <w:r w:rsidR="0038580E" w:rsidRPr="00746B32">
                    <w:rPr>
                      <w:rFonts w:cs="Arial"/>
                      <w:sz w:val="20"/>
                      <w:lang w:val="ru-RU"/>
                    </w:rPr>
                    <w:t> </w:t>
                  </w:r>
                  <w:r w:rsidRPr="00746B32">
                    <w:rPr>
                      <w:rFonts w:cs="Arial"/>
                      <w:sz w:val="20"/>
                      <w:lang w:val="ru-RU"/>
                    </w:rPr>
                    <w:t>353</w:t>
                  </w:r>
                </w:p>
              </w:tc>
            </w:tr>
            <w:tr w:rsidR="00E00640" w:rsidRPr="00746B32" w:rsidTr="00C06AC5">
              <w:tblPrEx>
                <w:tblCellMar>
                  <w:left w:w="108" w:type="dxa"/>
                  <w:right w:w="108" w:type="dxa"/>
                </w:tblCellMar>
                <w:tblLook w:val="04A0"/>
              </w:tblPrEx>
              <w:trPr>
                <w:trHeight w:val="51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Субординированные з</w:t>
                  </w:r>
                  <w:r w:rsidR="00C608AF" w:rsidRPr="00746B32">
                    <w:rPr>
                      <w:rFonts w:cs="Arial"/>
                      <w:sz w:val="20"/>
                      <w:lang w:val="ru-RU"/>
                    </w:rPr>
                    <w:t>а</w:t>
                  </w:r>
                  <w:r w:rsidRPr="00746B32">
                    <w:rPr>
                      <w:rFonts w:cs="Arial"/>
                      <w:sz w:val="20"/>
                      <w:lang w:val="ru-RU"/>
                    </w:rPr>
                    <w:t>ймы</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18</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2 274 605</w:t>
                  </w:r>
                </w:p>
              </w:tc>
              <w:tc>
                <w:tcPr>
                  <w:tcW w:w="916" w:type="pct"/>
                  <w:tcBorders>
                    <w:top w:val="nil"/>
                    <w:left w:val="nil"/>
                    <w:bottom w:val="nil"/>
                    <w:right w:val="nil"/>
                  </w:tcBorders>
                  <w:shd w:val="clear" w:color="auto" w:fill="auto"/>
                  <w:noWrap/>
                  <w:vAlign w:val="bottom"/>
                  <w:hideMark/>
                </w:tcPr>
                <w:p w:rsidR="00E00640" w:rsidRPr="00746B32" w:rsidRDefault="00C64367" w:rsidP="00746B32">
                  <w:pPr>
                    <w:jc w:val="right"/>
                    <w:rPr>
                      <w:rFonts w:cs="Arial"/>
                      <w:b/>
                      <w:bCs/>
                      <w:sz w:val="20"/>
                      <w:lang w:val="ru-RU"/>
                    </w:rPr>
                  </w:pPr>
                  <w:r w:rsidRPr="00746B32">
                    <w:rPr>
                      <w:rFonts w:cs="Arial"/>
                      <w:sz w:val="20"/>
                      <w:lang w:val="ru-RU"/>
                    </w:rPr>
                    <w:t>1 651 888</w:t>
                  </w:r>
                </w:p>
              </w:tc>
              <w:tc>
                <w:tcPr>
                  <w:tcW w:w="1028" w:type="pct"/>
                  <w:tcBorders>
                    <w:top w:val="nil"/>
                    <w:left w:val="nil"/>
                    <w:bottom w:val="nil"/>
                    <w:right w:val="nil"/>
                  </w:tcBorders>
                  <w:shd w:val="clear" w:color="auto" w:fill="auto"/>
                  <w:noWrap/>
                  <w:vAlign w:val="bottom"/>
                  <w:hideMark/>
                </w:tcPr>
                <w:p w:rsidR="00E00640" w:rsidRPr="00746B32" w:rsidRDefault="00C64367" w:rsidP="00746B32">
                  <w:pPr>
                    <w:jc w:val="right"/>
                    <w:rPr>
                      <w:rFonts w:cs="Arial"/>
                      <w:b/>
                      <w:bCs/>
                      <w:sz w:val="20"/>
                      <w:lang w:val="ru-RU"/>
                    </w:rPr>
                  </w:pPr>
                  <w:r w:rsidRPr="00746B32">
                    <w:rPr>
                      <w:rFonts w:cs="Arial"/>
                      <w:sz w:val="20"/>
                      <w:lang w:val="ru-RU"/>
                    </w:rPr>
                    <w:t>1 525 146</w:t>
                  </w:r>
                </w:p>
              </w:tc>
            </w:tr>
            <w:tr w:rsidR="00E00640" w:rsidRPr="00746B32" w:rsidTr="00C06AC5">
              <w:tblPrEx>
                <w:tblCellMar>
                  <w:left w:w="108" w:type="dxa"/>
                  <w:right w:w="108" w:type="dxa"/>
                </w:tblCellMar>
                <w:tblLook w:val="04A0"/>
              </w:tblPrEx>
              <w:trPr>
                <w:trHeight w:val="51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Отложенное  налоговое обязательство</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11</w:t>
                  </w:r>
                </w:p>
              </w:tc>
              <w:tc>
                <w:tcPr>
                  <w:tcW w:w="877"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sz w:val="20"/>
                      <w:lang w:val="ru-RU"/>
                    </w:rPr>
                  </w:pPr>
                  <w:r w:rsidRPr="00746B32">
                    <w:rPr>
                      <w:rFonts w:cs="Arial"/>
                      <w:sz w:val="20"/>
                      <w:lang w:val="ru-RU"/>
                    </w:rPr>
                    <w:t xml:space="preserve">-     </w:t>
                  </w:r>
                </w:p>
              </w:tc>
              <w:tc>
                <w:tcPr>
                  <w:tcW w:w="916"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 xml:space="preserve"> - </w:t>
                  </w:r>
                </w:p>
              </w:tc>
              <w:tc>
                <w:tcPr>
                  <w:tcW w:w="1028" w:type="pct"/>
                  <w:tcBorders>
                    <w:top w:val="nil"/>
                    <w:left w:val="nil"/>
                    <w:bottom w:val="nil"/>
                    <w:right w:val="nil"/>
                  </w:tcBorders>
                  <w:shd w:val="clear" w:color="auto" w:fill="auto"/>
                  <w:noWrap/>
                  <w:vAlign w:val="bottom"/>
                  <w:hideMark/>
                </w:tcPr>
                <w:p w:rsidR="00E00640" w:rsidRPr="00746B32" w:rsidRDefault="00E00640" w:rsidP="00746B32">
                  <w:pPr>
                    <w:jc w:val="right"/>
                    <w:rPr>
                      <w:rFonts w:cs="Arial"/>
                      <w:b/>
                      <w:bCs/>
                      <w:sz w:val="20"/>
                      <w:lang w:val="ru-RU"/>
                    </w:rPr>
                  </w:pPr>
                  <w:r w:rsidRPr="00746B32">
                    <w:rPr>
                      <w:rFonts w:cs="Arial"/>
                      <w:sz w:val="20"/>
                      <w:lang w:val="ru-RU"/>
                    </w:rPr>
                    <w:t>33</w:t>
                  </w:r>
                  <w:r w:rsidR="0038580E" w:rsidRPr="00746B32">
                    <w:rPr>
                      <w:rFonts w:cs="Arial"/>
                      <w:sz w:val="20"/>
                      <w:lang w:val="ru-RU"/>
                    </w:rPr>
                    <w:t> </w:t>
                  </w:r>
                  <w:r w:rsidRPr="00746B32">
                    <w:rPr>
                      <w:rFonts w:cs="Arial"/>
                      <w:sz w:val="20"/>
                      <w:lang w:val="ru-RU"/>
                    </w:rPr>
                    <w:t>413</w:t>
                  </w:r>
                </w:p>
              </w:tc>
            </w:tr>
            <w:tr w:rsidR="00E00640" w:rsidRPr="00746B32" w:rsidTr="00C06AC5">
              <w:tblPrEx>
                <w:tblCellMar>
                  <w:left w:w="108" w:type="dxa"/>
                  <w:right w:w="108" w:type="dxa"/>
                </w:tblCellMar>
                <w:tblLook w:val="04A0"/>
              </w:tblPrEx>
              <w:trPr>
                <w:trHeight w:val="510"/>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lastRenderedPageBreak/>
                    <w:t>Резерв по судебным делам</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31</w:t>
                  </w:r>
                </w:p>
              </w:tc>
              <w:tc>
                <w:tcPr>
                  <w:tcW w:w="877" w:type="pct"/>
                  <w:tcBorders>
                    <w:top w:val="nil"/>
                    <w:left w:val="nil"/>
                    <w:bottom w:val="nil"/>
                    <w:right w:val="nil"/>
                  </w:tcBorders>
                  <w:shd w:val="clear" w:color="auto" w:fill="auto"/>
                  <w:noWrap/>
                  <w:vAlign w:val="bottom"/>
                  <w:hideMark/>
                </w:tcPr>
                <w:p w:rsidR="008E3EDA" w:rsidRPr="00746B32" w:rsidRDefault="002923F4" w:rsidP="00746B32">
                  <w:pPr>
                    <w:jc w:val="right"/>
                    <w:rPr>
                      <w:rFonts w:cs="Arial"/>
                      <w:sz w:val="20"/>
                      <w:lang w:val="ru-RU"/>
                    </w:rPr>
                  </w:pPr>
                  <w:r w:rsidRPr="00746B32">
                    <w:rPr>
                      <w:rFonts w:cs="Arial"/>
                      <w:sz w:val="20"/>
                      <w:lang w:val="ru-RU"/>
                    </w:rPr>
                    <w:t>46 604</w:t>
                  </w:r>
                </w:p>
              </w:tc>
              <w:tc>
                <w:tcPr>
                  <w:tcW w:w="916" w:type="pct"/>
                  <w:tcBorders>
                    <w:top w:val="nil"/>
                    <w:left w:val="nil"/>
                    <w:bottom w:val="nil"/>
                    <w:right w:val="nil"/>
                  </w:tcBorders>
                  <w:shd w:val="clear" w:color="auto" w:fill="auto"/>
                  <w:noWrap/>
                  <w:vAlign w:val="bottom"/>
                  <w:hideMark/>
                </w:tcPr>
                <w:p w:rsidR="008E3EDA" w:rsidRPr="00746B32" w:rsidRDefault="00E00640" w:rsidP="00746B32">
                  <w:pPr>
                    <w:jc w:val="right"/>
                    <w:rPr>
                      <w:rFonts w:cs="Arial"/>
                      <w:b/>
                      <w:bCs/>
                      <w:sz w:val="20"/>
                      <w:lang w:val="ru-RU"/>
                    </w:rPr>
                  </w:pPr>
                  <w:r w:rsidRPr="00746B32">
                    <w:rPr>
                      <w:rFonts w:cs="Arial"/>
                      <w:sz w:val="20"/>
                      <w:lang w:val="ru-RU"/>
                    </w:rPr>
                    <w:t>23 516</w:t>
                  </w:r>
                </w:p>
              </w:tc>
              <w:tc>
                <w:tcPr>
                  <w:tcW w:w="1028" w:type="pct"/>
                  <w:tcBorders>
                    <w:top w:val="nil"/>
                    <w:left w:val="nil"/>
                    <w:bottom w:val="nil"/>
                    <w:right w:val="nil"/>
                  </w:tcBorders>
                  <w:shd w:val="clear" w:color="auto" w:fill="auto"/>
                  <w:noWrap/>
                  <w:vAlign w:val="bottom"/>
                  <w:hideMark/>
                </w:tcPr>
                <w:p w:rsidR="008E3EDA" w:rsidRPr="00746B32" w:rsidRDefault="00E00640" w:rsidP="00746B32">
                  <w:pPr>
                    <w:jc w:val="right"/>
                    <w:rPr>
                      <w:rFonts w:cs="Arial"/>
                      <w:b/>
                      <w:bCs/>
                      <w:sz w:val="20"/>
                      <w:lang w:val="ru-RU"/>
                    </w:rPr>
                  </w:pPr>
                  <w:r w:rsidRPr="00746B32">
                    <w:rPr>
                      <w:rFonts w:cs="Arial"/>
                      <w:sz w:val="20"/>
                      <w:lang w:val="ru-RU"/>
                    </w:rPr>
                    <w:t>-</w:t>
                  </w:r>
                </w:p>
              </w:tc>
            </w:tr>
            <w:tr w:rsidR="00E00640" w:rsidRPr="00746B32" w:rsidTr="00C06AC5">
              <w:tblPrEx>
                <w:tblCellMar>
                  <w:left w:w="108" w:type="dxa"/>
                  <w:right w:w="108" w:type="dxa"/>
                </w:tblCellMar>
                <w:tblLook w:val="04A0"/>
              </w:tblPrEx>
              <w:trPr>
                <w:trHeight w:val="765"/>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sz w:val="20"/>
                      <w:lang w:val="ru-RU"/>
                    </w:rPr>
                  </w:pPr>
                  <w:r w:rsidRPr="00746B32">
                    <w:rPr>
                      <w:rFonts w:cs="Arial"/>
                      <w:sz w:val="20"/>
                      <w:lang w:val="ru-RU"/>
                    </w:rPr>
                    <w:t>Прочие обязательства и кредиторская задолженность</w:t>
                  </w:r>
                </w:p>
              </w:tc>
              <w:tc>
                <w:tcPr>
                  <w:tcW w:w="440" w:type="pct"/>
                  <w:tcBorders>
                    <w:top w:val="nil"/>
                    <w:left w:val="nil"/>
                    <w:bottom w:val="nil"/>
                    <w:right w:val="nil"/>
                  </w:tcBorders>
                  <w:shd w:val="clear" w:color="auto" w:fill="auto"/>
                  <w:noWrap/>
                  <w:vAlign w:val="bottom"/>
                  <w:hideMark/>
                </w:tcPr>
                <w:p w:rsidR="00E00640" w:rsidRPr="00746B32" w:rsidRDefault="00E00640" w:rsidP="00746B32">
                  <w:pPr>
                    <w:jc w:val="center"/>
                    <w:rPr>
                      <w:rFonts w:cs="Arial"/>
                      <w:sz w:val="20"/>
                      <w:lang w:val="ru-RU"/>
                    </w:rPr>
                  </w:pPr>
                  <w:r w:rsidRPr="00746B32">
                    <w:rPr>
                      <w:rFonts w:cs="Arial"/>
                      <w:sz w:val="20"/>
                      <w:lang w:val="ru-RU"/>
                    </w:rPr>
                    <w:t>19</w:t>
                  </w:r>
                </w:p>
              </w:tc>
              <w:tc>
                <w:tcPr>
                  <w:tcW w:w="877" w:type="pct"/>
                  <w:tcBorders>
                    <w:top w:val="nil"/>
                    <w:left w:val="nil"/>
                    <w:bottom w:val="nil"/>
                    <w:right w:val="nil"/>
                  </w:tcBorders>
                  <w:shd w:val="clear" w:color="auto" w:fill="auto"/>
                  <w:noWrap/>
                  <w:vAlign w:val="bottom"/>
                  <w:hideMark/>
                </w:tcPr>
                <w:p w:rsidR="008E3EDA" w:rsidRPr="00746B32" w:rsidRDefault="002923F4" w:rsidP="00746B32">
                  <w:pPr>
                    <w:jc w:val="right"/>
                    <w:rPr>
                      <w:rFonts w:cs="Arial"/>
                      <w:sz w:val="20"/>
                      <w:lang w:val="ru-RU"/>
                    </w:rPr>
                  </w:pPr>
                  <w:r w:rsidRPr="00746B32">
                    <w:rPr>
                      <w:rFonts w:cs="Arial"/>
                      <w:sz w:val="20"/>
                      <w:lang w:val="ru-RU"/>
                    </w:rPr>
                    <w:t>181 946</w:t>
                  </w:r>
                </w:p>
              </w:tc>
              <w:tc>
                <w:tcPr>
                  <w:tcW w:w="916" w:type="pct"/>
                  <w:tcBorders>
                    <w:top w:val="nil"/>
                    <w:left w:val="nil"/>
                    <w:bottom w:val="nil"/>
                    <w:right w:val="nil"/>
                  </w:tcBorders>
                  <w:shd w:val="clear" w:color="auto" w:fill="auto"/>
                  <w:noWrap/>
                  <w:vAlign w:val="bottom"/>
                  <w:hideMark/>
                </w:tcPr>
                <w:p w:rsidR="008E3EDA" w:rsidRPr="00746B32" w:rsidRDefault="00E00640" w:rsidP="00746B32">
                  <w:pPr>
                    <w:jc w:val="right"/>
                    <w:rPr>
                      <w:rFonts w:cs="Arial"/>
                      <w:b/>
                      <w:bCs/>
                      <w:sz w:val="20"/>
                      <w:lang w:val="ru-RU"/>
                    </w:rPr>
                  </w:pPr>
                  <w:r w:rsidRPr="00746B32">
                    <w:rPr>
                      <w:rFonts w:cs="Arial"/>
                      <w:sz w:val="20"/>
                      <w:lang w:val="ru-RU"/>
                    </w:rPr>
                    <w:t>220 293</w:t>
                  </w:r>
                </w:p>
              </w:tc>
              <w:tc>
                <w:tcPr>
                  <w:tcW w:w="1028" w:type="pct"/>
                  <w:tcBorders>
                    <w:top w:val="nil"/>
                    <w:left w:val="nil"/>
                    <w:bottom w:val="nil"/>
                    <w:right w:val="nil"/>
                  </w:tcBorders>
                  <w:shd w:val="clear" w:color="auto" w:fill="auto"/>
                  <w:noWrap/>
                  <w:vAlign w:val="bottom"/>
                  <w:hideMark/>
                </w:tcPr>
                <w:p w:rsidR="008E3EDA" w:rsidRPr="00746B32" w:rsidRDefault="00E00640" w:rsidP="00746B32">
                  <w:pPr>
                    <w:jc w:val="right"/>
                    <w:rPr>
                      <w:rFonts w:cs="Arial"/>
                      <w:b/>
                      <w:bCs/>
                      <w:sz w:val="20"/>
                      <w:lang w:val="ru-RU"/>
                    </w:rPr>
                  </w:pPr>
                  <w:r w:rsidRPr="00746B32">
                    <w:rPr>
                      <w:rFonts w:cs="Arial"/>
                      <w:sz w:val="20"/>
                      <w:lang w:val="ru-RU"/>
                    </w:rPr>
                    <w:t>143</w:t>
                  </w:r>
                  <w:r w:rsidR="0038580E" w:rsidRPr="00746B32">
                    <w:rPr>
                      <w:rFonts w:cs="Arial"/>
                      <w:sz w:val="20"/>
                      <w:lang w:val="ru-RU"/>
                    </w:rPr>
                    <w:t> </w:t>
                  </w:r>
                  <w:r w:rsidRPr="00746B32">
                    <w:rPr>
                      <w:rFonts w:cs="Arial"/>
                      <w:sz w:val="20"/>
                      <w:lang w:val="ru-RU"/>
                    </w:rPr>
                    <w:t>254</w:t>
                  </w:r>
                </w:p>
              </w:tc>
            </w:tr>
            <w:tr w:rsidR="00E00640" w:rsidRPr="00746B32" w:rsidTr="00C06AC5">
              <w:tblPrEx>
                <w:tblCellMar>
                  <w:left w:w="108" w:type="dxa"/>
                  <w:right w:w="108" w:type="dxa"/>
                </w:tblCellMar>
                <w:tblLook w:val="04A0"/>
              </w:tblPrEx>
              <w:trPr>
                <w:trHeight w:val="315"/>
              </w:trPr>
              <w:tc>
                <w:tcPr>
                  <w:tcW w:w="1739" w:type="pct"/>
                  <w:gridSpan w:val="2"/>
                  <w:tcBorders>
                    <w:top w:val="nil"/>
                    <w:left w:val="nil"/>
                    <w:bottom w:val="nil"/>
                    <w:right w:val="nil"/>
                  </w:tcBorders>
                  <w:shd w:val="clear" w:color="auto" w:fill="auto"/>
                  <w:vAlign w:val="bottom"/>
                  <w:hideMark/>
                </w:tcPr>
                <w:p w:rsidR="00E00640" w:rsidRPr="00746B32" w:rsidRDefault="00E00640" w:rsidP="00746B32">
                  <w:pPr>
                    <w:rPr>
                      <w:rFonts w:cs="Arial"/>
                      <w:b/>
                      <w:bCs/>
                      <w:color w:val="000000"/>
                      <w:sz w:val="20"/>
                      <w:lang w:val="ru-RU"/>
                    </w:rPr>
                  </w:pPr>
                  <w:r w:rsidRPr="00746B32">
                    <w:rPr>
                      <w:rFonts w:cs="Arial"/>
                      <w:b/>
                      <w:bCs/>
                      <w:color w:val="000000"/>
                      <w:sz w:val="20"/>
                      <w:lang w:val="ru-RU"/>
                    </w:rPr>
                    <w:t>Итого обязательств</w:t>
                  </w:r>
                </w:p>
              </w:tc>
              <w:tc>
                <w:tcPr>
                  <w:tcW w:w="440" w:type="pct"/>
                  <w:tcBorders>
                    <w:top w:val="nil"/>
                    <w:left w:val="nil"/>
                    <w:bottom w:val="nil"/>
                    <w:right w:val="nil"/>
                  </w:tcBorders>
                  <w:shd w:val="clear" w:color="auto" w:fill="auto"/>
                  <w:noWrap/>
                  <w:vAlign w:val="center"/>
                  <w:hideMark/>
                </w:tcPr>
                <w:p w:rsidR="00E00640" w:rsidRPr="00746B32" w:rsidRDefault="00E00640" w:rsidP="00746B32">
                  <w:pPr>
                    <w:jc w:val="center"/>
                    <w:rPr>
                      <w:rFonts w:cs="Arial"/>
                      <w:sz w:val="20"/>
                      <w:lang w:val="ru-RU"/>
                    </w:rPr>
                  </w:pPr>
                </w:p>
              </w:tc>
              <w:tc>
                <w:tcPr>
                  <w:tcW w:w="877" w:type="pct"/>
                  <w:tcBorders>
                    <w:top w:val="single" w:sz="4" w:space="0" w:color="auto"/>
                    <w:left w:val="nil"/>
                    <w:bottom w:val="double" w:sz="6" w:space="0" w:color="auto"/>
                    <w:right w:val="nil"/>
                  </w:tcBorders>
                  <w:shd w:val="clear" w:color="auto" w:fill="auto"/>
                  <w:noWrap/>
                  <w:vAlign w:val="bottom"/>
                  <w:hideMark/>
                </w:tcPr>
                <w:p w:rsidR="008E3EDA" w:rsidRPr="00746B32" w:rsidRDefault="00E00640" w:rsidP="00746B32">
                  <w:pPr>
                    <w:jc w:val="right"/>
                    <w:rPr>
                      <w:rFonts w:cs="Arial"/>
                      <w:b/>
                      <w:bCs/>
                      <w:color w:val="000000"/>
                      <w:sz w:val="20"/>
                      <w:lang w:val="ru-RU"/>
                    </w:rPr>
                  </w:pPr>
                  <w:r w:rsidRPr="00746B32">
                    <w:rPr>
                      <w:rFonts w:cs="Arial"/>
                      <w:b/>
                      <w:bCs/>
                      <w:color w:val="000000"/>
                      <w:sz w:val="20"/>
                      <w:lang w:val="ru-RU"/>
                    </w:rPr>
                    <w:t>43 013 646</w:t>
                  </w:r>
                </w:p>
              </w:tc>
              <w:tc>
                <w:tcPr>
                  <w:tcW w:w="916" w:type="pct"/>
                  <w:tcBorders>
                    <w:top w:val="single" w:sz="4" w:space="0" w:color="auto"/>
                    <w:left w:val="nil"/>
                    <w:bottom w:val="double" w:sz="6" w:space="0" w:color="auto"/>
                    <w:right w:val="nil"/>
                  </w:tcBorders>
                  <w:shd w:val="clear" w:color="auto" w:fill="auto"/>
                  <w:noWrap/>
                  <w:vAlign w:val="bottom"/>
                  <w:hideMark/>
                </w:tcPr>
                <w:p w:rsidR="008E3EDA" w:rsidRPr="00746B32" w:rsidRDefault="00E00640" w:rsidP="00746B32">
                  <w:pPr>
                    <w:jc w:val="right"/>
                    <w:rPr>
                      <w:rFonts w:cs="Arial"/>
                      <w:b/>
                      <w:bCs/>
                      <w:color w:val="000000"/>
                      <w:sz w:val="20"/>
                      <w:lang w:val="ru-RU"/>
                    </w:rPr>
                  </w:pPr>
                  <w:r w:rsidRPr="00746B32">
                    <w:rPr>
                      <w:rFonts w:cs="Arial"/>
                      <w:b/>
                      <w:bCs/>
                      <w:color w:val="000000"/>
                      <w:sz w:val="20"/>
                      <w:lang w:val="ru-RU"/>
                    </w:rPr>
                    <w:t>42 442 715</w:t>
                  </w:r>
                </w:p>
              </w:tc>
              <w:tc>
                <w:tcPr>
                  <w:tcW w:w="1028" w:type="pct"/>
                  <w:tcBorders>
                    <w:top w:val="single" w:sz="4" w:space="0" w:color="auto"/>
                    <w:left w:val="nil"/>
                    <w:bottom w:val="double" w:sz="6" w:space="0" w:color="auto"/>
                    <w:right w:val="nil"/>
                  </w:tcBorders>
                  <w:shd w:val="clear" w:color="auto" w:fill="auto"/>
                  <w:noWrap/>
                  <w:vAlign w:val="bottom"/>
                  <w:hideMark/>
                </w:tcPr>
                <w:p w:rsidR="008E3EDA" w:rsidRPr="00746B32" w:rsidRDefault="00E00640" w:rsidP="00746B32">
                  <w:pPr>
                    <w:jc w:val="right"/>
                    <w:rPr>
                      <w:rFonts w:cs="Arial"/>
                      <w:b/>
                      <w:bCs/>
                      <w:color w:val="000000"/>
                      <w:sz w:val="20"/>
                      <w:lang w:val="ru-RU"/>
                    </w:rPr>
                  </w:pPr>
                  <w:r w:rsidRPr="00746B32">
                    <w:rPr>
                      <w:rFonts w:cs="Arial"/>
                      <w:b/>
                      <w:bCs/>
                      <w:color w:val="000000"/>
                      <w:sz w:val="20"/>
                      <w:lang w:val="ru-RU"/>
                    </w:rPr>
                    <w:t>38 815 285</w:t>
                  </w:r>
                </w:p>
              </w:tc>
            </w:tr>
          </w:tbl>
          <w:p w:rsidR="00E00640" w:rsidRPr="00746B32" w:rsidRDefault="00E00640" w:rsidP="00746B32">
            <w:pPr>
              <w:tabs>
                <w:tab w:val="left" w:pos="5387"/>
              </w:tabs>
              <w:rPr>
                <w:rFonts w:cs="Arial"/>
                <w:sz w:val="20"/>
                <w:lang w:val="ru-RU"/>
              </w:rPr>
            </w:pPr>
          </w:p>
          <w:tbl>
            <w:tblPr>
              <w:tblW w:w="9214" w:type="dxa"/>
              <w:tblLook w:val="04A0"/>
            </w:tblPr>
            <w:tblGrid>
              <w:gridCol w:w="3119"/>
              <w:gridCol w:w="850"/>
              <w:gridCol w:w="1588"/>
              <w:gridCol w:w="64"/>
              <w:gridCol w:w="1751"/>
              <w:gridCol w:w="1842"/>
            </w:tblGrid>
            <w:tr w:rsidR="003138D1" w:rsidRPr="00746B32" w:rsidTr="00C06AC5">
              <w:trPr>
                <w:trHeight w:val="300"/>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Собственные средства</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652" w:type="dxa"/>
                  <w:gridSpan w:val="2"/>
                  <w:tcBorders>
                    <w:top w:val="nil"/>
                    <w:left w:val="nil"/>
                    <w:bottom w:val="nil"/>
                    <w:right w:val="nil"/>
                  </w:tcBorders>
                  <w:shd w:val="clear" w:color="auto" w:fill="auto"/>
                  <w:vAlign w:val="bottom"/>
                  <w:hideMark/>
                </w:tcPr>
                <w:p w:rsidR="003138D1" w:rsidRPr="00746B32" w:rsidRDefault="003138D1" w:rsidP="00746B32">
                  <w:pPr>
                    <w:jc w:val="center"/>
                    <w:rPr>
                      <w:rFonts w:cs="Arial"/>
                      <w:sz w:val="20"/>
                      <w:lang w:val="ru-RU"/>
                    </w:rPr>
                  </w:pPr>
                </w:p>
              </w:tc>
              <w:tc>
                <w:tcPr>
                  <w:tcW w:w="1751" w:type="dxa"/>
                  <w:tcBorders>
                    <w:top w:val="nil"/>
                    <w:left w:val="nil"/>
                    <w:bottom w:val="nil"/>
                    <w:right w:val="nil"/>
                  </w:tcBorders>
                  <w:shd w:val="clear" w:color="auto" w:fill="auto"/>
                  <w:vAlign w:val="bottom"/>
                  <w:hideMark/>
                </w:tcPr>
                <w:p w:rsidR="003138D1" w:rsidRPr="00746B32" w:rsidRDefault="003138D1" w:rsidP="00746B32">
                  <w:pPr>
                    <w:jc w:val="center"/>
                    <w:rPr>
                      <w:rFonts w:cs="Arial"/>
                      <w:sz w:val="20"/>
                      <w:lang w:val="ru-RU"/>
                    </w:rPr>
                  </w:pPr>
                </w:p>
              </w:tc>
              <w:tc>
                <w:tcPr>
                  <w:tcW w:w="1842" w:type="dxa"/>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r>
            <w:tr w:rsidR="003138D1" w:rsidRPr="00746B32" w:rsidTr="00C06AC5">
              <w:trPr>
                <w:trHeight w:val="255"/>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Акционерный капитал</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r w:rsidRPr="00746B32">
                    <w:rPr>
                      <w:rFonts w:cs="Arial"/>
                      <w:sz w:val="20"/>
                      <w:lang w:val="ru-RU"/>
                    </w:rPr>
                    <w:t>20</w:t>
                  </w:r>
                </w:p>
              </w:tc>
              <w:tc>
                <w:tcPr>
                  <w:tcW w:w="1652" w:type="dxa"/>
                  <w:gridSpan w:val="2"/>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1 313 867</w:t>
                  </w:r>
                </w:p>
              </w:tc>
              <w:tc>
                <w:tcPr>
                  <w:tcW w:w="1751" w:type="dxa"/>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1 313 867</w:t>
                  </w:r>
                </w:p>
              </w:tc>
              <w:tc>
                <w:tcPr>
                  <w:tcW w:w="1842" w:type="dxa"/>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1</w:t>
                  </w:r>
                  <w:r w:rsidR="0038580E" w:rsidRPr="00746B32">
                    <w:rPr>
                      <w:rFonts w:cs="Arial"/>
                      <w:sz w:val="20"/>
                      <w:lang w:val="ru-RU"/>
                    </w:rPr>
                    <w:t> </w:t>
                  </w:r>
                  <w:r w:rsidRPr="00746B32">
                    <w:rPr>
                      <w:rFonts w:cs="Arial"/>
                      <w:sz w:val="20"/>
                      <w:lang w:val="ru-RU"/>
                    </w:rPr>
                    <w:t>173</w:t>
                  </w:r>
                  <w:r w:rsidR="0038580E" w:rsidRPr="00746B32">
                    <w:rPr>
                      <w:rFonts w:cs="Arial"/>
                      <w:sz w:val="20"/>
                      <w:lang w:val="ru-RU"/>
                    </w:rPr>
                    <w:t> </w:t>
                  </w:r>
                  <w:r w:rsidRPr="00746B32">
                    <w:rPr>
                      <w:rFonts w:cs="Arial"/>
                      <w:sz w:val="20"/>
                      <w:lang w:val="ru-RU"/>
                    </w:rPr>
                    <w:t>867</w:t>
                  </w:r>
                </w:p>
              </w:tc>
            </w:tr>
            <w:tr w:rsidR="003138D1" w:rsidRPr="00746B32" w:rsidTr="00C06AC5">
              <w:trPr>
                <w:trHeight w:val="255"/>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Эмиссионный доход</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652" w:type="dxa"/>
                  <w:gridSpan w:val="2"/>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2 322 285</w:t>
                  </w:r>
                </w:p>
              </w:tc>
              <w:tc>
                <w:tcPr>
                  <w:tcW w:w="1751" w:type="dxa"/>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2 322 285</w:t>
                  </w:r>
                </w:p>
              </w:tc>
              <w:tc>
                <w:tcPr>
                  <w:tcW w:w="1842" w:type="dxa"/>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2</w:t>
                  </w:r>
                  <w:r w:rsidR="0038580E" w:rsidRPr="00746B32">
                    <w:rPr>
                      <w:rFonts w:cs="Arial"/>
                      <w:sz w:val="20"/>
                      <w:lang w:val="ru-RU"/>
                    </w:rPr>
                    <w:t> </w:t>
                  </w:r>
                  <w:r w:rsidRPr="00746B32">
                    <w:rPr>
                      <w:rFonts w:cs="Arial"/>
                      <w:sz w:val="20"/>
                      <w:lang w:val="ru-RU"/>
                    </w:rPr>
                    <w:t>070</w:t>
                  </w:r>
                  <w:r w:rsidR="0038580E" w:rsidRPr="00746B32">
                    <w:rPr>
                      <w:rFonts w:cs="Arial"/>
                      <w:sz w:val="20"/>
                      <w:lang w:val="ru-RU"/>
                    </w:rPr>
                    <w:t> </w:t>
                  </w:r>
                  <w:r w:rsidRPr="00746B32">
                    <w:rPr>
                      <w:rFonts w:cs="Arial"/>
                      <w:sz w:val="20"/>
                      <w:lang w:val="ru-RU"/>
                    </w:rPr>
                    <w:t>285</w:t>
                  </w:r>
                </w:p>
              </w:tc>
            </w:tr>
            <w:tr w:rsidR="003138D1" w:rsidRPr="00746B32" w:rsidTr="00C06AC5">
              <w:trPr>
                <w:trHeight w:val="1020"/>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Резерв по переоценке ценных бумаг имеющихся в наличии д</w:t>
                  </w:r>
                  <w:r w:rsidR="00C608AF" w:rsidRPr="00746B32">
                    <w:rPr>
                      <w:rFonts w:cs="Arial"/>
                      <w:sz w:val="20"/>
                      <w:lang w:val="ru-RU"/>
                    </w:rPr>
                    <w:t>л</w:t>
                  </w:r>
                  <w:r w:rsidRPr="00746B32">
                    <w:rPr>
                      <w:rFonts w:cs="Arial"/>
                      <w:sz w:val="20"/>
                      <w:lang w:val="ru-RU"/>
                    </w:rPr>
                    <w:t>я продажи</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588" w:type="dxa"/>
                  <w:tcBorders>
                    <w:top w:val="nil"/>
                    <w:left w:val="nil"/>
                    <w:bottom w:val="nil"/>
                    <w:right w:val="nil"/>
                  </w:tcBorders>
                  <w:shd w:val="clear" w:color="auto" w:fill="auto"/>
                  <w:vAlign w:val="bottom"/>
                  <w:hideMark/>
                </w:tcPr>
                <w:p w:rsidR="008E3EDA" w:rsidRPr="00746B32" w:rsidRDefault="003138D1" w:rsidP="00746B32">
                  <w:pPr>
                    <w:jc w:val="right"/>
                    <w:rPr>
                      <w:rFonts w:cs="Arial"/>
                      <w:b/>
                      <w:bCs/>
                      <w:sz w:val="20"/>
                      <w:lang w:val="ru-RU"/>
                    </w:rPr>
                  </w:pPr>
                  <w:r w:rsidRPr="00746B32">
                    <w:rPr>
                      <w:rFonts w:cs="Arial"/>
                      <w:sz w:val="20"/>
                      <w:lang w:val="ru-RU"/>
                    </w:rPr>
                    <w:t>(315 642)</w:t>
                  </w:r>
                </w:p>
              </w:tc>
              <w:tc>
                <w:tcPr>
                  <w:tcW w:w="1815" w:type="dxa"/>
                  <w:gridSpan w:val="2"/>
                  <w:tcBorders>
                    <w:top w:val="nil"/>
                    <w:left w:val="nil"/>
                    <w:bottom w:val="nil"/>
                    <w:right w:val="nil"/>
                  </w:tcBorders>
                  <w:shd w:val="clear" w:color="auto" w:fill="auto"/>
                  <w:vAlign w:val="bottom"/>
                  <w:hideMark/>
                </w:tcPr>
                <w:p w:rsidR="008E3EDA" w:rsidRPr="00746B32" w:rsidRDefault="003138D1" w:rsidP="00746B32">
                  <w:pPr>
                    <w:jc w:val="right"/>
                    <w:rPr>
                      <w:rFonts w:cs="Arial"/>
                      <w:b/>
                      <w:bCs/>
                      <w:sz w:val="20"/>
                      <w:lang w:val="ru-RU"/>
                    </w:rPr>
                  </w:pPr>
                  <w:r w:rsidRPr="00746B32">
                    <w:rPr>
                      <w:rFonts w:cs="Arial"/>
                      <w:sz w:val="20"/>
                      <w:lang w:val="ru-RU"/>
                    </w:rPr>
                    <w:t>(197 774)</w:t>
                  </w:r>
                </w:p>
              </w:tc>
              <w:tc>
                <w:tcPr>
                  <w:tcW w:w="1842" w:type="dxa"/>
                  <w:tcBorders>
                    <w:top w:val="nil"/>
                    <w:left w:val="nil"/>
                    <w:bottom w:val="nil"/>
                    <w:right w:val="nil"/>
                  </w:tcBorders>
                  <w:shd w:val="clear" w:color="auto" w:fill="auto"/>
                  <w:noWrap/>
                  <w:vAlign w:val="bottom"/>
                  <w:hideMark/>
                </w:tcPr>
                <w:p w:rsidR="008E3EDA" w:rsidRPr="00746B32" w:rsidRDefault="00523A96" w:rsidP="00746B32">
                  <w:pPr>
                    <w:jc w:val="right"/>
                    <w:rPr>
                      <w:rFonts w:cs="Arial"/>
                      <w:b/>
                      <w:bCs/>
                      <w:sz w:val="20"/>
                      <w:lang w:val="ru-RU"/>
                    </w:rPr>
                  </w:pPr>
                  <w:r w:rsidRPr="00746B32">
                    <w:rPr>
                      <w:rFonts w:cs="Arial"/>
                      <w:sz w:val="20"/>
                      <w:lang w:val="ru-RU"/>
                    </w:rPr>
                    <w:t>(</w:t>
                  </w:r>
                  <w:r w:rsidR="003138D1" w:rsidRPr="00746B32">
                    <w:rPr>
                      <w:rFonts w:cs="Arial"/>
                      <w:sz w:val="20"/>
                      <w:lang w:val="ru-RU"/>
                    </w:rPr>
                    <w:t>108</w:t>
                  </w:r>
                  <w:r w:rsidRPr="00746B32">
                    <w:rPr>
                      <w:rFonts w:cs="Arial"/>
                      <w:sz w:val="20"/>
                      <w:lang w:val="ru-RU"/>
                    </w:rPr>
                    <w:t> </w:t>
                  </w:r>
                  <w:r w:rsidR="003138D1" w:rsidRPr="00746B32">
                    <w:rPr>
                      <w:rFonts w:cs="Arial"/>
                      <w:sz w:val="20"/>
                      <w:lang w:val="ru-RU"/>
                    </w:rPr>
                    <w:t>798</w:t>
                  </w:r>
                  <w:r w:rsidRPr="00746B32">
                    <w:rPr>
                      <w:rFonts w:cs="Arial"/>
                      <w:sz w:val="20"/>
                      <w:lang w:val="ru-RU"/>
                    </w:rPr>
                    <w:t>)</w:t>
                  </w:r>
                </w:p>
              </w:tc>
            </w:tr>
            <w:tr w:rsidR="003138D1" w:rsidRPr="00746B32" w:rsidTr="00C06AC5">
              <w:trPr>
                <w:trHeight w:val="510"/>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Нераспределенная прибыль</w:t>
                  </w:r>
                  <w:r w:rsidR="00B86F90" w:rsidRPr="00746B32">
                    <w:rPr>
                      <w:rFonts w:cs="Arial"/>
                      <w:sz w:val="20"/>
                      <w:lang w:val="en-US"/>
                    </w:rPr>
                    <w:t>/(</w:t>
                  </w:r>
                  <w:r w:rsidR="00B86F90" w:rsidRPr="00746B32">
                    <w:rPr>
                      <w:rFonts w:cs="Arial"/>
                      <w:sz w:val="20"/>
                      <w:lang w:val="ru-RU"/>
                    </w:rPr>
                    <w:t>убыток)</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r w:rsidRPr="00746B32">
                    <w:rPr>
                      <w:rFonts w:cs="Arial"/>
                      <w:sz w:val="20"/>
                      <w:lang w:val="ru-RU"/>
                    </w:rPr>
                    <w:t>21</w:t>
                  </w:r>
                </w:p>
              </w:tc>
              <w:tc>
                <w:tcPr>
                  <w:tcW w:w="1588" w:type="dxa"/>
                  <w:tcBorders>
                    <w:top w:val="nil"/>
                    <w:left w:val="nil"/>
                    <w:bottom w:val="single" w:sz="4" w:space="0" w:color="auto"/>
                    <w:right w:val="nil"/>
                  </w:tcBorders>
                  <w:shd w:val="clear" w:color="auto" w:fill="auto"/>
                  <w:vAlign w:val="bottom"/>
                  <w:hideMark/>
                </w:tcPr>
                <w:p w:rsidR="008E3EDA" w:rsidRPr="00746B32" w:rsidRDefault="003138D1" w:rsidP="00746B32">
                  <w:pPr>
                    <w:jc w:val="right"/>
                    <w:rPr>
                      <w:rFonts w:cs="Arial"/>
                      <w:b/>
                      <w:bCs/>
                      <w:sz w:val="20"/>
                      <w:lang w:val="ru-RU"/>
                    </w:rPr>
                  </w:pPr>
                  <w:r w:rsidRPr="00746B32">
                    <w:rPr>
                      <w:rFonts w:cs="Arial"/>
                      <w:sz w:val="20"/>
                      <w:lang w:val="ru-RU"/>
                    </w:rPr>
                    <w:t>(30 744 939)</w:t>
                  </w:r>
                </w:p>
              </w:tc>
              <w:tc>
                <w:tcPr>
                  <w:tcW w:w="1815" w:type="dxa"/>
                  <w:gridSpan w:val="2"/>
                  <w:tcBorders>
                    <w:top w:val="nil"/>
                    <w:left w:val="nil"/>
                    <w:bottom w:val="single" w:sz="4" w:space="0" w:color="auto"/>
                    <w:right w:val="nil"/>
                  </w:tcBorders>
                  <w:shd w:val="clear" w:color="auto" w:fill="auto"/>
                  <w:vAlign w:val="bottom"/>
                  <w:hideMark/>
                </w:tcPr>
                <w:p w:rsidR="008E3EDA" w:rsidRPr="00746B32" w:rsidRDefault="003138D1" w:rsidP="00746B32">
                  <w:pPr>
                    <w:jc w:val="right"/>
                    <w:rPr>
                      <w:rFonts w:cs="Arial"/>
                      <w:b/>
                      <w:bCs/>
                      <w:sz w:val="20"/>
                      <w:lang w:val="ru-RU"/>
                    </w:rPr>
                  </w:pPr>
                  <w:r w:rsidRPr="00746B32">
                    <w:rPr>
                      <w:rFonts w:cs="Arial"/>
                      <w:sz w:val="20"/>
                      <w:lang w:val="ru-RU"/>
                    </w:rPr>
                    <w:t>626 938</w:t>
                  </w:r>
                </w:p>
              </w:tc>
              <w:tc>
                <w:tcPr>
                  <w:tcW w:w="1842" w:type="dxa"/>
                  <w:tcBorders>
                    <w:top w:val="nil"/>
                    <w:left w:val="nil"/>
                    <w:bottom w:val="nil"/>
                    <w:right w:val="nil"/>
                  </w:tcBorders>
                  <w:shd w:val="clear" w:color="auto" w:fill="auto"/>
                  <w:noWrap/>
                  <w:vAlign w:val="bottom"/>
                  <w:hideMark/>
                </w:tcPr>
                <w:p w:rsidR="008E3EDA" w:rsidRPr="00746B32" w:rsidRDefault="003138D1" w:rsidP="00746B32">
                  <w:pPr>
                    <w:jc w:val="right"/>
                    <w:rPr>
                      <w:rFonts w:cs="Arial"/>
                      <w:b/>
                      <w:bCs/>
                      <w:sz w:val="20"/>
                      <w:lang w:val="ru-RU"/>
                    </w:rPr>
                  </w:pPr>
                  <w:r w:rsidRPr="00746B32">
                    <w:rPr>
                      <w:rFonts w:cs="Arial"/>
                      <w:sz w:val="20"/>
                      <w:lang w:val="ru-RU"/>
                    </w:rPr>
                    <w:t>872 305</w:t>
                  </w:r>
                </w:p>
              </w:tc>
            </w:tr>
            <w:tr w:rsidR="003138D1" w:rsidRPr="00746B32" w:rsidTr="00C06AC5">
              <w:trPr>
                <w:trHeight w:val="615"/>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Итого собственных средств</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652" w:type="dxa"/>
                  <w:gridSpan w:val="2"/>
                  <w:tcBorders>
                    <w:top w:val="nil"/>
                    <w:left w:val="nil"/>
                    <w:bottom w:val="double" w:sz="6" w:space="0" w:color="auto"/>
                    <w:right w:val="nil"/>
                  </w:tcBorders>
                  <w:shd w:val="clear" w:color="auto" w:fill="auto"/>
                  <w:vAlign w:val="bottom"/>
                  <w:hideMark/>
                </w:tcPr>
                <w:p w:rsidR="008E3EDA" w:rsidRPr="00746B32" w:rsidRDefault="003138D1" w:rsidP="00746B32">
                  <w:pPr>
                    <w:jc w:val="right"/>
                    <w:rPr>
                      <w:rFonts w:cs="Arial"/>
                      <w:b/>
                      <w:bCs/>
                      <w:color w:val="000000"/>
                      <w:sz w:val="20"/>
                      <w:lang w:val="ru-RU"/>
                    </w:rPr>
                  </w:pPr>
                  <w:r w:rsidRPr="00746B32">
                    <w:rPr>
                      <w:rFonts w:cs="Arial"/>
                      <w:b/>
                      <w:bCs/>
                      <w:color w:val="000000"/>
                      <w:sz w:val="20"/>
                      <w:lang w:val="ru-RU"/>
                    </w:rPr>
                    <w:t>(27 424 429)</w:t>
                  </w:r>
                </w:p>
              </w:tc>
              <w:tc>
                <w:tcPr>
                  <w:tcW w:w="1751" w:type="dxa"/>
                  <w:tcBorders>
                    <w:top w:val="nil"/>
                    <w:left w:val="nil"/>
                    <w:bottom w:val="double" w:sz="6" w:space="0" w:color="auto"/>
                    <w:right w:val="nil"/>
                  </w:tcBorders>
                  <w:shd w:val="clear" w:color="auto" w:fill="auto"/>
                  <w:vAlign w:val="bottom"/>
                  <w:hideMark/>
                </w:tcPr>
                <w:p w:rsidR="008E3EDA" w:rsidRPr="00746B32" w:rsidRDefault="003138D1" w:rsidP="00746B32">
                  <w:pPr>
                    <w:jc w:val="right"/>
                    <w:rPr>
                      <w:rFonts w:cs="Arial"/>
                      <w:b/>
                      <w:bCs/>
                      <w:color w:val="000000"/>
                      <w:sz w:val="20"/>
                      <w:lang w:val="ru-RU"/>
                    </w:rPr>
                  </w:pPr>
                  <w:r w:rsidRPr="00746B32">
                    <w:rPr>
                      <w:rFonts w:cs="Arial"/>
                      <w:b/>
                      <w:bCs/>
                      <w:color w:val="000000"/>
                      <w:sz w:val="20"/>
                      <w:lang w:val="ru-RU"/>
                    </w:rPr>
                    <w:t>4 065 316</w:t>
                  </w:r>
                </w:p>
              </w:tc>
              <w:tc>
                <w:tcPr>
                  <w:tcW w:w="1842" w:type="dxa"/>
                  <w:tcBorders>
                    <w:top w:val="single" w:sz="4" w:space="0" w:color="auto"/>
                    <w:left w:val="nil"/>
                    <w:bottom w:val="double" w:sz="6" w:space="0" w:color="auto"/>
                    <w:right w:val="nil"/>
                  </w:tcBorders>
                  <w:shd w:val="clear" w:color="auto" w:fill="auto"/>
                  <w:vAlign w:val="bottom"/>
                  <w:hideMark/>
                </w:tcPr>
                <w:p w:rsidR="008E3EDA" w:rsidRPr="00746B32" w:rsidRDefault="003138D1" w:rsidP="00746B32">
                  <w:pPr>
                    <w:jc w:val="right"/>
                    <w:rPr>
                      <w:rFonts w:cs="Arial"/>
                      <w:b/>
                      <w:bCs/>
                      <w:color w:val="000000"/>
                      <w:sz w:val="20"/>
                      <w:lang w:val="ru-RU"/>
                    </w:rPr>
                  </w:pPr>
                  <w:r w:rsidRPr="00746B32">
                    <w:rPr>
                      <w:rFonts w:cs="Arial"/>
                      <w:b/>
                      <w:bCs/>
                      <w:color w:val="000000"/>
                      <w:sz w:val="20"/>
                      <w:lang w:val="ru-RU"/>
                    </w:rPr>
                    <w:t>4 007 659</w:t>
                  </w:r>
                </w:p>
              </w:tc>
            </w:tr>
            <w:tr w:rsidR="003138D1" w:rsidRPr="0046554E" w:rsidTr="00C06AC5">
              <w:trPr>
                <w:trHeight w:val="630"/>
              </w:trPr>
              <w:tc>
                <w:tcPr>
                  <w:tcW w:w="3119" w:type="dxa"/>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Итого обязательств и собственных средств</w:t>
                  </w:r>
                </w:p>
              </w:tc>
              <w:tc>
                <w:tcPr>
                  <w:tcW w:w="850" w:type="dxa"/>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652" w:type="dxa"/>
                  <w:gridSpan w:val="2"/>
                  <w:tcBorders>
                    <w:top w:val="nil"/>
                    <w:left w:val="nil"/>
                    <w:bottom w:val="double" w:sz="6" w:space="0" w:color="auto"/>
                    <w:right w:val="nil"/>
                  </w:tcBorders>
                  <w:shd w:val="clear" w:color="auto" w:fill="auto"/>
                  <w:vAlign w:val="bottom"/>
                  <w:hideMark/>
                </w:tcPr>
                <w:p w:rsidR="008E3EDA" w:rsidRPr="00746B32" w:rsidRDefault="003138D1" w:rsidP="00746B32">
                  <w:pPr>
                    <w:jc w:val="right"/>
                    <w:rPr>
                      <w:rFonts w:cs="Arial"/>
                      <w:b/>
                      <w:bCs/>
                      <w:color w:val="000000"/>
                      <w:sz w:val="20"/>
                      <w:lang w:val="ru-RU"/>
                    </w:rPr>
                  </w:pPr>
                  <w:r w:rsidRPr="00746B32">
                    <w:rPr>
                      <w:rFonts w:cs="Arial"/>
                      <w:b/>
                      <w:bCs/>
                      <w:color w:val="000000"/>
                      <w:sz w:val="20"/>
                      <w:lang w:val="ru-RU"/>
                    </w:rPr>
                    <w:t>15 589 217</w:t>
                  </w:r>
                </w:p>
              </w:tc>
              <w:tc>
                <w:tcPr>
                  <w:tcW w:w="1751" w:type="dxa"/>
                  <w:tcBorders>
                    <w:top w:val="nil"/>
                    <w:left w:val="nil"/>
                    <w:bottom w:val="double" w:sz="6" w:space="0" w:color="auto"/>
                    <w:right w:val="nil"/>
                  </w:tcBorders>
                  <w:shd w:val="clear" w:color="auto" w:fill="auto"/>
                  <w:vAlign w:val="bottom"/>
                  <w:hideMark/>
                </w:tcPr>
                <w:p w:rsidR="008E3EDA" w:rsidRPr="00746B32" w:rsidRDefault="003138D1" w:rsidP="00746B32">
                  <w:pPr>
                    <w:jc w:val="right"/>
                    <w:rPr>
                      <w:rFonts w:cs="Arial"/>
                      <w:b/>
                      <w:bCs/>
                      <w:color w:val="000000"/>
                      <w:sz w:val="20"/>
                      <w:lang w:val="ru-RU"/>
                    </w:rPr>
                  </w:pPr>
                  <w:r w:rsidRPr="00746B32">
                    <w:rPr>
                      <w:rFonts w:cs="Arial"/>
                      <w:b/>
                      <w:bCs/>
                      <w:color w:val="000000"/>
                      <w:sz w:val="20"/>
                      <w:lang w:val="ru-RU"/>
                    </w:rPr>
                    <w:t>46 508 031</w:t>
                  </w:r>
                </w:p>
              </w:tc>
              <w:tc>
                <w:tcPr>
                  <w:tcW w:w="1842" w:type="dxa"/>
                  <w:tcBorders>
                    <w:top w:val="nil"/>
                    <w:left w:val="nil"/>
                    <w:bottom w:val="double" w:sz="6" w:space="0" w:color="auto"/>
                    <w:right w:val="nil"/>
                  </w:tcBorders>
                  <w:shd w:val="clear" w:color="auto" w:fill="auto"/>
                  <w:vAlign w:val="bottom"/>
                  <w:hideMark/>
                </w:tcPr>
                <w:p w:rsidR="008E3EDA" w:rsidRPr="00746B32" w:rsidRDefault="003138D1" w:rsidP="00746B32">
                  <w:pPr>
                    <w:jc w:val="right"/>
                    <w:rPr>
                      <w:rFonts w:cs="Arial"/>
                      <w:b/>
                      <w:bCs/>
                      <w:color w:val="000000"/>
                      <w:sz w:val="20"/>
                      <w:lang w:val="ru-RU"/>
                    </w:rPr>
                  </w:pPr>
                  <w:r w:rsidRPr="00746B32">
                    <w:rPr>
                      <w:rFonts w:cs="Arial"/>
                      <w:b/>
                      <w:bCs/>
                      <w:color w:val="000000"/>
                      <w:sz w:val="20"/>
                      <w:lang w:val="ru-RU"/>
                    </w:rPr>
                    <w:t>42 822 944</w:t>
                  </w:r>
                </w:p>
              </w:tc>
            </w:tr>
          </w:tbl>
          <w:p w:rsidR="00E00640" w:rsidRPr="00746B32" w:rsidRDefault="00E00640" w:rsidP="00746B32">
            <w:pPr>
              <w:tabs>
                <w:tab w:val="left" w:pos="5387"/>
              </w:tabs>
              <w:rPr>
                <w:rFonts w:cs="Arial"/>
                <w:sz w:val="20"/>
                <w:lang w:val="ru-RU"/>
              </w:rPr>
            </w:pPr>
          </w:p>
          <w:p w:rsidR="00E00640" w:rsidRPr="00746B32" w:rsidRDefault="00E00640" w:rsidP="00746B32">
            <w:pPr>
              <w:tabs>
                <w:tab w:val="left" w:pos="5387"/>
              </w:tabs>
              <w:rPr>
                <w:rFonts w:cs="Arial"/>
                <w:sz w:val="20"/>
                <w:lang w:val="ru-RU"/>
              </w:rPr>
            </w:pPr>
          </w:p>
          <w:p w:rsidR="000C1725" w:rsidRPr="000C1725" w:rsidRDefault="000C1725" w:rsidP="000C1725">
            <w:pPr>
              <w:jc w:val="both"/>
              <w:rPr>
                <w:rFonts w:cs="Arial"/>
                <w:color w:val="000000"/>
                <w:sz w:val="20"/>
                <w:lang w:val="ru-RU"/>
              </w:rPr>
            </w:pPr>
            <w:r w:rsidRPr="000C1725">
              <w:rPr>
                <w:rFonts w:cs="Arial"/>
                <w:color w:val="000000"/>
                <w:sz w:val="20"/>
                <w:lang w:val="ru-RU"/>
              </w:rPr>
              <w:t>Данная финансовая отчетность подготовлена с учетом имеющихся в Банке «Таврический» (ОАО) документов и всех известных должностным лицам Банка «Таврический» (ОАО) фактов (обстоятельств) на дату подписания финансовой отчетности, в том числе с учетом Плана финансового оздоровления Санкт-Петербургского акционерного коммерческого банка «Таврический» (открытое акционерное общество).</w:t>
            </w:r>
          </w:p>
          <w:p w:rsidR="000C1725" w:rsidRPr="000C1725" w:rsidRDefault="000C1725" w:rsidP="000C1725">
            <w:pPr>
              <w:jc w:val="both"/>
              <w:rPr>
                <w:rFonts w:cs="Arial"/>
                <w:color w:val="000000"/>
                <w:sz w:val="20"/>
                <w:lang w:val="ru-RU"/>
              </w:rPr>
            </w:pPr>
          </w:p>
          <w:p w:rsidR="000C1725" w:rsidRPr="000C1725" w:rsidRDefault="000C1725" w:rsidP="000C1725">
            <w:pPr>
              <w:pStyle w:val="afe"/>
              <w:jc w:val="both"/>
              <w:rPr>
                <w:rFonts w:ascii="Arial" w:eastAsiaTheme="minorHAnsi" w:hAnsi="Arial" w:cs="Arial"/>
                <w:color w:val="000000"/>
                <w:sz w:val="20"/>
                <w:szCs w:val="20"/>
                <w:lang w:eastAsia="en-US"/>
              </w:rPr>
            </w:pPr>
            <w:r w:rsidRPr="000C1725">
              <w:rPr>
                <w:rFonts w:ascii="Arial" w:eastAsiaTheme="minorHAnsi" w:hAnsi="Arial" w:cs="Arial"/>
                <w:color w:val="000000"/>
                <w:sz w:val="20"/>
                <w:szCs w:val="20"/>
                <w:lang w:eastAsia="en-US"/>
              </w:rPr>
              <w:t>Должностным лицам Банка «Таврический» (ОАО) не известны иные действия лиц, осуществлявших руководство Банком ранее, которые могли бы привести к искажению бухгалтерской отчетности</w:t>
            </w:r>
            <w:r>
              <w:rPr>
                <w:rFonts w:ascii="Arial" w:eastAsiaTheme="minorHAnsi" w:hAnsi="Arial" w:cs="Arial"/>
                <w:color w:val="000000"/>
                <w:sz w:val="20"/>
                <w:szCs w:val="20"/>
                <w:lang w:eastAsia="en-US"/>
              </w:rPr>
              <w:t xml:space="preserve"> и</w:t>
            </w:r>
            <w:r w:rsidRPr="000C1725">
              <w:rPr>
                <w:rFonts w:ascii="Arial" w:eastAsiaTheme="minorHAnsi" w:hAnsi="Arial" w:cs="Arial"/>
                <w:color w:val="000000"/>
                <w:sz w:val="20"/>
                <w:szCs w:val="20"/>
                <w:lang w:eastAsia="en-US"/>
              </w:rPr>
              <w:t xml:space="preserve"> сведения о  которых не учтены при составлении </w:t>
            </w:r>
            <w:r>
              <w:rPr>
                <w:rFonts w:ascii="Arial" w:eastAsiaTheme="minorHAnsi" w:hAnsi="Arial" w:cs="Arial"/>
                <w:color w:val="000000"/>
                <w:sz w:val="20"/>
                <w:szCs w:val="20"/>
                <w:lang w:eastAsia="en-US"/>
              </w:rPr>
              <w:t xml:space="preserve">данной финансовой </w:t>
            </w:r>
            <w:r w:rsidRPr="000C1725">
              <w:rPr>
                <w:rFonts w:ascii="Arial" w:eastAsiaTheme="minorHAnsi" w:hAnsi="Arial" w:cs="Arial"/>
                <w:color w:val="000000"/>
                <w:sz w:val="20"/>
                <w:szCs w:val="20"/>
                <w:lang w:eastAsia="en-US"/>
              </w:rPr>
              <w:t xml:space="preserve">отчетности. </w:t>
            </w:r>
          </w:p>
          <w:p w:rsidR="000C1725" w:rsidRPr="000C1725" w:rsidRDefault="000C1725" w:rsidP="000C1725">
            <w:pPr>
              <w:pStyle w:val="afe"/>
              <w:jc w:val="both"/>
              <w:rPr>
                <w:rFonts w:ascii="Arial" w:eastAsiaTheme="minorHAnsi" w:hAnsi="Arial" w:cs="Arial"/>
                <w:color w:val="000000"/>
                <w:sz w:val="20"/>
                <w:szCs w:val="20"/>
                <w:lang w:eastAsia="en-US"/>
              </w:rPr>
            </w:pPr>
          </w:p>
          <w:p w:rsidR="000C1725" w:rsidRPr="000C1725" w:rsidRDefault="000C1725" w:rsidP="000C1725">
            <w:pPr>
              <w:pStyle w:val="afe"/>
              <w:jc w:val="both"/>
              <w:rPr>
                <w:rFonts w:ascii="Arial" w:hAnsi="Arial" w:cs="Arial"/>
                <w:color w:val="000000"/>
                <w:sz w:val="18"/>
                <w:szCs w:val="18"/>
              </w:rPr>
            </w:pPr>
            <w:r w:rsidRPr="000C1725">
              <w:rPr>
                <w:rFonts w:ascii="Arial" w:hAnsi="Arial" w:cs="Arial"/>
                <w:color w:val="000000"/>
                <w:sz w:val="20"/>
                <w:szCs w:val="20"/>
              </w:rPr>
              <w:t>Председатель Правления Банка «Таврический» (ОАО) Филипьев А.Н. приступил к исполнению должностных обязанностей 30 июня 2015 года.</w:t>
            </w:r>
          </w:p>
          <w:p w:rsidR="00E00640" w:rsidRPr="000C1725" w:rsidRDefault="00E00640" w:rsidP="00746B32">
            <w:pPr>
              <w:tabs>
                <w:tab w:val="left" w:pos="5387"/>
              </w:tabs>
              <w:rPr>
                <w:rFonts w:cs="Arial"/>
                <w:sz w:val="20"/>
                <w:lang w:val="ru-RU"/>
              </w:rPr>
            </w:pPr>
          </w:p>
          <w:p w:rsidR="000C1725" w:rsidRPr="000C1725" w:rsidRDefault="000C1725" w:rsidP="000C1725">
            <w:pPr>
              <w:tabs>
                <w:tab w:val="left" w:pos="5387"/>
              </w:tabs>
              <w:spacing w:line="228" w:lineRule="auto"/>
              <w:rPr>
                <w:rFonts w:cs="Arial"/>
                <w:color w:val="000000"/>
                <w:sz w:val="20"/>
                <w:lang w:val="ru-RU"/>
              </w:rPr>
            </w:pPr>
          </w:p>
          <w:p w:rsidR="000C1725" w:rsidRPr="000C1725" w:rsidRDefault="000C1725" w:rsidP="000C1725">
            <w:pPr>
              <w:tabs>
                <w:tab w:val="left" w:pos="5387"/>
              </w:tabs>
              <w:spacing w:line="228" w:lineRule="auto"/>
              <w:rPr>
                <w:rFonts w:cs="Arial"/>
                <w:sz w:val="20"/>
                <w:lang w:val="ru-RU"/>
              </w:rPr>
            </w:pPr>
            <w:r w:rsidRPr="000C1725">
              <w:rPr>
                <w:rFonts w:cs="Arial"/>
                <w:color w:val="000000"/>
                <w:sz w:val="20"/>
                <w:lang w:val="ru-RU"/>
              </w:rPr>
              <w:t>Подписано и разрешено к выпуску от имени Правления Банка.</w:t>
            </w:r>
          </w:p>
          <w:p w:rsidR="00E00640" w:rsidRDefault="00E00640" w:rsidP="00746B32">
            <w:pPr>
              <w:tabs>
                <w:tab w:val="left" w:pos="5387"/>
              </w:tabs>
              <w:rPr>
                <w:rFonts w:cs="Arial"/>
                <w:sz w:val="20"/>
                <w:lang w:val="ru-RU"/>
              </w:rPr>
            </w:pPr>
          </w:p>
          <w:p w:rsidR="000C1725" w:rsidRDefault="000C1725" w:rsidP="00746B32">
            <w:pPr>
              <w:tabs>
                <w:tab w:val="left" w:pos="5387"/>
              </w:tabs>
              <w:rPr>
                <w:rFonts w:cs="Arial"/>
                <w:sz w:val="20"/>
                <w:lang w:val="ru-RU"/>
              </w:rPr>
            </w:pPr>
          </w:p>
          <w:p w:rsidR="000C1725" w:rsidRPr="00746B32" w:rsidRDefault="000C1725" w:rsidP="00746B32">
            <w:pPr>
              <w:tabs>
                <w:tab w:val="left" w:pos="5387"/>
              </w:tabs>
              <w:rPr>
                <w:rFonts w:cs="Arial"/>
                <w:sz w:val="20"/>
                <w:lang w:val="ru-RU"/>
              </w:rPr>
            </w:pPr>
          </w:p>
          <w:p w:rsidR="000D0062" w:rsidRPr="00746B32" w:rsidRDefault="000D0062" w:rsidP="00746B32">
            <w:pPr>
              <w:tabs>
                <w:tab w:val="left" w:pos="5387"/>
              </w:tabs>
              <w:rPr>
                <w:rFonts w:cs="Arial"/>
                <w:sz w:val="20"/>
                <w:lang w:val="ru-RU"/>
              </w:rPr>
            </w:pPr>
            <w:r w:rsidRPr="00746B32">
              <w:rPr>
                <w:rFonts w:cs="Arial"/>
                <w:sz w:val="20"/>
                <w:lang w:val="ru-RU"/>
              </w:rPr>
              <w:t>______________</w:t>
            </w:r>
            <w:r w:rsidR="00F437B1" w:rsidRPr="00746B32">
              <w:rPr>
                <w:rFonts w:cs="Arial"/>
                <w:sz w:val="20"/>
                <w:lang w:val="ru-RU"/>
              </w:rPr>
              <w:t>___________</w:t>
            </w:r>
            <w:r w:rsidRPr="00746B32">
              <w:rPr>
                <w:rFonts w:cs="Arial"/>
                <w:sz w:val="20"/>
                <w:lang w:val="ru-RU"/>
              </w:rPr>
              <w:t>______</w:t>
            </w:r>
            <w:r w:rsidRPr="00746B32">
              <w:rPr>
                <w:rFonts w:cs="Arial"/>
                <w:sz w:val="20"/>
                <w:lang w:val="ru-RU"/>
              </w:rPr>
              <w:tab/>
              <w:t>________________________________</w:t>
            </w:r>
          </w:p>
          <w:p w:rsidR="000D0062" w:rsidRPr="00746B32" w:rsidRDefault="000D0062" w:rsidP="00746B32">
            <w:pPr>
              <w:tabs>
                <w:tab w:val="left" w:pos="5387"/>
              </w:tabs>
              <w:rPr>
                <w:rFonts w:cs="Arial"/>
                <w:sz w:val="20"/>
                <w:lang w:val="ru-RU"/>
              </w:rPr>
            </w:pPr>
            <w:r w:rsidRPr="00746B32">
              <w:rPr>
                <w:rFonts w:cs="Arial"/>
                <w:sz w:val="20"/>
                <w:lang w:val="ru-RU"/>
              </w:rPr>
              <w:t>Филипьев Александр Николаевич</w:t>
            </w:r>
            <w:r w:rsidRPr="00746B32">
              <w:rPr>
                <w:rFonts w:cs="Arial"/>
                <w:sz w:val="20"/>
                <w:lang w:val="ru-RU"/>
              </w:rPr>
              <w:tab/>
              <w:t>Ижмяков Николай Валентинович</w:t>
            </w:r>
          </w:p>
          <w:p w:rsidR="000D0062" w:rsidRPr="00746B32" w:rsidRDefault="000D0062" w:rsidP="00746B32">
            <w:pPr>
              <w:tabs>
                <w:tab w:val="left" w:pos="5387"/>
              </w:tabs>
              <w:ind w:left="5387" w:hanging="5387"/>
              <w:rPr>
                <w:rFonts w:cs="Arial"/>
                <w:sz w:val="20"/>
                <w:lang w:val="ru-RU"/>
              </w:rPr>
            </w:pPr>
            <w:r w:rsidRPr="00746B32">
              <w:rPr>
                <w:rFonts w:cs="Arial"/>
                <w:sz w:val="20"/>
                <w:lang w:val="ru-RU"/>
              </w:rPr>
              <w:t>Председатель Правления</w:t>
            </w:r>
            <w:r w:rsidRPr="00746B32">
              <w:rPr>
                <w:rFonts w:cs="Arial"/>
                <w:sz w:val="20"/>
                <w:lang w:val="ru-RU"/>
              </w:rPr>
              <w:tab/>
              <w:t>Главный бухгалтер</w:t>
            </w:r>
          </w:p>
          <w:p w:rsidR="000D0062" w:rsidRPr="00746B32" w:rsidRDefault="000D0062" w:rsidP="00746B32">
            <w:pPr>
              <w:tabs>
                <w:tab w:val="left" w:pos="5387"/>
              </w:tabs>
              <w:ind w:left="5387" w:hanging="5387"/>
              <w:rPr>
                <w:rFonts w:cs="Arial"/>
                <w:i/>
                <w:smallCaps/>
                <w:sz w:val="20"/>
                <w:lang w:val="ru-RU"/>
              </w:rPr>
            </w:pPr>
          </w:p>
          <w:p w:rsidR="00F23BFF" w:rsidRPr="00746B32" w:rsidRDefault="00F23BFF" w:rsidP="00746B32">
            <w:pPr>
              <w:pStyle w:val="Tabletext"/>
              <w:rPr>
                <w:rFonts w:cs="Arial"/>
                <w:sz w:val="20"/>
                <w:lang w:val="ru-RU"/>
              </w:rPr>
            </w:pPr>
          </w:p>
          <w:p w:rsidR="000D0062" w:rsidRPr="00746B32" w:rsidRDefault="000D0062" w:rsidP="00746B32">
            <w:pPr>
              <w:pStyle w:val="Tabletext"/>
              <w:rPr>
                <w:rFonts w:cs="Arial"/>
                <w:sz w:val="20"/>
                <w:lang w:val="ru-RU"/>
              </w:rPr>
            </w:pPr>
            <w:r w:rsidRPr="00746B32">
              <w:rPr>
                <w:rFonts w:cs="Arial"/>
                <w:sz w:val="20"/>
                <w:lang w:val="ru-RU"/>
              </w:rPr>
              <w:t>20 января 2016 года</w:t>
            </w:r>
          </w:p>
          <w:p w:rsidR="000D0062" w:rsidRPr="00746B32" w:rsidRDefault="000D0062" w:rsidP="00746B32">
            <w:pPr>
              <w:autoSpaceDE w:val="0"/>
              <w:autoSpaceDN w:val="0"/>
              <w:adjustRightInd w:val="0"/>
              <w:rPr>
                <w:rFonts w:cs="Arial"/>
                <w:b/>
                <w:bCs/>
                <w:i/>
                <w:iCs/>
                <w:color w:val="000000"/>
                <w:sz w:val="20"/>
                <w:lang w:val="ru-RU"/>
              </w:rPr>
            </w:pPr>
          </w:p>
        </w:tc>
        <w:tc>
          <w:tcPr>
            <w:tcW w:w="80" w:type="dxa"/>
            <w:shd w:val="solid" w:color="FFFFFF" w:fill="auto"/>
          </w:tcPr>
          <w:p w:rsidR="001F426D" w:rsidRPr="00746B32" w:rsidRDefault="001F426D" w:rsidP="00746B32">
            <w:pPr>
              <w:autoSpaceDE w:val="0"/>
              <w:autoSpaceDN w:val="0"/>
              <w:adjustRightInd w:val="0"/>
              <w:rPr>
                <w:rFonts w:cs="Arial"/>
                <w:b/>
                <w:bCs/>
                <w:i/>
                <w:iCs/>
                <w:color w:val="000000"/>
                <w:sz w:val="20"/>
                <w:lang w:val="ru-RU"/>
              </w:rPr>
            </w:pPr>
          </w:p>
        </w:tc>
        <w:tc>
          <w:tcPr>
            <w:tcW w:w="66" w:type="dxa"/>
            <w:shd w:val="solid" w:color="FFFFFF" w:fill="auto"/>
          </w:tcPr>
          <w:p w:rsidR="001F426D" w:rsidRPr="00746B32" w:rsidRDefault="001F426D" w:rsidP="00746B32">
            <w:pPr>
              <w:autoSpaceDE w:val="0"/>
              <w:autoSpaceDN w:val="0"/>
              <w:adjustRightInd w:val="0"/>
              <w:jc w:val="right"/>
              <w:rPr>
                <w:rFonts w:cs="Arial"/>
                <w:color w:val="000000"/>
                <w:sz w:val="20"/>
                <w:lang w:val="ru-RU"/>
              </w:rPr>
            </w:pPr>
          </w:p>
        </w:tc>
      </w:tr>
    </w:tbl>
    <w:p w:rsidR="00FB05B8" w:rsidRPr="00746B32" w:rsidRDefault="00FB05B8" w:rsidP="00746B32">
      <w:pPr>
        <w:pStyle w:val="Tabletext"/>
        <w:rPr>
          <w:rFonts w:cs="Arial"/>
          <w:sz w:val="20"/>
          <w:lang w:val="ru-RU"/>
        </w:rPr>
        <w:sectPr w:rsidR="00FB05B8" w:rsidRPr="00746B32" w:rsidSect="00C23001">
          <w:headerReference w:type="default" r:id="rId17"/>
          <w:footerReference w:type="default" r:id="rId18"/>
          <w:pgSz w:w="11907" w:h="16840" w:code="9"/>
          <w:pgMar w:top="1446" w:right="851" w:bottom="255" w:left="1701" w:header="709" w:footer="709" w:gutter="0"/>
          <w:paperSrc w:other="15"/>
          <w:pgNumType w:start="9"/>
          <w:cols w:space="720"/>
          <w:noEndnote/>
        </w:sectPr>
      </w:pPr>
    </w:p>
    <w:p w:rsidR="003138D1" w:rsidRPr="00746B32" w:rsidRDefault="003138D1" w:rsidP="00746B32">
      <w:pPr>
        <w:rPr>
          <w:rFonts w:cs="Arial"/>
          <w:b/>
          <w:bCs/>
          <w:i/>
          <w:iCs/>
          <w:color w:val="000000"/>
          <w:sz w:val="20"/>
          <w:lang w:val="ru-RU"/>
        </w:rPr>
      </w:pPr>
    </w:p>
    <w:tbl>
      <w:tblPr>
        <w:tblW w:w="5000" w:type="pct"/>
        <w:tblLook w:val="04A0"/>
      </w:tblPr>
      <w:tblGrid>
        <w:gridCol w:w="4483"/>
        <w:gridCol w:w="938"/>
        <w:gridCol w:w="2121"/>
        <w:gridCol w:w="2029"/>
      </w:tblGrid>
      <w:tr w:rsidR="003138D1" w:rsidRPr="00746B32" w:rsidTr="003138D1">
        <w:trPr>
          <w:trHeight w:val="3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p>
        </w:tc>
        <w:tc>
          <w:tcPr>
            <w:tcW w:w="490" w:type="pct"/>
            <w:tcBorders>
              <w:top w:val="nil"/>
              <w:left w:val="nil"/>
              <w:bottom w:val="single" w:sz="4" w:space="0" w:color="auto"/>
              <w:right w:val="nil"/>
            </w:tcBorders>
            <w:shd w:val="clear" w:color="auto" w:fill="auto"/>
            <w:noWrap/>
            <w:vAlign w:val="center"/>
            <w:hideMark/>
          </w:tcPr>
          <w:p w:rsidR="003138D1" w:rsidRPr="00746B32" w:rsidRDefault="00333562" w:rsidP="00746B32">
            <w:pPr>
              <w:jc w:val="center"/>
              <w:rPr>
                <w:rFonts w:cs="Arial"/>
                <w:b/>
                <w:bCs/>
                <w:color w:val="000000"/>
                <w:sz w:val="20"/>
                <w:lang w:val="ru-RU"/>
              </w:rPr>
            </w:pPr>
            <w:r w:rsidRPr="00746B32">
              <w:rPr>
                <w:rFonts w:cs="Arial"/>
                <w:b/>
                <w:bCs/>
                <w:color w:val="000000"/>
                <w:sz w:val="20"/>
                <w:lang w:val="ru-RU"/>
              </w:rPr>
              <w:t>Прим.</w:t>
            </w:r>
          </w:p>
        </w:tc>
        <w:tc>
          <w:tcPr>
            <w:tcW w:w="1108"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 xml:space="preserve">2014 </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 xml:space="preserve">2013 </w:t>
            </w:r>
          </w:p>
        </w:tc>
      </w:tr>
      <w:tr w:rsidR="003138D1" w:rsidRPr="00746B32" w:rsidTr="003138D1">
        <w:trPr>
          <w:trHeight w:val="25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Процентный доход</w:t>
            </w:r>
          </w:p>
        </w:tc>
        <w:tc>
          <w:tcPr>
            <w:tcW w:w="490" w:type="pct"/>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noWrap/>
            <w:vAlign w:val="bottom"/>
            <w:hideMark/>
          </w:tcPr>
          <w:p w:rsidR="003138D1" w:rsidRPr="00746B32" w:rsidRDefault="00333562" w:rsidP="00746B32">
            <w:pPr>
              <w:jc w:val="right"/>
              <w:rPr>
                <w:rFonts w:cs="Arial"/>
                <w:sz w:val="20"/>
                <w:lang w:val="ru-RU"/>
              </w:rPr>
            </w:pPr>
            <w:r w:rsidRPr="00746B32">
              <w:rPr>
                <w:rFonts w:cs="Arial"/>
                <w:sz w:val="20"/>
                <w:lang w:val="ru-RU"/>
              </w:rPr>
              <w:t>4 811 906</w:t>
            </w:r>
          </w:p>
        </w:tc>
        <w:tc>
          <w:tcPr>
            <w:tcW w:w="1060" w:type="pct"/>
            <w:tcBorders>
              <w:top w:val="nil"/>
              <w:left w:val="nil"/>
              <w:bottom w:val="nil"/>
              <w:right w:val="nil"/>
            </w:tcBorders>
            <w:shd w:val="clear" w:color="auto" w:fill="auto"/>
            <w:noWrap/>
            <w:vAlign w:val="bottom"/>
            <w:hideMark/>
          </w:tcPr>
          <w:p w:rsidR="003138D1" w:rsidRPr="00746B32" w:rsidRDefault="00333562" w:rsidP="00746B32">
            <w:pPr>
              <w:jc w:val="right"/>
              <w:rPr>
                <w:rFonts w:cs="Arial"/>
                <w:sz w:val="20"/>
                <w:lang w:val="ru-RU"/>
              </w:rPr>
            </w:pPr>
            <w:r w:rsidRPr="00746B32">
              <w:rPr>
                <w:rFonts w:cs="Arial"/>
                <w:sz w:val="20"/>
                <w:lang w:val="ru-RU"/>
              </w:rPr>
              <w:t>4 605 652</w:t>
            </w:r>
          </w:p>
        </w:tc>
      </w:tr>
      <w:tr w:rsidR="003138D1" w:rsidRPr="00746B32" w:rsidTr="003138D1">
        <w:trPr>
          <w:trHeight w:val="25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Процентный расход</w:t>
            </w:r>
          </w:p>
        </w:tc>
        <w:tc>
          <w:tcPr>
            <w:tcW w:w="490" w:type="pct"/>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(3 460 777)</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(3 156 904)</w:t>
            </w:r>
          </w:p>
        </w:tc>
      </w:tr>
      <w:tr w:rsidR="003138D1" w:rsidRPr="00746B32" w:rsidTr="00782D10">
        <w:trPr>
          <w:trHeight w:val="6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Чистый процентный доход</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b/>
                <w:bCs/>
                <w:color w:val="000000"/>
                <w:sz w:val="20"/>
                <w:lang w:val="ru-RU"/>
              </w:rPr>
            </w:pPr>
            <w:r w:rsidRPr="00746B32">
              <w:rPr>
                <w:rFonts w:cs="Arial"/>
                <w:b/>
                <w:bCs/>
                <w:color w:val="000000"/>
                <w:sz w:val="20"/>
                <w:lang w:val="ru-RU"/>
              </w:rPr>
              <w:t>22</w:t>
            </w:r>
          </w:p>
        </w:tc>
        <w:tc>
          <w:tcPr>
            <w:tcW w:w="1108" w:type="pct"/>
            <w:tcBorders>
              <w:top w:val="single" w:sz="4" w:space="0" w:color="auto"/>
              <w:left w:val="nil"/>
              <w:bottom w:val="nil"/>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1 351 129</w:t>
            </w:r>
          </w:p>
        </w:tc>
        <w:tc>
          <w:tcPr>
            <w:tcW w:w="1060" w:type="pct"/>
            <w:tcBorders>
              <w:top w:val="single" w:sz="4" w:space="0" w:color="auto"/>
              <w:left w:val="nil"/>
              <w:bottom w:val="nil"/>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1 448 748</w:t>
            </w:r>
          </w:p>
        </w:tc>
      </w:tr>
      <w:tr w:rsidR="003138D1" w:rsidRPr="00746B32" w:rsidTr="00BA7360">
        <w:trPr>
          <w:trHeight w:val="765"/>
        </w:trPr>
        <w:tc>
          <w:tcPr>
            <w:tcW w:w="2342" w:type="pct"/>
            <w:tcBorders>
              <w:top w:val="nil"/>
              <w:left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 xml:space="preserve">Начисление резерва под обесценение кредитов </w:t>
            </w:r>
            <w:r w:rsidR="00AD0F6E" w:rsidRPr="00746B32">
              <w:rPr>
                <w:rFonts w:cs="Arial"/>
                <w:sz w:val="20"/>
                <w:lang w:val="ru-RU"/>
              </w:rPr>
              <w:t>клиентам</w:t>
            </w:r>
          </w:p>
        </w:tc>
        <w:tc>
          <w:tcPr>
            <w:tcW w:w="490" w:type="pct"/>
            <w:tcBorders>
              <w:top w:val="nil"/>
              <w:left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8</w:t>
            </w:r>
          </w:p>
        </w:tc>
        <w:tc>
          <w:tcPr>
            <w:tcW w:w="1108" w:type="pct"/>
            <w:tcBorders>
              <w:top w:val="nil"/>
              <w:left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(32 349 683)</w:t>
            </w:r>
          </w:p>
        </w:tc>
        <w:tc>
          <w:tcPr>
            <w:tcW w:w="1060" w:type="pct"/>
            <w:tcBorders>
              <w:top w:val="nil"/>
              <w:left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(925 457)</w:t>
            </w:r>
          </w:p>
        </w:tc>
      </w:tr>
      <w:tr w:rsidR="003138D1" w:rsidRPr="00746B32" w:rsidTr="00BA7360">
        <w:trPr>
          <w:trHeight w:val="1500"/>
        </w:trPr>
        <w:tc>
          <w:tcPr>
            <w:tcW w:w="2342" w:type="pct"/>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Чисты</w:t>
            </w:r>
            <w:r w:rsidR="00782D10" w:rsidRPr="00746B32">
              <w:rPr>
                <w:rFonts w:cs="Arial"/>
                <w:b/>
                <w:bCs/>
                <w:color w:val="000000"/>
                <w:sz w:val="20"/>
                <w:lang w:val="ru-RU"/>
              </w:rPr>
              <w:t>й</w:t>
            </w:r>
            <w:r w:rsidRPr="00746B32">
              <w:rPr>
                <w:rFonts w:cs="Arial"/>
                <w:b/>
                <w:bCs/>
                <w:color w:val="000000"/>
                <w:sz w:val="20"/>
                <w:lang w:val="ru-RU"/>
              </w:rPr>
              <w:t xml:space="preserve"> процентный доход за вычетом резерва под возможные потери по кредитам выданным</w:t>
            </w:r>
          </w:p>
        </w:tc>
        <w:tc>
          <w:tcPr>
            <w:tcW w:w="490" w:type="pct"/>
            <w:shd w:val="clear" w:color="auto" w:fill="auto"/>
            <w:noWrap/>
            <w:vAlign w:val="center"/>
            <w:hideMark/>
          </w:tcPr>
          <w:p w:rsidR="003138D1" w:rsidRPr="00746B32" w:rsidRDefault="003138D1" w:rsidP="00746B32">
            <w:pPr>
              <w:jc w:val="center"/>
              <w:rPr>
                <w:rFonts w:cs="Arial"/>
                <w:sz w:val="20"/>
                <w:lang w:val="ru-RU"/>
              </w:rPr>
            </w:pPr>
          </w:p>
        </w:tc>
        <w:tc>
          <w:tcPr>
            <w:tcW w:w="1108" w:type="pct"/>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(30 998 554)</w:t>
            </w:r>
          </w:p>
        </w:tc>
        <w:tc>
          <w:tcPr>
            <w:tcW w:w="1060" w:type="pct"/>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523 291</w:t>
            </w:r>
          </w:p>
        </w:tc>
      </w:tr>
      <w:tr w:rsidR="003138D1" w:rsidRPr="00746B32" w:rsidTr="00BA7360">
        <w:trPr>
          <w:trHeight w:val="765"/>
        </w:trPr>
        <w:tc>
          <w:tcPr>
            <w:tcW w:w="2342" w:type="pct"/>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доходы по операциям с ценными бумагами</w:t>
            </w:r>
          </w:p>
        </w:tc>
        <w:tc>
          <w:tcPr>
            <w:tcW w:w="490" w:type="pct"/>
            <w:shd w:val="clear" w:color="auto" w:fill="auto"/>
            <w:noWrap/>
            <w:vAlign w:val="center"/>
            <w:hideMark/>
          </w:tcPr>
          <w:p w:rsidR="003138D1" w:rsidRPr="00746B32" w:rsidRDefault="003138D1" w:rsidP="00746B32">
            <w:pPr>
              <w:jc w:val="center"/>
              <w:rPr>
                <w:rFonts w:cs="Arial"/>
                <w:sz w:val="20"/>
                <w:lang w:val="ru-RU"/>
              </w:rPr>
            </w:pPr>
          </w:p>
        </w:tc>
        <w:tc>
          <w:tcPr>
            <w:tcW w:w="1108" w:type="pct"/>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133 229</w:t>
            </w:r>
          </w:p>
        </w:tc>
        <w:tc>
          <w:tcPr>
            <w:tcW w:w="1060" w:type="pct"/>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4 588</w:t>
            </w:r>
          </w:p>
        </w:tc>
      </w:tr>
      <w:tr w:rsidR="003138D1" w:rsidRPr="00746B32" w:rsidTr="00BA7360">
        <w:trPr>
          <w:trHeight w:val="765"/>
        </w:trPr>
        <w:tc>
          <w:tcPr>
            <w:tcW w:w="2342" w:type="pct"/>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доходы от валютно-обменных операций</w:t>
            </w:r>
          </w:p>
        </w:tc>
        <w:tc>
          <w:tcPr>
            <w:tcW w:w="490" w:type="pct"/>
            <w:shd w:val="clear" w:color="auto" w:fill="auto"/>
            <w:noWrap/>
            <w:vAlign w:val="center"/>
            <w:hideMark/>
          </w:tcPr>
          <w:p w:rsidR="003138D1" w:rsidRPr="00746B32" w:rsidRDefault="003138D1" w:rsidP="00746B32">
            <w:pPr>
              <w:jc w:val="center"/>
              <w:rPr>
                <w:rFonts w:cs="Arial"/>
                <w:sz w:val="20"/>
                <w:lang w:val="ru-RU"/>
              </w:rPr>
            </w:pPr>
          </w:p>
        </w:tc>
        <w:tc>
          <w:tcPr>
            <w:tcW w:w="1108" w:type="pct"/>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54 666</w:t>
            </w:r>
          </w:p>
        </w:tc>
        <w:tc>
          <w:tcPr>
            <w:tcW w:w="1060" w:type="pct"/>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32 754</w:t>
            </w:r>
          </w:p>
        </w:tc>
      </w:tr>
      <w:tr w:rsidR="003138D1" w:rsidRPr="00746B32" w:rsidTr="00BA7360">
        <w:trPr>
          <w:trHeight w:val="765"/>
        </w:trPr>
        <w:tc>
          <w:tcPr>
            <w:tcW w:w="2342" w:type="pct"/>
            <w:tcBorders>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убытки от переоценки иностранной валюты</w:t>
            </w:r>
          </w:p>
        </w:tc>
        <w:tc>
          <w:tcPr>
            <w:tcW w:w="490" w:type="pct"/>
            <w:tcBorders>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108" w:type="pct"/>
            <w:tcBorders>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63 974</w:t>
            </w:r>
          </w:p>
        </w:tc>
        <w:tc>
          <w:tcPr>
            <w:tcW w:w="1060" w:type="pct"/>
            <w:tcBorders>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(3 006)</w:t>
            </w:r>
          </w:p>
        </w:tc>
      </w:tr>
      <w:tr w:rsidR="003138D1" w:rsidRPr="00746B32" w:rsidTr="00782D10">
        <w:trPr>
          <w:trHeight w:val="51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комиссионные доходы</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24</w:t>
            </w: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373 941</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331 004</w:t>
            </w:r>
          </w:p>
        </w:tc>
      </w:tr>
      <w:tr w:rsidR="003138D1" w:rsidRPr="00746B32" w:rsidTr="00782D10">
        <w:trPr>
          <w:trHeight w:val="127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Начисление резерва под обесценение некотируемых ценных бумаг, имеющих в наличии для продажи</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9</w:t>
            </w: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(4 494)</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(2 792)</w:t>
            </w:r>
          </w:p>
        </w:tc>
      </w:tr>
      <w:tr w:rsidR="003138D1" w:rsidRPr="00746B32" w:rsidTr="00782D10">
        <w:trPr>
          <w:trHeight w:val="765"/>
        </w:trPr>
        <w:tc>
          <w:tcPr>
            <w:tcW w:w="2342" w:type="pct"/>
            <w:tcBorders>
              <w:top w:val="nil"/>
              <w:left w:val="nil"/>
              <w:bottom w:val="nil"/>
              <w:right w:val="nil"/>
            </w:tcBorders>
            <w:shd w:val="clear" w:color="auto" w:fill="auto"/>
            <w:vAlign w:val="bottom"/>
            <w:hideMark/>
          </w:tcPr>
          <w:p w:rsidR="003138D1" w:rsidRPr="00746B32" w:rsidRDefault="00BA7360" w:rsidP="00746B32">
            <w:pPr>
              <w:rPr>
                <w:rFonts w:cs="Arial"/>
                <w:sz w:val="20"/>
                <w:lang w:val="ru-RU"/>
              </w:rPr>
            </w:pPr>
            <w:r w:rsidRPr="00746B32">
              <w:rPr>
                <w:rFonts w:cs="Arial"/>
                <w:sz w:val="20"/>
                <w:lang w:val="ru-RU"/>
              </w:rPr>
              <w:t>Н</w:t>
            </w:r>
            <w:r w:rsidR="003138D1" w:rsidRPr="00746B32">
              <w:rPr>
                <w:rFonts w:cs="Arial"/>
                <w:sz w:val="20"/>
                <w:lang w:val="ru-RU"/>
              </w:rPr>
              <w:t>ачисление резерва под обесцен</w:t>
            </w:r>
            <w:r w:rsidR="00AD0F6E" w:rsidRPr="00746B32">
              <w:rPr>
                <w:rFonts w:cs="Arial"/>
                <w:sz w:val="20"/>
                <w:lang w:val="ru-RU"/>
              </w:rPr>
              <w:t>ен</w:t>
            </w:r>
            <w:r w:rsidR="003138D1" w:rsidRPr="00746B32">
              <w:rPr>
                <w:rFonts w:cs="Arial"/>
                <w:sz w:val="20"/>
                <w:lang w:val="ru-RU"/>
              </w:rPr>
              <w:t>ие прочих активов</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10</w:t>
            </w: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 xml:space="preserve">(57 </w:t>
            </w:r>
            <w:r w:rsidR="000F4F94" w:rsidRPr="00746B32">
              <w:rPr>
                <w:rFonts w:cs="Arial"/>
                <w:sz w:val="20"/>
                <w:lang w:val="ru-RU"/>
              </w:rPr>
              <w:t>772</w:t>
            </w:r>
            <w:r w:rsidRPr="00746B32">
              <w:rPr>
                <w:rFonts w:cs="Arial"/>
                <w:sz w:val="20"/>
                <w:lang w:val="ru-RU"/>
              </w:rPr>
              <w:t>)</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2 057</w:t>
            </w:r>
          </w:p>
        </w:tc>
      </w:tr>
      <w:tr w:rsidR="003138D1" w:rsidRPr="00746B32" w:rsidTr="00782D10">
        <w:trPr>
          <w:trHeight w:val="76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доходы от выбытия основных средств</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607</w:t>
            </w:r>
          </w:p>
        </w:tc>
      </w:tr>
      <w:tr w:rsidR="003138D1" w:rsidRPr="00746B32" w:rsidTr="00782D10">
        <w:trPr>
          <w:trHeight w:val="51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 xml:space="preserve">Убытки от операций по уступке прав требования </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27</w:t>
            </w: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(102 866)</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(80 863)</w:t>
            </w:r>
          </w:p>
        </w:tc>
      </w:tr>
      <w:tr w:rsidR="003138D1" w:rsidRPr="00746B32" w:rsidTr="00782D10">
        <w:trPr>
          <w:trHeight w:val="51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Прочие операционные доходы</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25</w:t>
            </w:r>
          </w:p>
        </w:tc>
        <w:tc>
          <w:tcPr>
            <w:tcW w:w="1108"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150 037</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52 528</w:t>
            </w:r>
          </w:p>
        </w:tc>
      </w:tr>
      <w:tr w:rsidR="003138D1" w:rsidRPr="00746B32" w:rsidTr="00782D10">
        <w:trPr>
          <w:trHeight w:val="6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Чистая операционная прибыль</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b/>
                <w:bCs/>
                <w:color w:val="000000"/>
                <w:sz w:val="20"/>
                <w:lang w:val="ru-RU"/>
              </w:rPr>
            </w:pP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 xml:space="preserve">(30 387 </w:t>
            </w:r>
            <w:r w:rsidR="00315DC3" w:rsidRPr="00746B32">
              <w:rPr>
                <w:rFonts w:cs="Arial"/>
                <w:b/>
                <w:bCs/>
                <w:color w:val="000000"/>
                <w:sz w:val="20"/>
                <w:lang w:val="ru-RU"/>
              </w:rPr>
              <w:t>839</w:t>
            </w:r>
            <w:r w:rsidRPr="00746B32">
              <w:rPr>
                <w:rFonts w:cs="Arial"/>
                <w:b/>
                <w:bCs/>
                <w:color w:val="000000"/>
                <w:sz w:val="20"/>
                <w:lang w:val="ru-RU"/>
              </w:rPr>
              <w:t>)</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860 168</w:t>
            </w:r>
          </w:p>
        </w:tc>
      </w:tr>
      <w:tr w:rsidR="003138D1" w:rsidRPr="00746B32" w:rsidTr="00782D10">
        <w:trPr>
          <w:trHeight w:val="25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Операционные расходы</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26</w:t>
            </w: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 xml:space="preserve">(857 </w:t>
            </w:r>
            <w:r w:rsidR="00315DC3" w:rsidRPr="00746B32">
              <w:rPr>
                <w:rFonts w:cs="Arial"/>
                <w:sz w:val="20"/>
                <w:lang w:val="ru-RU"/>
              </w:rPr>
              <w:t>02</w:t>
            </w:r>
            <w:r w:rsidR="00A412B4" w:rsidRPr="00746B32">
              <w:rPr>
                <w:rFonts w:cs="Arial"/>
                <w:sz w:val="20"/>
                <w:lang w:val="ru-RU"/>
              </w:rPr>
              <w:t>6</w:t>
            </w:r>
            <w:r w:rsidRPr="00746B32">
              <w:rPr>
                <w:rFonts w:cs="Arial"/>
                <w:sz w:val="20"/>
                <w:lang w:val="ru-RU"/>
              </w:rPr>
              <w:t>)</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(879 302)</w:t>
            </w:r>
          </w:p>
        </w:tc>
      </w:tr>
      <w:tr w:rsidR="003138D1" w:rsidRPr="00746B32" w:rsidTr="00782D10">
        <w:trPr>
          <w:trHeight w:val="51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Упущенная выгода по кредитам</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23</w:t>
            </w:r>
          </w:p>
        </w:tc>
        <w:tc>
          <w:tcPr>
            <w:tcW w:w="1108"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110 269</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(63 132)</w:t>
            </w:r>
          </w:p>
        </w:tc>
      </w:tr>
      <w:tr w:rsidR="003138D1" w:rsidRPr="00746B32" w:rsidTr="00782D10">
        <w:trPr>
          <w:trHeight w:val="6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Убыток до налогообложения</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(31 134 59</w:t>
            </w:r>
            <w:r w:rsidR="00A412B4" w:rsidRPr="00746B32">
              <w:rPr>
                <w:rFonts w:cs="Arial"/>
                <w:b/>
                <w:bCs/>
                <w:color w:val="000000"/>
                <w:sz w:val="20"/>
                <w:lang w:val="ru-RU"/>
              </w:rPr>
              <w:t>6</w:t>
            </w:r>
            <w:r w:rsidRPr="00746B32">
              <w:rPr>
                <w:rFonts w:cs="Arial"/>
                <w:b/>
                <w:bCs/>
                <w:color w:val="000000"/>
                <w:sz w:val="20"/>
                <w:lang w:val="ru-RU"/>
              </w:rPr>
              <w:t>)</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(82 266)</w:t>
            </w:r>
          </w:p>
        </w:tc>
      </w:tr>
      <w:tr w:rsidR="003138D1" w:rsidRPr="00746B32" w:rsidTr="00782D10">
        <w:trPr>
          <w:trHeight w:val="25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Налогообложение</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28</w:t>
            </w:r>
          </w:p>
        </w:tc>
        <w:tc>
          <w:tcPr>
            <w:tcW w:w="1108"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(229 981)</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(64 979)</w:t>
            </w:r>
          </w:p>
        </w:tc>
      </w:tr>
      <w:tr w:rsidR="003138D1" w:rsidRPr="00746B32" w:rsidTr="00782D10">
        <w:trPr>
          <w:trHeight w:val="9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lastRenderedPageBreak/>
              <w:t>Чистый убыток</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c>
          <w:tcPr>
            <w:tcW w:w="1108"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(31 364 57</w:t>
            </w:r>
            <w:r w:rsidR="00A412B4" w:rsidRPr="00746B32">
              <w:rPr>
                <w:rFonts w:cs="Arial"/>
                <w:b/>
                <w:bCs/>
                <w:color w:val="000000"/>
                <w:sz w:val="20"/>
                <w:lang w:val="ru-RU"/>
              </w:rPr>
              <w:t>7</w:t>
            </w:r>
            <w:r w:rsidRPr="00746B32">
              <w:rPr>
                <w:rFonts w:cs="Arial"/>
                <w:b/>
                <w:bCs/>
                <w:color w:val="000000"/>
                <w:sz w:val="20"/>
                <w:lang w:val="ru-RU"/>
              </w:rPr>
              <w:t>)</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(147 245)</w:t>
            </w:r>
          </w:p>
        </w:tc>
      </w:tr>
      <w:tr w:rsidR="003138D1" w:rsidRPr="00746B32" w:rsidTr="00782D10">
        <w:trPr>
          <w:trHeight w:val="6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Прочий совокупный доход</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060"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746B32" w:rsidTr="00782D10">
        <w:trPr>
          <w:trHeight w:val="127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убытки от переоценки котируемых ценных бумаг, имеющихся в наличии для продажи</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w:t>
            </w:r>
            <w:r w:rsidR="0089203E" w:rsidRPr="00746B32">
              <w:rPr>
                <w:rFonts w:cs="Arial"/>
                <w:sz w:val="20"/>
                <w:lang w:val="ru-RU"/>
              </w:rPr>
              <w:t>167 312</w:t>
            </w:r>
            <w:r w:rsidRPr="00746B32">
              <w:rPr>
                <w:rFonts w:cs="Arial"/>
                <w:sz w:val="20"/>
                <w:lang w:val="ru-RU"/>
              </w:rPr>
              <w:t>)</w:t>
            </w:r>
          </w:p>
        </w:tc>
        <w:tc>
          <w:tcPr>
            <w:tcW w:w="1060" w:type="pct"/>
            <w:tcBorders>
              <w:top w:val="nil"/>
              <w:left w:val="nil"/>
              <w:bottom w:val="nil"/>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(111 220)</w:t>
            </w:r>
          </w:p>
        </w:tc>
      </w:tr>
      <w:tr w:rsidR="003138D1" w:rsidRPr="0046554E" w:rsidTr="00782D10">
        <w:trPr>
          <w:trHeight w:val="102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 xml:space="preserve">Отложенный налоговый актив, относящийся к прочим компонентам совокупного </w:t>
            </w:r>
            <w:r w:rsidR="00333562" w:rsidRPr="00746B32">
              <w:rPr>
                <w:rFonts w:cs="Arial"/>
                <w:sz w:val="20"/>
                <w:lang w:val="ru-RU"/>
              </w:rPr>
              <w:t>дохода:</w:t>
            </w:r>
          </w:p>
        </w:tc>
        <w:tc>
          <w:tcPr>
            <w:tcW w:w="490" w:type="pct"/>
            <w:tcBorders>
              <w:top w:val="nil"/>
              <w:left w:val="nil"/>
              <w:bottom w:val="nil"/>
              <w:right w:val="nil"/>
            </w:tcBorders>
            <w:shd w:val="clear" w:color="auto" w:fill="auto"/>
            <w:noWrap/>
            <w:vAlign w:val="bottom"/>
            <w:hideMark/>
          </w:tcPr>
          <w:p w:rsidR="003138D1" w:rsidRPr="00746B32" w:rsidRDefault="003138D1" w:rsidP="00746B32">
            <w:pPr>
              <w:jc w:val="center"/>
              <w:rPr>
                <w:rFonts w:cs="Arial"/>
                <w:sz w:val="20"/>
                <w:lang w:val="ru-RU"/>
              </w:rPr>
            </w:pPr>
          </w:p>
        </w:tc>
        <w:tc>
          <w:tcPr>
            <w:tcW w:w="1108"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060"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746B32" w:rsidTr="00782D10">
        <w:trPr>
          <w:trHeight w:val="51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-ценные бумаги</w:t>
            </w:r>
            <w:r w:rsidR="006259CF" w:rsidRPr="00746B32">
              <w:rPr>
                <w:rFonts w:cs="Arial"/>
                <w:sz w:val="20"/>
                <w:lang w:val="ru-RU"/>
              </w:rPr>
              <w:t xml:space="preserve">, </w:t>
            </w:r>
            <w:r w:rsidR="00655C58" w:rsidRPr="00746B32">
              <w:rPr>
                <w:rFonts w:cs="Arial"/>
                <w:sz w:val="20"/>
                <w:lang w:val="ru-RU"/>
              </w:rPr>
              <w:t>и</w:t>
            </w:r>
            <w:r w:rsidRPr="00746B32">
              <w:rPr>
                <w:rFonts w:cs="Arial"/>
                <w:sz w:val="20"/>
                <w:lang w:val="ru-RU"/>
              </w:rPr>
              <w:t>меющиеся в наличии для продажи</w:t>
            </w:r>
          </w:p>
        </w:tc>
        <w:tc>
          <w:tcPr>
            <w:tcW w:w="490" w:type="pct"/>
            <w:tcBorders>
              <w:top w:val="nil"/>
              <w:left w:val="nil"/>
              <w:bottom w:val="nil"/>
              <w:right w:val="nil"/>
            </w:tcBorders>
            <w:shd w:val="clear" w:color="auto" w:fill="auto"/>
            <w:noWrap/>
            <w:vAlign w:val="bottom"/>
            <w:hideMark/>
          </w:tcPr>
          <w:p w:rsidR="003138D1" w:rsidRPr="00746B32" w:rsidRDefault="00333562" w:rsidP="00746B32">
            <w:pPr>
              <w:jc w:val="center"/>
              <w:rPr>
                <w:rFonts w:cs="Arial"/>
                <w:sz w:val="20"/>
                <w:lang w:val="ru-RU"/>
              </w:rPr>
            </w:pPr>
            <w:r w:rsidRPr="00746B32">
              <w:rPr>
                <w:rFonts w:cs="Arial"/>
                <w:sz w:val="20"/>
                <w:lang w:val="ru-RU"/>
              </w:rPr>
              <w:t>11</w:t>
            </w:r>
          </w:p>
        </w:tc>
        <w:tc>
          <w:tcPr>
            <w:tcW w:w="1108" w:type="pct"/>
            <w:tcBorders>
              <w:top w:val="nil"/>
              <w:left w:val="nil"/>
              <w:bottom w:val="single" w:sz="4" w:space="0" w:color="auto"/>
              <w:right w:val="nil"/>
            </w:tcBorders>
            <w:shd w:val="clear" w:color="auto" w:fill="auto"/>
            <w:vAlign w:val="bottom"/>
            <w:hideMark/>
          </w:tcPr>
          <w:p w:rsidR="003138D1" w:rsidRPr="00746B32" w:rsidRDefault="0089203E" w:rsidP="00746B32">
            <w:pPr>
              <w:jc w:val="right"/>
              <w:rPr>
                <w:rFonts w:cs="Arial"/>
                <w:sz w:val="20"/>
                <w:lang w:val="ru-RU"/>
              </w:rPr>
            </w:pPr>
            <w:r w:rsidRPr="00746B32">
              <w:rPr>
                <w:rFonts w:cs="Arial"/>
                <w:sz w:val="20"/>
                <w:lang w:val="ru-RU"/>
              </w:rPr>
              <w:t>49 444</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sz w:val="20"/>
                <w:lang w:val="ru-RU"/>
              </w:rPr>
            </w:pPr>
            <w:r w:rsidRPr="00746B32">
              <w:rPr>
                <w:rFonts w:cs="Arial"/>
                <w:sz w:val="20"/>
                <w:lang w:val="ru-RU"/>
              </w:rPr>
              <w:t>22 244</w:t>
            </w:r>
          </w:p>
        </w:tc>
      </w:tr>
      <w:tr w:rsidR="003138D1" w:rsidRPr="00746B32" w:rsidTr="003138D1">
        <w:trPr>
          <w:trHeight w:val="600"/>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 xml:space="preserve">Прочий совокупный </w:t>
            </w:r>
            <w:r w:rsidR="006259CF" w:rsidRPr="00746B32">
              <w:rPr>
                <w:rFonts w:cs="Arial"/>
                <w:b/>
                <w:bCs/>
                <w:color w:val="000000"/>
                <w:sz w:val="20"/>
                <w:lang w:val="ru-RU"/>
              </w:rPr>
              <w:t>убыток</w:t>
            </w:r>
            <w:r w:rsidR="000D6864" w:rsidRPr="00746B32">
              <w:rPr>
                <w:rFonts w:cs="Arial"/>
                <w:b/>
                <w:bCs/>
                <w:color w:val="000000"/>
                <w:sz w:val="20"/>
                <w:lang w:val="ru-RU"/>
              </w:rPr>
              <w:t xml:space="preserve"> </w:t>
            </w:r>
            <w:r w:rsidRPr="00746B32">
              <w:rPr>
                <w:rFonts w:cs="Arial"/>
                <w:b/>
                <w:bCs/>
                <w:color w:val="000000"/>
                <w:sz w:val="20"/>
                <w:lang w:val="ru-RU"/>
              </w:rPr>
              <w:t>отчетного года</w:t>
            </w:r>
          </w:p>
        </w:tc>
        <w:tc>
          <w:tcPr>
            <w:tcW w:w="490" w:type="pct"/>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108"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(117 868)</w:t>
            </w:r>
          </w:p>
        </w:tc>
        <w:tc>
          <w:tcPr>
            <w:tcW w:w="1060" w:type="pct"/>
            <w:tcBorders>
              <w:top w:val="nil"/>
              <w:left w:val="nil"/>
              <w:bottom w:val="single" w:sz="4"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(88 976)</w:t>
            </w:r>
          </w:p>
        </w:tc>
      </w:tr>
      <w:tr w:rsidR="003138D1" w:rsidRPr="00746B32" w:rsidTr="003138D1">
        <w:trPr>
          <w:trHeight w:val="615"/>
        </w:trPr>
        <w:tc>
          <w:tcPr>
            <w:tcW w:w="2342" w:type="pct"/>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 xml:space="preserve">Общий совокупный </w:t>
            </w:r>
            <w:r w:rsidR="006259CF" w:rsidRPr="00746B32">
              <w:rPr>
                <w:rFonts w:cs="Arial"/>
                <w:b/>
                <w:bCs/>
                <w:color w:val="000000"/>
                <w:sz w:val="20"/>
                <w:lang w:val="ru-RU"/>
              </w:rPr>
              <w:t>убыток</w:t>
            </w:r>
            <w:r w:rsidR="000D6864" w:rsidRPr="00746B32">
              <w:rPr>
                <w:rFonts w:cs="Arial"/>
                <w:b/>
                <w:bCs/>
                <w:color w:val="000000"/>
                <w:sz w:val="20"/>
                <w:lang w:val="ru-RU"/>
              </w:rPr>
              <w:t xml:space="preserve"> </w:t>
            </w:r>
            <w:r w:rsidRPr="00746B32">
              <w:rPr>
                <w:rFonts w:cs="Arial"/>
                <w:b/>
                <w:bCs/>
                <w:color w:val="000000"/>
                <w:sz w:val="20"/>
                <w:lang w:val="ru-RU"/>
              </w:rPr>
              <w:t>отчетного года</w:t>
            </w:r>
          </w:p>
        </w:tc>
        <w:tc>
          <w:tcPr>
            <w:tcW w:w="490" w:type="pct"/>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108" w:type="pct"/>
            <w:tcBorders>
              <w:top w:val="nil"/>
              <w:left w:val="nil"/>
              <w:bottom w:val="double" w:sz="6"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(31 482 44</w:t>
            </w:r>
            <w:r w:rsidR="00A412B4" w:rsidRPr="00746B32">
              <w:rPr>
                <w:rFonts w:cs="Arial"/>
                <w:b/>
                <w:bCs/>
                <w:color w:val="000000"/>
                <w:sz w:val="20"/>
                <w:lang w:val="ru-RU"/>
              </w:rPr>
              <w:t>5</w:t>
            </w:r>
            <w:r w:rsidRPr="00746B32">
              <w:rPr>
                <w:rFonts w:cs="Arial"/>
                <w:b/>
                <w:bCs/>
                <w:color w:val="000000"/>
                <w:sz w:val="20"/>
                <w:lang w:val="ru-RU"/>
              </w:rPr>
              <w:t>)</w:t>
            </w:r>
          </w:p>
        </w:tc>
        <w:tc>
          <w:tcPr>
            <w:tcW w:w="1060" w:type="pct"/>
            <w:tcBorders>
              <w:top w:val="nil"/>
              <w:left w:val="nil"/>
              <w:bottom w:val="double" w:sz="6" w:space="0" w:color="auto"/>
              <w:right w:val="nil"/>
            </w:tcBorders>
            <w:shd w:val="clear" w:color="auto" w:fill="auto"/>
            <w:vAlign w:val="bottom"/>
            <w:hideMark/>
          </w:tcPr>
          <w:p w:rsidR="003138D1" w:rsidRPr="00746B32" w:rsidRDefault="00333562" w:rsidP="00746B32">
            <w:pPr>
              <w:jc w:val="right"/>
              <w:rPr>
                <w:rFonts w:cs="Arial"/>
                <w:b/>
                <w:bCs/>
                <w:color w:val="000000"/>
                <w:sz w:val="20"/>
                <w:lang w:val="ru-RU"/>
              </w:rPr>
            </w:pPr>
            <w:r w:rsidRPr="00746B32">
              <w:rPr>
                <w:rFonts w:cs="Arial"/>
                <w:b/>
                <w:bCs/>
                <w:color w:val="000000"/>
                <w:sz w:val="20"/>
                <w:lang w:val="ru-RU"/>
              </w:rPr>
              <w:t>(236 221)</w:t>
            </w:r>
          </w:p>
        </w:tc>
      </w:tr>
    </w:tbl>
    <w:p w:rsidR="003138D1" w:rsidRPr="00746B32" w:rsidRDefault="003138D1" w:rsidP="00746B32">
      <w:pPr>
        <w:rPr>
          <w:rFonts w:cs="Arial"/>
          <w:b/>
          <w:bCs/>
          <w:i/>
          <w:iCs/>
          <w:color w:val="000000"/>
          <w:sz w:val="20"/>
          <w:lang w:val="ru-RU"/>
        </w:rPr>
      </w:pPr>
    </w:p>
    <w:p w:rsidR="003138D1" w:rsidRPr="00746B32" w:rsidRDefault="003138D1" w:rsidP="00746B32">
      <w:pPr>
        <w:rPr>
          <w:rFonts w:cs="Arial"/>
          <w:b/>
          <w:bCs/>
          <w:i/>
          <w:iCs/>
          <w:color w:val="000000"/>
          <w:sz w:val="20"/>
          <w:lang w:val="ru-RU"/>
        </w:rPr>
      </w:pPr>
    </w:p>
    <w:p w:rsidR="003138D1" w:rsidRPr="00746B32" w:rsidRDefault="003138D1" w:rsidP="00746B32">
      <w:pPr>
        <w:rPr>
          <w:rFonts w:cs="Arial"/>
          <w:b/>
          <w:bCs/>
          <w:i/>
          <w:iCs/>
          <w:color w:val="000000"/>
          <w:sz w:val="20"/>
          <w:lang w:val="ru-RU"/>
        </w:rPr>
      </w:pPr>
    </w:p>
    <w:p w:rsidR="000C1725" w:rsidRDefault="000C1725" w:rsidP="000C1725">
      <w:pPr>
        <w:jc w:val="both"/>
        <w:rPr>
          <w:rFonts w:cs="Arial"/>
          <w:color w:val="000000"/>
          <w:sz w:val="20"/>
          <w:lang w:val="ru-RU"/>
        </w:rPr>
      </w:pPr>
    </w:p>
    <w:p w:rsidR="000C1725" w:rsidRPr="000C1725" w:rsidRDefault="000C1725" w:rsidP="000C1725">
      <w:pPr>
        <w:jc w:val="both"/>
        <w:rPr>
          <w:rFonts w:cs="Arial"/>
          <w:color w:val="000000"/>
          <w:sz w:val="20"/>
          <w:lang w:val="ru-RU"/>
        </w:rPr>
      </w:pPr>
      <w:r w:rsidRPr="000C1725">
        <w:rPr>
          <w:rFonts w:cs="Arial"/>
          <w:color w:val="000000"/>
          <w:sz w:val="20"/>
          <w:lang w:val="ru-RU"/>
        </w:rPr>
        <w:t>Данная финансовая отчетность подготовлена с учетом имеющихся в Банке «Таврический» (ОАО) документов и всех известных должностным лицам Банка «Таврический» (ОАО) фактов (обстоятельств) на дату подписания финансовой отчетности, в том числе с учетом Плана финансового оздоровления Санкт-Петербургского акционерного коммерческого банка «Таврический» (открытое акционерное общество).</w:t>
      </w:r>
    </w:p>
    <w:p w:rsidR="000C1725" w:rsidRPr="000C1725" w:rsidRDefault="000C1725" w:rsidP="000C1725">
      <w:pPr>
        <w:jc w:val="both"/>
        <w:rPr>
          <w:rFonts w:cs="Arial"/>
          <w:color w:val="000000"/>
          <w:sz w:val="20"/>
          <w:lang w:val="ru-RU"/>
        </w:rPr>
      </w:pPr>
    </w:p>
    <w:p w:rsidR="000C1725" w:rsidRPr="000C1725" w:rsidRDefault="000C1725" w:rsidP="000C1725">
      <w:pPr>
        <w:pStyle w:val="afe"/>
        <w:jc w:val="both"/>
        <w:rPr>
          <w:rFonts w:ascii="Arial" w:eastAsiaTheme="minorHAnsi" w:hAnsi="Arial" w:cs="Arial"/>
          <w:color w:val="000000"/>
          <w:sz w:val="20"/>
          <w:szCs w:val="20"/>
          <w:lang w:eastAsia="en-US"/>
        </w:rPr>
      </w:pPr>
      <w:r w:rsidRPr="000C1725">
        <w:rPr>
          <w:rFonts w:ascii="Arial" w:eastAsiaTheme="minorHAnsi" w:hAnsi="Arial" w:cs="Arial"/>
          <w:color w:val="000000"/>
          <w:sz w:val="20"/>
          <w:szCs w:val="20"/>
          <w:lang w:eastAsia="en-US"/>
        </w:rPr>
        <w:t>Должностным лицам Банка «Таврический» (ОАО) не известны иные действия лиц, осуществлявших руководство Банком ранее, которые могли бы привести к искажению бухгалтерской отчетности</w:t>
      </w:r>
      <w:r>
        <w:rPr>
          <w:rFonts w:ascii="Arial" w:eastAsiaTheme="minorHAnsi" w:hAnsi="Arial" w:cs="Arial"/>
          <w:color w:val="000000"/>
          <w:sz w:val="20"/>
          <w:szCs w:val="20"/>
          <w:lang w:eastAsia="en-US"/>
        </w:rPr>
        <w:t xml:space="preserve"> и</w:t>
      </w:r>
      <w:r w:rsidRPr="000C1725">
        <w:rPr>
          <w:rFonts w:ascii="Arial" w:eastAsiaTheme="minorHAnsi" w:hAnsi="Arial" w:cs="Arial"/>
          <w:color w:val="000000"/>
          <w:sz w:val="20"/>
          <w:szCs w:val="20"/>
          <w:lang w:eastAsia="en-US"/>
        </w:rPr>
        <w:t xml:space="preserve"> сведения о  которых не учтены при составлении </w:t>
      </w:r>
      <w:r>
        <w:rPr>
          <w:rFonts w:ascii="Arial" w:eastAsiaTheme="minorHAnsi" w:hAnsi="Arial" w:cs="Arial"/>
          <w:color w:val="000000"/>
          <w:sz w:val="20"/>
          <w:szCs w:val="20"/>
          <w:lang w:eastAsia="en-US"/>
        </w:rPr>
        <w:t xml:space="preserve">данной финансовой </w:t>
      </w:r>
      <w:r w:rsidRPr="000C1725">
        <w:rPr>
          <w:rFonts w:ascii="Arial" w:eastAsiaTheme="minorHAnsi" w:hAnsi="Arial" w:cs="Arial"/>
          <w:color w:val="000000"/>
          <w:sz w:val="20"/>
          <w:szCs w:val="20"/>
          <w:lang w:eastAsia="en-US"/>
        </w:rPr>
        <w:t xml:space="preserve">отчетности. </w:t>
      </w:r>
    </w:p>
    <w:p w:rsidR="000C1725" w:rsidRPr="000C1725" w:rsidRDefault="000C1725" w:rsidP="000C1725">
      <w:pPr>
        <w:pStyle w:val="afe"/>
        <w:jc w:val="both"/>
        <w:rPr>
          <w:rFonts w:ascii="Arial" w:eastAsiaTheme="minorHAnsi" w:hAnsi="Arial" w:cs="Arial"/>
          <w:color w:val="000000"/>
          <w:sz w:val="20"/>
          <w:szCs w:val="20"/>
          <w:lang w:eastAsia="en-US"/>
        </w:rPr>
      </w:pPr>
    </w:p>
    <w:p w:rsidR="000C1725" w:rsidRPr="000C1725" w:rsidRDefault="000C1725" w:rsidP="000C1725">
      <w:pPr>
        <w:pStyle w:val="afe"/>
        <w:jc w:val="both"/>
        <w:rPr>
          <w:rFonts w:ascii="Arial" w:hAnsi="Arial" w:cs="Arial"/>
          <w:color w:val="000000"/>
          <w:sz w:val="18"/>
          <w:szCs w:val="18"/>
        </w:rPr>
      </w:pPr>
      <w:r w:rsidRPr="000C1725">
        <w:rPr>
          <w:rFonts w:ascii="Arial" w:hAnsi="Arial" w:cs="Arial"/>
          <w:color w:val="000000"/>
          <w:sz w:val="20"/>
          <w:szCs w:val="20"/>
        </w:rPr>
        <w:t>Председатель Правления Банка «Таврический» (ОАО) Филипьев А.Н. приступил к исполнению должностных обязанностей 30 июня 2015 года.</w:t>
      </w:r>
    </w:p>
    <w:p w:rsidR="000C1725" w:rsidRPr="000C1725" w:rsidRDefault="000C1725" w:rsidP="000C1725">
      <w:pPr>
        <w:tabs>
          <w:tab w:val="left" w:pos="5387"/>
        </w:tabs>
        <w:rPr>
          <w:rFonts w:cs="Arial"/>
          <w:sz w:val="20"/>
          <w:lang w:val="ru-RU"/>
        </w:rPr>
      </w:pPr>
    </w:p>
    <w:p w:rsidR="000C1725" w:rsidRPr="000C1725" w:rsidRDefault="000C1725" w:rsidP="000C1725">
      <w:pPr>
        <w:tabs>
          <w:tab w:val="left" w:pos="5387"/>
        </w:tabs>
        <w:spacing w:line="228" w:lineRule="auto"/>
        <w:rPr>
          <w:rFonts w:cs="Arial"/>
          <w:color w:val="000000"/>
          <w:sz w:val="20"/>
          <w:lang w:val="ru-RU"/>
        </w:rPr>
      </w:pPr>
    </w:p>
    <w:p w:rsidR="000C1725" w:rsidRDefault="000C1725" w:rsidP="000C1725">
      <w:pPr>
        <w:tabs>
          <w:tab w:val="left" w:pos="5387"/>
        </w:tabs>
        <w:spacing w:line="228" w:lineRule="auto"/>
        <w:rPr>
          <w:rFonts w:cs="Arial"/>
          <w:color w:val="000000"/>
          <w:sz w:val="20"/>
          <w:lang w:val="ru-RU"/>
        </w:rPr>
      </w:pPr>
      <w:r w:rsidRPr="000C1725">
        <w:rPr>
          <w:rFonts w:cs="Arial"/>
          <w:color w:val="000000"/>
          <w:sz w:val="20"/>
          <w:lang w:val="ru-RU"/>
        </w:rPr>
        <w:t>Подписано и разрешено к выпуску от имени Правления Банка.</w:t>
      </w:r>
    </w:p>
    <w:p w:rsidR="000C1725" w:rsidRDefault="000C1725" w:rsidP="000C1725">
      <w:pPr>
        <w:tabs>
          <w:tab w:val="left" w:pos="5387"/>
        </w:tabs>
        <w:spacing w:line="228" w:lineRule="auto"/>
        <w:rPr>
          <w:rFonts w:cs="Arial"/>
          <w:color w:val="000000"/>
          <w:sz w:val="20"/>
          <w:lang w:val="ru-RU"/>
        </w:rPr>
      </w:pPr>
    </w:p>
    <w:p w:rsidR="000C1725" w:rsidRPr="000C1725" w:rsidRDefault="000C1725" w:rsidP="000C1725">
      <w:pPr>
        <w:tabs>
          <w:tab w:val="left" w:pos="5387"/>
        </w:tabs>
        <w:spacing w:line="228" w:lineRule="auto"/>
        <w:rPr>
          <w:rFonts w:cs="Arial"/>
          <w:sz w:val="20"/>
          <w:lang w:val="ru-RU"/>
        </w:rPr>
      </w:pPr>
    </w:p>
    <w:p w:rsidR="000C1725" w:rsidRPr="00746B32" w:rsidRDefault="000C1725" w:rsidP="000C1725">
      <w:pPr>
        <w:tabs>
          <w:tab w:val="left" w:pos="5387"/>
        </w:tabs>
        <w:rPr>
          <w:rFonts w:cs="Arial"/>
          <w:sz w:val="20"/>
          <w:lang w:val="ru-RU"/>
        </w:rPr>
      </w:pPr>
    </w:p>
    <w:p w:rsidR="000C1725" w:rsidRPr="00746B32" w:rsidRDefault="000C1725" w:rsidP="000C1725">
      <w:pPr>
        <w:tabs>
          <w:tab w:val="left" w:pos="5387"/>
        </w:tabs>
        <w:rPr>
          <w:rFonts w:cs="Arial"/>
          <w:sz w:val="20"/>
          <w:lang w:val="ru-RU"/>
        </w:rPr>
      </w:pPr>
      <w:r w:rsidRPr="00746B32">
        <w:rPr>
          <w:rFonts w:cs="Arial"/>
          <w:sz w:val="20"/>
          <w:lang w:val="ru-RU"/>
        </w:rPr>
        <w:t>_______________________________</w:t>
      </w:r>
      <w:r w:rsidRPr="00746B32">
        <w:rPr>
          <w:rFonts w:cs="Arial"/>
          <w:sz w:val="20"/>
          <w:lang w:val="ru-RU"/>
        </w:rPr>
        <w:tab/>
        <w:t>________________________________</w:t>
      </w:r>
    </w:p>
    <w:p w:rsidR="000C1725" w:rsidRPr="00746B32" w:rsidRDefault="000C1725" w:rsidP="000C1725">
      <w:pPr>
        <w:tabs>
          <w:tab w:val="left" w:pos="5387"/>
        </w:tabs>
        <w:rPr>
          <w:rFonts w:cs="Arial"/>
          <w:sz w:val="20"/>
          <w:lang w:val="ru-RU"/>
        </w:rPr>
      </w:pPr>
      <w:r w:rsidRPr="00746B32">
        <w:rPr>
          <w:rFonts w:cs="Arial"/>
          <w:sz w:val="20"/>
          <w:lang w:val="ru-RU"/>
        </w:rPr>
        <w:t>Филипьев Александр Николаевич</w:t>
      </w:r>
      <w:r w:rsidRPr="00746B32">
        <w:rPr>
          <w:rFonts w:cs="Arial"/>
          <w:sz w:val="20"/>
          <w:lang w:val="ru-RU"/>
        </w:rPr>
        <w:tab/>
        <w:t>Ижмяков Николай Валентинович</w:t>
      </w:r>
    </w:p>
    <w:p w:rsidR="000C1725" w:rsidRPr="00746B32" w:rsidRDefault="000C1725" w:rsidP="000C1725">
      <w:pPr>
        <w:tabs>
          <w:tab w:val="left" w:pos="5387"/>
        </w:tabs>
        <w:ind w:left="5387" w:hanging="5387"/>
        <w:rPr>
          <w:rFonts w:cs="Arial"/>
          <w:sz w:val="20"/>
          <w:lang w:val="ru-RU"/>
        </w:rPr>
      </w:pPr>
      <w:r w:rsidRPr="00746B32">
        <w:rPr>
          <w:rFonts w:cs="Arial"/>
          <w:sz w:val="20"/>
          <w:lang w:val="ru-RU"/>
        </w:rPr>
        <w:t>Председатель Правления</w:t>
      </w:r>
      <w:r w:rsidRPr="00746B32">
        <w:rPr>
          <w:rFonts w:cs="Arial"/>
          <w:sz w:val="20"/>
          <w:lang w:val="ru-RU"/>
        </w:rPr>
        <w:tab/>
        <w:t>Главный бухгалтер</w:t>
      </w:r>
    </w:p>
    <w:p w:rsidR="000C1725" w:rsidRPr="00746B32" w:rsidRDefault="000C1725" w:rsidP="000C1725">
      <w:pPr>
        <w:tabs>
          <w:tab w:val="left" w:pos="5387"/>
        </w:tabs>
        <w:ind w:left="5387" w:hanging="5387"/>
        <w:rPr>
          <w:rFonts w:cs="Arial"/>
          <w:i/>
          <w:smallCaps/>
          <w:sz w:val="20"/>
          <w:lang w:val="ru-RU"/>
        </w:rPr>
      </w:pPr>
    </w:p>
    <w:p w:rsidR="000C1725" w:rsidRPr="00746B32" w:rsidRDefault="000C1725" w:rsidP="000C1725">
      <w:pPr>
        <w:pStyle w:val="Tabletext"/>
        <w:rPr>
          <w:rFonts w:cs="Arial"/>
          <w:sz w:val="20"/>
          <w:lang w:val="ru-RU"/>
        </w:rPr>
      </w:pPr>
    </w:p>
    <w:p w:rsidR="000C1725" w:rsidRPr="00746B32" w:rsidRDefault="000C1725" w:rsidP="000C1725">
      <w:pPr>
        <w:pStyle w:val="Tabletext"/>
        <w:rPr>
          <w:rFonts w:cs="Arial"/>
          <w:sz w:val="20"/>
          <w:lang w:val="ru-RU"/>
        </w:rPr>
      </w:pPr>
      <w:r w:rsidRPr="00746B32">
        <w:rPr>
          <w:rFonts w:cs="Arial"/>
          <w:sz w:val="20"/>
          <w:lang w:val="ru-RU"/>
        </w:rPr>
        <w:t>20 января 2016 года</w:t>
      </w:r>
    </w:p>
    <w:p w:rsidR="003138D1" w:rsidRPr="00746B32" w:rsidRDefault="003138D1" w:rsidP="00746B32">
      <w:pPr>
        <w:rPr>
          <w:rFonts w:cs="Arial"/>
          <w:b/>
          <w:bCs/>
          <w:i/>
          <w:iCs/>
          <w:color w:val="000000"/>
          <w:sz w:val="20"/>
          <w:lang w:val="ru-RU"/>
        </w:rPr>
      </w:pPr>
    </w:p>
    <w:p w:rsidR="003138D1" w:rsidRPr="00746B32" w:rsidRDefault="003138D1" w:rsidP="00746B32">
      <w:pPr>
        <w:rPr>
          <w:rFonts w:cs="Arial"/>
          <w:b/>
          <w:bCs/>
          <w:i/>
          <w:iCs/>
          <w:color w:val="000000"/>
          <w:sz w:val="20"/>
          <w:lang w:val="ru-RU"/>
        </w:rPr>
      </w:pPr>
    </w:p>
    <w:p w:rsidR="003138D1" w:rsidRPr="00746B32" w:rsidRDefault="003138D1" w:rsidP="00746B32">
      <w:pPr>
        <w:rPr>
          <w:rFonts w:cs="Arial"/>
          <w:b/>
          <w:bCs/>
          <w:i/>
          <w:iCs/>
          <w:color w:val="000000"/>
          <w:sz w:val="20"/>
          <w:lang w:val="ru-RU"/>
        </w:rPr>
      </w:pPr>
    </w:p>
    <w:p w:rsidR="009D04A1" w:rsidRPr="00746B32" w:rsidRDefault="009D04A1" w:rsidP="00746B32">
      <w:pPr>
        <w:rPr>
          <w:rFonts w:cs="Arial"/>
          <w:b/>
          <w:bCs/>
          <w:i/>
          <w:iCs/>
          <w:color w:val="000000"/>
          <w:sz w:val="20"/>
          <w:lang w:val="ru-RU"/>
        </w:rPr>
        <w:sectPr w:rsidR="009D04A1" w:rsidRPr="00746B32" w:rsidSect="001F426D">
          <w:headerReference w:type="default" r:id="rId19"/>
          <w:pgSz w:w="11907" w:h="16840" w:code="9"/>
          <w:pgMar w:top="1134" w:right="851" w:bottom="1134" w:left="1701" w:header="709" w:footer="709" w:gutter="0"/>
          <w:paperSrc w:other="15"/>
          <w:cols w:space="720"/>
          <w:noEndnote/>
        </w:sectPr>
      </w:pPr>
    </w:p>
    <w:tbl>
      <w:tblPr>
        <w:tblW w:w="5092" w:type="pct"/>
        <w:tblLook w:val="04A0"/>
      </w:tblPr>
      <w:tblGrid>
        <w:gridCol w:w="4483"/>
        <w:gridCol w:w="90"/>
        <w:gridCol w:w="848"/>
        <w:gridCol w:w="90"/>
        <w:gridCol w:w="2031"/>
        <w:gridCol w:w="43"/>
        <w:gridCol w:w="2162"/>
      </w:tblGrid>
      <w:tr w:rsidR="00BA7360" w:rsidRPr="00746B32" w:rsidTr="00BA7360">
        <w:trPr>
          <w:trHeight w:val="300"/>
        </w:trPr>
        <w:tc>
          <w:tcPr>
            <w:tcW w:w="2300" w:type="pct"/>
            <w:tcBorders>
              <w:top w:val="nil"/>
              <w:left w:val="nil"/>
              <w:bottom w:val="nil"/>
              <w:right w:val="nil"/>
            </w:tcBorders>
            <w:shd w:val="clear" w:color="auto" w:fill="auto"/>
            <w:vAlign w:val="bottom"/>
            <w:hideMark/>
          </w:tcPr>
          <w:p w:rsidR="00BA7360" w:rsidRPr="00746B32" w:rsidRDefault="00BA7360" w:rsidP="00746B32">
            <w:pPr>
              <w:rPr>
                <w:rFonts w:cs="Arial"/>
                <w:sz w:val="20"/>
                <w:lang w:val="ru-RU"/>
              </w:rPr>
            </w:pPr>
          </w:p>
        </w:tc>
        <w:tc>
          <w:tcPr>
            <w:tcW w:w="481" w:type="pct"/>
            <w:gridSpan w:val="2"/>
            <w:tcBorders>
              <w:top w:val="nil"/>
              <w:left w:val="nil"/>
              <w:bottom w:val="single" w:sz="4" w:space="0" w:color="auto"/>
              <w:right w:val="nil"/>
            </w:tcBorders>
            <w:shd w:val="clear" w:color="auto" w:fill="auto"/>
            <w:noWrap/>
            <w:vAlign w:val="center"/>
            <w:hideMark/>
          </w:tcPr>
          <w:p w:rsidR="00BA7360" w:rsidRPr="00746B32" w:rsidRDefault="00BA7360" w:rsidP="00746B32">
            <w:pPr>
              <w:jc w:val="center"/>
              <w:rPr>
                <w:rFonts w:cs="Arial"/>
                <w:b/>
                <w:bCs/>
                <w:color w:val="000000"/>
                <w:sz w:val="20"/>
                <w:lang w:val="ru-RU"/>
              </w:rPr>
            </w:pPr>
            <w:r w:rsidRPr="00746B32">
              <w:rPr>
                <w:rFonts w:cs="Arial"/>
                <w:b/>
                <w:bCs/>
                <w:color w:val="000000"/>
                <w:sz w:val="20"/>
                <w:lang w:val="ru-RU"/>
              </w:rPr>
              <w:t>Прим.</w:t>
            </w:r>
          </w:p>
        </w:tc>
        <w:tc>
          <w:tcPr>
            <w:tcW w:w="1088" w:type="pct"/>
            <w:gridSpan w:val="2"/>
            <w:tcBorders>
              <w:top w:val="nil"/>
              <w:left w:val="nil"/>
              <w:bottom w:val="single" w:sz="4" w:space="0" w:color="auto"/>
              <w:right w:val="nil"/>
            </w:tcBorders>
            <w:shd w:val="clear" w:color="auto" w:fill="auto"/>
            <w:vAlign w:val="bottom"/>
            <w:hideMark/>
          </w:tcPr>
          <w:p w:rsidR="00BA7360" w:rsidRPr="00746B32" w:rsidRDefault="00BA7360" w:rsidP="00746B32">
            <w:pPr>
              <w:jc w:val="right"/>
              <w:rPr>
                <w:rFonts w:cs="Arial"/>
                <w:b/>
                <w:bCs/>
                <w:color w:val="000000"/>
                <w:sz w:val="20"/>
                <w:lang w:val="ru-RU"/>
              </w:rPr>
            </w:pPr>
            <w:r w:rsidRPr="00746B32">
              <w:rPr>
                <w:rFonts w:cs="Arial"/>
                <w:b/>
                <w:bCs/>
                <w:color w:val="000000"/>
                <w:sz w:val="20"/>
                <w:lang w:val="ru-RU"/>
              </w:rPr>
              <w:t xml:space="preserve">2014 </w:t>
            </w:r>
          </w:p>
        </w:tc>
        <w:tc>
          <w:tcPr>
            <w:tcW w:w="1131" w:type="pct"/>
            <w:gridSpan w:val="2"/>
            <w:tcBorders>
              <w:top w:val="nil"/>
              <w:left w:val="nil"/>
              <w:bottom w:val="single" w:sz="4" w:space="0" w:color="auto"/>
              <w:right w:val="nil"/>
            </w:tcBorders>
            <w:shd w:val="clear" w:color="auto" w:fill="auto"/>
            <w:vAlign w:val="bottom"/>
            <w:hideMark/>
          </w:tcPr>
          <w:p w:rsidR="00BA7360" w:rsidRPr="00746B32" w:rsidRDefault="00BA7360" w:rsidP="00746B32">
            <w:pPr>
              <w:jc w:val="right"/>
              <w:rPr>
                <w:rFonts w:cs="Arial"/>
                <w:b/>
                <w:bCs/>
                <w:color w:val="000000"/>
                <w:sz w:val="20"/>
                <w:lang w:val="ru-RU"/>
              </w:rPr>
            </w:pPr>
            <w:r w:rsidRPr="00746B32">
              <w:rPr>
                <w:rFonts w:cs="Arial"/>
                <w:b/>
                <w:bCs/>
                <w:color w:val="000000"/>
                <w:sz w:val="20"/>
                <w:lang w:val="ru-RU"/>
              </w:rPr>
              <w:t xml:space="preserve">2013 </w:t>
            </w:r>
          </w:p>
        </w:tc>
      </w:tr>
      <w:tr w:rsidR="003138D1" w:rsidRPr="0046554E" w:rsidTr="00BA7360">
        <w:trPr>
          <w:trHeight w:val="90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b/>
                <w:bCs/>
                <w:i/>
                <w:color w:val="000000"/>
                <w:sz w:val="20"/>
                <w:lang w:val="ru-RU"/>
              </w:rPr>
            </w:pPr>
            <w:r w:rsidRPr="00746B32">
              <w:rPr>
                <w:rFonts w:cs="Arial"/>
                <w:b/>
                <w:bCs/>
                <w:i/>
                <w:color w:val="000000"/>
                <w:sz w:val="20"/>
                <w:lang w:val="ru-RU"/>
              </w:rPr>
              <w:t xml:space="preserve">Движение денежных средств от операционной </w:t>
            </w:r>
            <w:r w:rsidR="00312BF8" w:rsidRPr="00746B32">
              <w:rPr>
                <w:rFonts w:cs="Arial"/>
                <w:b/>
                <w:bCs/>
                <w:i/>
                <w:color w:val="000000"/>
                <w:sz w:val="20"/>
                <w:lang w:val="ru-RU"/>
              </w:rPr>
              <w:t>деятельности</w:t>
            </w:r>
          </w:p>
          <w:p w:rsidR="00BA7360" w:rsidRPr="00746B32" w:rsidRDefault="00BA7360" w:rsidP="00746B32">
            <w:pPr>
              <w:rPr>
                <w:rFonts w:cs="Arial"/>
                <w:b/>
                <w:bCs/>
                <w:i/>
                <w:color w:val="000000"/>
                <w:sz w:val="20"/>
                <w:lang w:val="ru-RU"/>
              </w:rPr>
            </w:pP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center"/>
              <w:rPr>
                <w:rFonts w:cs="Arial"/>
                <w:sz w:val="20"/>
                <w:lang w:val="ru-RU"/>
              </w:rPr>
            </w:pPr>
          </w:p>
        </w:tc>
        <w:tc>
          <w:tcPr>
            <w:tcW w:w="1109" w:type="pct"/>
            <w:tcBorders>
              <w:top w:val="nil"/>
              <w:left w:val="nil"/>
              <w:bottom w:val="nil"/>
              <w:right w:val="nil"/>
            </w:tcBorders>
            <w:shd w:val="clear" w:color="auto" w:fill="auto"/>
            <w:vAlign w:val="bottom"/>
            <w:hideMark/>
          </w:tcPr>
          <w:p w:rsidR="003138D1" w:rsidRPr="00746B32" w:rsidRDefault="003138D1" w:rsidP="00746B32">
            <w:pPr>
              <w:jc w:val="center"/>
              <w:rPr>
                <w:rFonts w:cs="Arial"/>
                <w:sz w:val="20"/>
                <w:lang w:val="ru-RU"/>
              </w:rPr>
            </w:pP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 xml:space="preserve">Проценты полученные </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2 895 356</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4 195 671</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Проценты уплаченные</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(2 745 555)</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(2 693 045)</w:t>
            </w:r>
          </w:p>
        </w:tc>
      </w:tr>
      <w:tr w:rsidR="003138D1" w:rsidRPr="00746B32" w:rsidTr="00BA7360">
        <w:trPr>
          <w:trHeight w:val="51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доходы от валютно-обменных операций</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46 166</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32 754</w:t>
            </w:r>
          </w:p>
        </w:tc>
      </w:tr>
      <w:tr w:rsidR="003138D1" w:rsidRPr="00746B32" w:rsidTr="00BA7360">
        <w:trPr>
          <w:trHeight w:val="255"/>
        </w:trPr>
        <w:tc>
          <w:tcPr>
            <w:tcW w:w="2346" w:type="pct"/>
            <w:gridSpan w:val="2"/>
            <w:tcBorders>
              <w:top w:val="nil"/>
              <w:left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Комиссии полученные</w:t>
            </w:r>
          </w:p>
        </w:tc>
        <w:tc>
          <w:tcPr>
            <w:tcW w:w="481" w:type="pct"/>
            <w:gridSpan w:val="2"/>
            <w:tcBorders>
              <w:top w:val="nil"/>
              <w:left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441 447</w:t>
            </w:r>
          </w:p>
        </w:tc>
        <w:tc>
          <w:tcPr>
            <w:tcW w:w="1109" w:type="pct"/>
            <w:tcBorders>
              <w:top w:val="nil"/>
              <w:left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381 212</w:t>
            </w:r>
          </w:p>
        </w:tc>
      </w:tr>
      <w:tr w:rsidR="003138D1" w:rsidRPr="00746B32" w:rsidTr="00BA7360">
        <w:trPr>
          <w:trHeight w:val="255"/>
        </w:trPr>
        <w:tc>
          <w:tcPr>
            <w:tcW w:w="2346" w:type="pct"/>
            <w:gridSpan w:val="2"/>
            <w:tcBorders>
              <w:top w:val="nil"/>
              <w:left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Комиссии уплаченные</w:t>
            </w:r>
          </w:p>
        </w:tc>
        <w:tc>
          <w:tcPr>
            <w:tcW w:w="481" w:type="pct"/>
            <w:gridSpan w:val="2"/>
            <w:tcBorders>
              <w:top w:val="nil"/>
              <w:left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(57 755)</w:t>
            </w:r>
          </w:p>
        </w:tc>
        <w:tc>
          <w:tcPr>
            <w:tcW w:w="1109" w:type="pct"/>
            <w:tcBorders>
              <w:top w:val="nil"/>
              <w:left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(50 208)</w:t>
            </w:r>
          </w:p>
        </w:tc>
      </w:tr>
      <w:tr w:rsidR="003138D1" w:rsidRPr="00746B32" w:rsidTr="00BA7360">
        <w:trPr>
          <w:trHeight w:val="510"/>
        </w:trPr>
        <w:tc>
          <w:tcPr>
            <w:tcW w:w="2346" w:type="pct"/>
            <w:gridSpan w:val="2"/>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Чистые доходы от операций с ценными бумагами</w:t>
            </w:r>
          </w:p>
        </w:tc>
        <w:tc>
          <w:tcPr>
            <w:tcW w:w="481" w:type="pct"/>
            <w:gridSpan w:val="2"/>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133 229</w:t>
            </w:r>
          </w:p>
        </w:tc>
        <w:tc>
          <w:tcPr>
            <w:tcW w:w="1109" w:type="pct"/>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4 588</w:t>
            </w:r>
          </w:p>
        </w:tc>
      </w:tr>
      <w:tr w:rsidR="003138D1" w:rsidRPr="00746B32" w:rsidTr="00BA7360">
        <w:trPr>
          <w:trHeight w:val="510"/>
        </w:trPr>
        <w:tc>
          <w:tcPr>
            <w:tcW w:w="2346" w:type="pct"/>
            <w:gridSpan w:val="2"/>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Прочие операционные доходы полученные</w:t>
            </w:r>
          </w:p>
        </w:tc>
        <w:tc>
          <w:tcPr>
            <w:tcW w:w="481" w:type="pct"/>
            <w:gridSpan w:val="2"/>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136 322</w:t>
            </w:r>
          </w:p>
        </w:tc>
        <w:tc>
          <w:tcPr>
            <w:tcW w:w="1109" w:type="pct"/>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47 930</w:t>
            </w:r>
          </w:p>
        </w:tc>
      </w:tr>
      <w:tr w:rsidR="003138D1" w:rsidRPr="00746B32" w:rsidTr="00BA7360">
        <w:trPr>
          <w:trHeight w:val="510"/>
        </w:trPr>
        <w:tc>
          <w:tcPr>
            <w:tcW w:w="2346" w:type="pct"/>
            <w:gridSpan w:val="2"/>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Прочие операционные расходы уплаченные</w:t>
            </w:r>
          </w:p>
        </w:tc>
        <w:tc>
          <w:tcPr>
            <w:tcW w:w="481" w:type="pct"/>
            <w:gridSpan w:val="2"/>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shd w:val="clear" w:color="auto" w:fill="auto"/>
            <w:vAlign w:val="bottom"/>
            <w:hideMark/>
          </w:tcPr>
          <w:p w:rsidR="003138D1" w:rsidRPr="00746B32" w:rsidRDefault="00084D18" w:rsidP="00746B32">
            <w:pPr>
              <w:jc w:val="right"/>
              <w:rPr>
                <w:rFonts w:cs="Arial"/>
                <w:sz w:val="20"/>
                <w:lang w:val="en-US"/>
              </w:rPr>
            </w:pPr>
            <w:r w:rsidRPr="00746B32">
              <w:rPr>
                <w:rFonts w:cs="Arial"/>
                <w:sz w:val="20"/>
                <w:lang w:val="en-US"/>
              </w:rPr>
              <w:t>(841 011)</w:t>
            </w:r>
          </w:p>
        </w:tc>
        <w:tc>
          <w:tcPr>
            <w:tcW w:w="1109" w:type="pct"/>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(797 107)</w:t>
            </w:r>
          </w:p>
        </w:tc>
      </w:tr>
      <w:tr w:rsidR="003138D1" w:rsidRPr="00746B32" w:rsidTr="00BA7360">
        <w:trPr>
          <w:trHeight w:val="510"/>
        </w:trPr>
        <w:tc>
          <w:tcPr>
            <w:tcW w:w="2346" w:type="pct"/>
            <w:gridSpan w:val="2"/>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Налог на прибыль уплаченный</w:t>
            </w:r>
          </w:p>
        </w:tc>
        <w:tc>
          <w:tcPr>
            <w:tcW w:w="481" w:type="pct"/>
            <w:gridSpan w:val="2"/>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shd w:val="clear" w:color="auto" w:fill="auto"/>
            <w:vAlign w:val="bottom"/>
            <w:hideMark/>
          </w:tcPr>
          <w:p w:rsidR="003138D1" w:rsidRPr="00746B32" w:rsidRDefault="00084D18" w:rsidP="00746B32">
            <w:pPr>
              <w:jc w:val="right"/>
              <w:rPr>
                <w:rFonts w:cs="Arial"/>
                <w:sz w:val="20"/>
                <w:lang w:val="en-US"/>
              </w:rPr>
            </w:pPr>
            <w:r w:rsidRPr="00746B32">
              <w:rPr>
                <w:rFonts w:cs="Arial"/>
                <w:sz w:val="20"/>
                <w:lang w:val="en-US"/>
              </w:rPr>
              <w:t>(297 010)</w:t>
            </w:r>
          </w:p>
        </w:tc>
        <w:tc>
          <w:tcPr>
            <w:tcW w:w="1109" w:type="pct"/>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(61 217)</w:t>
            </w:r>
          </w:p>
        </w:tc>
      </w:tr>
      <w:tr w:rsidR="003138D1" w:rsidRPr="00746B32" w:rsidTr="00BA7360">
        <w:trPr>
          <w:trHeight w:val="1082"/>
        </w:trPr>
        <w:tc>
          <w:tcPr>
            <w:tcW w:w="2346" w:type="pct"/>
            <w:gridSpan w:val="2"/>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Денежные средства, полученные от операционной деятельности до изменений в операционных активах и обязательствах</w:t>
            </w:r>
          </w:p>
        </w:tc>
        <w:tc>
          <w:tcPr>
            <w:tcW w:w="481" w:type="pct"/>
            <w:gridSpan w:val="2"/>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shd w:val="clear" w:color="auto" w:fill="auto"/>
            <w:vAlign w:val="bottom"/>
            <w:hideMark/>
          </w:tcPr>
          <w:p w:rsidR="003138D1" w:rsidRPr="00746B32" w:rsidRDefault="00084D18" w:rsidP="00746B32">
            <w:pPr>
              <w:jc w:val="right"/>
              <w:rPr>
                <w:rFonts w:cs="Arial"/>
                <w:b/>
                <w:bCs/>
                <w:color w:val="000000"/>
                <w:sz w:val="20"/>
                <w:lang w:val="en-US"/>
              </w:rPr>
            </w:pPr>
            <w:r w:rsidRPr="00746B32">
              <w:rPr>
                <w:rFonts w:cs="Arial"/>
                <w:b/>
                <w:bCs/>
                <w:color w:val="000000"/>
                <w:sz w:val="20"/>
                <w:lang w:val="en-US"/>
              </w:rPr>
              <w:t>(288 811)</w:t>
            </w:r>
          </w:p>
        </w:tc>
        <w:tc>
          <w:tcPr>
            <w:tcW w:w="1109" w:type="pct"/>
            <w:shd w:val="clear" w:color="auto" w:fill="auto"/>
            <w:vAlign w:val="bottom"/>
            <w:hideMark/>
          </w:tcPr>
          <w:p w:rsidR="003138D1" w:rsidRPr="00746B32" w:rsidRDefault="003138D1" w:rsidP="00746B32">
            <w:pPr>
              <w:jc w:val="right"/>
              <w:rPr>
                <w:rFonts w:cs="Arial"/>
                <w:b/>
                <w:bCs/>
                <w:color w:val="000000"/>
                <w:sz w:val="20"/>
                <w:lang w:val="ru-RU"/>
              </w:rPr>
            </w:pPr>
            <w:r w:rsidRPr="00746B32">
              <w:rPr>
                <w:rFonts w:cs="Arial"/>
                <w:b/>
                <w:bCs/>
                <w:color w:val="000000"/>
                <w:sz w:val="20"/>
                <w:lang w:val="ru-RU"/>
              </w:rPr>
              <w:t>1 060 578</w:t>
            </w:r>
          </w:p>
        </w:tc>
      </w:tr>
      <w:tr w:rsidR="003138D1" w:rsidRPr="0046554E" w:rsidTr="00BA7360">
        <w:trPr>
          <w:trHeight w:val="726"/>
        </w:trPr>
        <w:tc>
          <w:tcPr>
            <w:tcW w:w="2346" w:type="pct"/>
            <w:gridSpan w:val="2"/>
            <w:shd w:val="clear" w:color="auto" w:fill="auto"/>
            <w:vAlign w:val="bottom"/>
            <w:hideMark/>
          </w:tcPr>
          <w:p w:rsidR="003138D1" w:rsidRPr="00746B32" w:rsidRDefault="003138D1" w:rsidP="00746B32">
            <w:pPr>
              <w:rPr>
                <w:rFonts w:cs="Arial"/>
                <w:i/>
                <w:iCs/>
                <w:color w:val="000000"/>
                <w:sz w:val="20"/>
                <w:lang w:val="ru-RU"/>
              </w:rPr>
            </w:pPr>
            <w:r w:rsidRPr="00746B32">
              <w:rPr>
                <w:rFonts w:cs="Arial"/>
                <w:i/>
                <w:iCs/>
                <w:color w:val="000000"/>
                <w:sz w:val="20"/>
                <w:lang w:val="ru-RU"/>
              </w:rPr>
              <w:t>Чистый (прирост)/снижение операционных активов</w:t>
            </w:r>
          </w:p>
        </w:tc>
        <w:tc>
          <w:tcPr>
            <w:tcW w:w="481" w:type="pct"/>
            <w:gridSpan w:val="2"/>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shd w:val="clear" w:color="auto" w:fill="auto"/>
            <w:vAlign w:val="bottom"/>
            <w:hideMark/>
          </w:tcPr>
          <w:p w:rsidR="003138D1" w:rsidRPr="00746B32" w:rsidRDefault="003138D1" w:rsidP="00746B32">
            <w:pPr>
              <w:jc w:val="right"/>
              <w:rPr>
                <w:rFonts w:cs="Arial"/>
                <w:sz w:val="20"/>
                <w:lang w:val="ru-RU"/>
              </w:rPr>
            </w:pPr>
          </w:p>
        </w:tc>
        <w:tc>
          <w:tcPr>
            <w:tcW w:w="1109" w:type="pct"/>
            <w:shd w:val="clear" w:color="auto" w:fill="auto"/>
            <w:vAlign w:val="bottom"/>
            <w:hideMark/>
          </w:tcPr>
          <w:p w:rsidR="003138D1" w:rsidRPr="00746B32" w:rsidRDefault="003138D1" w:rsidP="00746B32">
            <w:pPr>
              <w:jc w:val="right"/>
              <w:rPr>
                <w:rFonts w:cs="Arial"/>
                <w:sz w:val="20"/>
                <w:lang w:val="ru-RU"/>
              </w:rPr>
            </w:pPr>
          </w:p>
        </w:tc>
      </w:tr>
      <w:tr w:rsidR="003138D1" w:rsidRPr="0046554E" w:rsidTr="00BA7360">
        <w:trPr>
          <w:trHeight w:val="255"/>
        </w:trPr>
        <w:tc>
          <w:tcPr>
            <w:tcW w:w="2346" w:type="pct"/>
            <w:gridSpan w:val="2"/>
            <w:tcBorders>
              <w:left w:val="nil"/>
              <w:bottom w:val="nil"/>
              <w:right w:val="nil"/>
            </w:tcBorders>
            <w:shd w:val="clear" w:color="auto" w:fill="auto"/>
            <w:vAlign w:val="bottom"/>
            <w:hideMark/>
          </w:tcPr>
          <w:p w:rsidR="003138D1" w:rsidRPr="00746B32" w:rsidRDefault="003138D1" w:rsidP="00746B32">
            <w:pPr>
              <w:rPr>
                <w:rFonts w:cs="Arial"/>
                <w:sz w:val="20"/>
                <w:lang w:val="ru-RU"/>
              </w:rPr>
            </w:pPr>
          </w:p>
        </w:tc>
        <w:tc>
          <w:tcPr>
            <w:tcW w:w="481" w:type="pct"/>
            <w:gridSpan w:val="2"/>
            <w:tcBorders>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109" w:type="pct"/>
            <w:tcBorders>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746B32" w:rsidTr="00BA7360">
        <w:trPr>
          <w:trHeight w:val="51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Обязательные резервы в Центральном Банке России</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(5 902)</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(904 745)</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p>
          <w:p w:rsidR="003138D1" w:rsidRPr="00746B32" w:rsidRDefault="003138D1" w:rsidP="00746B32">
            <w:pPr>
              <w:rPr>
                <w:rFonts w:cs="Arial"/>
                <w:sz w:val="20"/>
                <w:lang w:val="ru-RU"/>
              </w:rPr>
            </w:pPr>
            <w:r w:rsidRPr="00746B32">
              <w:rPr>
                <w:rFonts w:cs="Arial"/>
                <w:sz w:val="20"/>
                <w:lang w:val="ru-RU"/>
              </w:rPr>
              <w:t>Средства в других банках</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(33 126)</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3 422 963</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Кредиты клиентам</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084D18" w:rsidP="00746B32">
            <w:pPr>
              <w:jc w:val="right"/>
              <w:rPr>
                <w:rFonts w:cs="Arial"/>
                <w:sz w:val="20"/>
                <w:lang w:val="en-US"/>
              </w:rPr>
            </w:pPr>
            <w:r w:rsidRPr="00746B32">
              <w:rPr>
                <w:rFonts w:cs="Arial"/>
                <w:sz w:val="20"/>
                <w:lang w:val="en-US"/>
              </w:rPr>
              <w:t>(4 211 358)</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(6 946 176)</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Прочие активы</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85 875</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51 887</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46554E" w:rsidTr="00BA7360">
        <w:trPr>
          <w:trHeight w:val="85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i/>
                <w:iCs/>
                <w:color w:val="000000"/>
                <w:sz w:val="20"/>
                <w:lang w:val="ru-RU"/>
              </w:rPr>
            </w:pPr>
            <w:r w:rsidRPr="00746B32">
              <w:rPr>
                <w:rFonts w:cs="Arial"/>
                <w:i/>
                <w:iCs/>
                <w:color w:val="000000"/>
                <w:sz w:val="20"/>
                <w:lang w:val="ru-RU"/>
              </w:rPr>
              <w:t>Чистый прирост/(снижение) операционных обязательств</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46554E"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Средства в других банках</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(2 987 559)</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148 604</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Кредиты клиентам</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2 112 483</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2 454 272</w:t>
            </w:r>
          </w:p>
        </w:tc>
      </w:tr>
      <w:tr w:rsidR="003138D1" w:rsidRPr="00746B32" w:rsidTr="00BA7360">
        <w:trPr>
          <w:trHeight w:val="51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Выпущенные долговые ценные бумаги</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(404 158)</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422 433</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t>Прочие обязательства</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single" w:sz="4" w:space="0" w:color="auto"/>
              <w:right w:val="nil"/>
            </w:tcBorders>
            <w:shd w:val="clear" w:color="auto" w:fill="auto"/>
            <w:vAlign w:val="bottom"/>
            <w:hideMark/>
          </w:tcPr>
          <w:p w:rsidR="003138D1" w:rsidRPr="00746B32" w:rsidRDefault="00084D18" w:rsidP="00746B32">
            <w:pPr>
              <w:jc w:val="right"/>
              <w:rPr>
                <w:rFonts w:cs="Arial"/>
                <w:sz w:val="20"/>
                <w:lang w:val="en-US"/>
              </w:rPr>
            </w:pPr>
            <w:r w:rsidRPr="00746B32">
              <w:rPr>
                <w:rFonts w:cs="Arial"/>
                <w:sz w:val="20"/>
                <w:lang w:val="en-US"/>
              </w:rPr>
              <w:t>(68 318)</w:t>
            </w:r>
          </w:p>
        </w:tc>
        <w:tc>
          <w:tcPr>
            <w:tcW w:w="1109" w:type="pct"/>
            <w:tcBorders>
              <w:top w:val="nil"/>
              <w:left w:val="nil"/>
              <w:bottom w:val="single" w:sz="4" w:space="0" w:color="auto"/>
              <w:right w:val="nil"/>
            </w:tcBorders>
            <w:shd w:val="clear" w:color="auto" w:fill="auto"/>
            <w:vAlign w:val="bottom"/>
            <w:hideMark/>
          </w:tcPr>
          <w:p w:rsidR="003138D1" w:rsidRPr="00746B32" w:rsidRDefault="003138D1" w:rsidP="00746B32">
            <w:pPr>
              <w:jc w:val="right"/>
              <w:rPr>
                <w:rFonts w:cs="Arial"/>
                <w:sz w:val="20"/>
                <w:lang w:val="ru-RU"/>
              </w:rPr>
            </w:pPr>
            <w:r w:rsidRPr="00746B32">
              <w:rPr>
                <w:rFonts w:cs="Arial"/>
                <w:sz w:val="20"/>
                <w:lang w:val="ru-RU"/>
              </w:rPr>
              <w:t>100 658</w:t>
            </w:r>
          </w:p>
        </w:tc>
      </w:tr>
      <w:tr w:rsidR="003138D1" w:rsidRPr="00746B32" w:rsidTr="00BA7360">
        <w:trPr>
          <w:trHeight w:val="128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Чистые денежные средства (использованные в)/полученные от операционной деятельности</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084D18" w:rsidP="00746B32">
            <w:pPr>
              <w:jc w:val="right"/>
              <w:rPr>
                <w:rFonts w:cs="Arial"/>
                <w:b/>
                <w:bCs/>
                <w:color w:val="000000"/>
                <w:sz w:val="20"/>
                <w:lang w:val="en-US"/>
              </w:rPr>
            </w:pPr>
            <w:r w:rsidRPr="00746B32">
              <w:rPr>
                <w:rFonts w:cs="Arial"/>
                <w:b/>
                <w:bCs/>
                <w:color w:val="000000"/>
                <w:sz w:val="20"/>
                <w:lang w:val="en-US"/>
              </w:rPr>
              <w:t>(5 800 874)</w:t>
            </w: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b/>
                <w:bCs/>
                <w:color w:val="000000"/>
                <w:sz w:val="20"/>
                <w:lang w:val="ru-RU"/>
              </w:rPr>
            </w:pPr>
            <w:r w:rsidRPr="00746B32">
              <w:rPr>
                <w:rFonts w:cs="Arial"/>
                <w:b/>
                <w:bCs/>
                <w:color w:val="000000"/>
                <w:sz w:val="20"/>
                <w:lang w:val="ru-RU"/>
              </w:rPr>
              <w:t>(189 526)</w:t>
            </w:r>
          </w:p>
        </w:tc>
      </w:tr>
      <w:tr w:rsidR="003138D1" w:rsidRPr="00746B32" w:rsidTr="00BA7360">
        <w:trPr>
          <w:trHeight w:val="255"/>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46554E" w:rsidTr="00BA7360">
        <w:trPr>
          <w:trHeight w:val="90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b/>
                <w:bCs/>
                <w:color w:val="000000"/>
                <w:sz w:val="20"/>
                <w:lang w:val="ru-RU"/>
              </w:rPr>
            </w:pPr>
            <w:r w:rsidRPr="00746B32">
              <w:rPr>
                <w:rFonts w:cs="Arial"/>
                <w:b/>
                <w:bCs/>
                <w:color w:val="000000"/>
                <w:sz w:val="20"/>
                <w:lang w:val="ru-RU"/>
              </w:rPr>
              <w:t>Движение денежных средств от инвестиционной деятельности</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c>
          <w:tcPr>
            <w:tcW w:w="1109" w:type="pct"/>
            <w:tcBorders>
              <w:top w:val="nil"/>
              <w:left w:val="nil"/>
              <w:bottom w:val="nil"/>
              <w:right w:val="nil"/>
            </w:tcBorders>
            <w:shd w:val="clear" w:color="auto" w:fill="auto"/>
            <w:vAlign w:val="bottom"/>
            <w:hideMark/>
          </w:tcPr>
          <w:p w:rsidR="003138D1" w:rsidRPr="00746B32" w:rsidRDefault="003138D1" w:rsidP="00746B32">
            <w:pPr>
              <w:jc w:val="right"/>
              <w:rPr>
                <w:rFonts w:cs="Arial"/>
                <w:sz w:val="20"/>
                <w:lang w:val="ru-RU"/>
              </w:rPr>
            </w:pPr>
          </w:p>
        </w:tc>
      </w:tr>
      <w:tr w:rsidR="003138D1" w:rsidRPr="00B454C2" w:rsidTr="00BA7360">
        <w:trPr>
          <w:trHeight w:val="510"/>
        </w:trPr>
        <w:tc>
          <w:tcPr>
            <w:tcW w:w="2346" w:type="pct"/>
            <w:gridSpan w:val="2"/>
            <w:tcBorders>
              <w:top w:val="nil"/>
              <w:left w:val="nil"/>
              <w:bottom w:val="nil"/>
              <w:right w:val="nil"/>
            </w:tcBorders>
            <w:shd w:val="clear" w:color="auto" w:fill="auto"/>
            <w:vAlign w:val="bottom"/>
            <w:hideMark/>
          </w:tcPr>
          <w:p w:rsidR="003138D1" w:rsidRPr="00746B32" w:rsidRDefault="003138D1" w:rsidP="00746B32">
            <w:pPr>
              <w:rPr>
                <w:rFonts w:cs="Arial"/>
                <w:sz w:val="20"/>
                <w:lang w:val="ru-RU"/>
              </w:rPr>
            </w:pPr>
            <w:r w:rsidRPr="00746B32">
              <w:rPr>
                <w:rFonts w:cs="Arial"/>
                <w:sz w:val="20"/>
                <w:lang w:val="ru-RU"/>
              </w:rPr>
              <w:lastRenderedPageBreak/>
              <w:t>Приобретение основных средств</w:t>
            </w:r>
          </w:p>
        </w:tc>
        <w:tc>
          <w:tcPr>
            <w:tcW w:w="481" w:type="pct"/>
            <w:gridSpan w:val="2"/>
            <w:tcBorders>
              <w:top w:val="nil"/>
              <w:left w:val="nil"/>
              <w:bottom w:val="nil"/>
              <w:right w:val="nil"/>
            </w:tcBorders>
            <w:shd w:val="clear" w:color="auto" w:fill="auto"/>
            <w:noWrap/>
            <w:vAlign w:val="center"/>
            <w:hideMark/>
          </w:tcPr>
          <w:p w:rsidR="003138D1" w:rsidRPr="00746B32" w:rsidRDefault="003138D1" w:rsidP="00746B32">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746B32" w:rsidRDefault="00084D18" w:rsidP="00746B32">
            <w:pPr>
              <w:jc w:val="right"/>
              <w:rPr>
                <w:rFonts w:cs="Arial"/>
                <w:sz w:val="20"/>
                <w:lang w:val="en-US"/>
              </w:rPr>
            </w:pPr>
            <w:r w:rsidRPr="00746B32">
              <w:rPr>
                <w:rFonts w:cs="Arial"/>
                <w:sz w:val="20"/>
                <w:lang w:val="en-US"/>
              </w:rPr>
              <w:t>(1</w:t>
            </w:r>
            <w:r w:rsidR="003F252F" w:rsidRPr="00746B32">
              <w:rPr>
                <w:rFonts w:cs="Arial"/>
                <w:sz w:val="20"/>
                <w:lang w:val="en-US"/>
              </w:rPr>
              <w:t>5</w:t>
            </w:r>
            <w:r w:rsidRPr="00746B32">
              <w:rPr>
                <w:rFonts w:cs="Arial"/>
                <w:sz w:val="20"/>
                <w:lang w:val="en-US"/>
              </w:rPr>
              <w:t> </w:t>
            </w:r>
            <w:r w:rsidR="003F252F" w:rsidRPr="00746B32">
              <w:rPr>
                <w:rFonts w:cs="Arial"/>
                <w:sz w:val="20"/>
                <w:lang w:val="en-US"/>
              </w:rPr>
              <w:t>143</w:t>
            </w:r>
            <w:r w:rsidRPr="00746B32">
              <w:rPr>
                <w:rFonts w:cs="Arial"/>
                <w:sz w:val="20"/>
                <w:lang w:val="en-US"/>
              </w:rPr>
              <w:t>)</w:t>
            </w:r>
          </w:p>
        </w:tc>
        <w:tc>
          <w:tcPr>
            <w:tcW w:w="1109" w:type="pct"/>
            <w:tcBorders>
              <w:top w:val="nil"/>
              <w:left w:val="nil"/>
              <w:bottom w:val="nil"/>
              <w:right w:val="nil"/>
            </w:tcBorders>
            <w:shd w:val="clear" w:color="auto" w:fill="auto"/>
            <w:vAlign w:val="bottom"/>
            <w:hideMark/>
          </w:tcPr>
          <w:p w:rsidR="003138D1" w:rsidRPr="00B454C2" w:rsidRDefault="003138D1" w:rsidP="00746B32">
            <w:pPr>
              <w:jc w:val="right"/>
              <w:rPr>
                <w:rFonts w:cs="Arial"/>
                <w:sz w:val="20"/>
                <w:lang w:val="ru-RU"/>
              </w:rPr>
            </w:pPr>
            <w:r w:rsidRPr="00746B32">
              <w:rPr>
                <w:rFonts w:cs="Arial"/>
                <w:sz w:val="20"/>
                <w:lang w:val="ru-RU"/>
              </w:rPr>
              <w:t>(31 256)</w:t>
            </w:r>
          </w:p>
        </w:tc>
      </w:tr>
      <w:tr w:rsidR="003138D1" w:rsidRPr="00B454C2" w:rsidTr="00BA7360">
        <w:trPr>
          <w:trHeight w:val="765"/>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Приобретение инвестиционной собственности</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3F252F" w:rsidRDefault="003F252F" w:rsidP="00BA7360">
            <w:pPr>
              <w:jc w:val="right"/>
              <w:rPr>
                <w:rFonts w:cs="Arial"/>
                <w:sz w:val="20"/>
                <w:lang w:val="en-US"/>
              </w:rPr>
            </w:pPr>
            <w:r>
              <w:rPr>
                <w:rFonts w:cs="Arial"/>
                <w:sz w:val="20"/>
                <w:lang w:val="en-US"/>
              </w:rPr>
              <w:t>1 357</w:t>
            </w:r>
          </w:p>
        </w:tc>
        <w:tc>
          <w:tcPr>
            <w:tcW w:w="1109" w:type="pct"/>
            <w:tcBorders>
              <w:top w:val="nil"/>
              <w:left w:val="nil"/>
              <w:bottom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w:t>
            </w:r>
          </w:p>
        </w:tc>
      </w:tr>
      <w:tr w:rsidR="003138D1" w:rsidRPr="00B454C2" w:rsidTr="00BA7360">
        <w:trPr>
          <w:trHeight w:val="255"/>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Вложение в ценные бумаги</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146E05" w:rsidRDefault="00146E05" w:rsidP="00BA7360">
            <w:pPr>
              <w:jc w:val="right"/>
              <w:rPr>
                <w:rFonts w:cs="Arial"/>
                <w:sz w:val="20"/>
                <w:lang w:val="ru-RU"/>
              </w:rPr>
            </w:pPr>
            <w:r>
              <w:rPr>
                <w:rFonts w:cs="Arial"/>
                <w:sz w:val="20"/>
                <w:lang w:val="en-US"/>
              </w:rPr>
              <w:t> </w:t>
            </w:r>
            <w:r>
              <w:rPr>
                <w:rFonts w:cs="Arial"/>
                <w:sz w:val="20"/>
                <w:lang w:val="ru-RU"/>
              </w:rPr>
              <w:t>(49 070)</w:t>
            </w:r>
          </w:p>
        </w:tc>
        <w:tc>
          <w:tcPr>
            <w:tcW w:w="1109" w:type="pct"/>
            <w:tcBorders>
              <w:top w:val="nil"/>
              <w:left w:val="nil"/>
              <w:bottom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(66 091)</w:t>
            </w:r>
          </w:p>
        </w:tc>
      </w:tr>
      <w:tr w:rsidR="003138D1" w:rsidRPr="00B454C2" w:rsidTr="00BA7360">
        <w:trPr>
          <w:trHeight w:val="255"/>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Выбытие основных средств</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w:t>
            </w:r>
          </w:p>
        </w:tc>
        <w:tc>
          <w:tcPr>
            <w:tcW w:w="1109" w:type="pct"/>
            <w:tcBorders>
              <w:top w:val="nil"/>
              <w:left w:val="nil"/>
              <w:bottom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888</w:t>
            </w:r>
          </w:p>
        </w:tc>
      </w:tr>
      <w:tr w:rsidR="003138D1" w:rsidRPr="00B454C2" w:rsidTr="00C02CD7">
        <w:trPr>
          <w:trHeight w:val="510"/>
        </w:trPr>
        <w:tc>
          <w:tcPr>
            <w:tcW w:w="2346" w:type="pct"/>
            <w:gridSpan w:val="2"/>
            <w:tcBorders>
              <w:top w:val="nil"/>
              <w:left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Выбытие нематериальных активов</w:t>
            </w:r>
          </w:p>
        </w:tc>
        <w:tc>
          <w:tcPr>
            <w:tcW w:w="481" w:type="pct"/>
            <w:gridSpan w:val="2"/>
            <w:tcBorders>
              <w:top w:val="nil"/>
              <w:left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right w:val="nil"/>
            </w:tcBorders>
            <w:shd w:val="clear" w:color="auto" w:fill="auto"/>
            <w:vAlign w:val="bottom"/>
            <w:hideMark/>
          </w:tcPr>
          <w:p w:rsidR="003138D1" w:rsidRPr="00B454C2" w:rsidRDefault="00504505" w:rsidP="00BA7360">
            <w:pPr>
              <w:jc w:val="right"/>
              <w:rPr>
                <w:rFonts w:cs="Arial"/>
                <w:sz w:val="20"/>
                <w:lang w:val="ru-RU"/>
              </w:rPr>
            </w:pPr>
            <w:r w:rsidRPr="00B454C2">
              <w:rPr>
                <w:rFonts w:cs="Arial"/>
                <w:sz w:val="20"/>
                <w:lang w:val="ru-RU"/>
              </w:rPr>
              <w:t>-</w:t>
            </w:r>
          </w:p>
        </w:tc>
        <w:tc>
          <w:tcPr>
            <w:tcW w:w="1109" w:type="pct"/>
            <w:tcBorders>
              <w:top w:val="nil"/>
              <w:left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32 779</w:t>
            </w:r>
          </w:p>
        </w:tc>
      </w:tr>
      <w:tr w:rsidR="003138D1" w:rsidRPr="00B454C2" w:rsidTr="00C02CD7">
        <w:trPr>
          <w:trHeight w:val="255"/>
        </w:trPr>
        <w:tc>
          <w:tcPr>
            <w:tcW w:w="2346" w:type="pct"/>
            <w:gridSpan w:val="2"/>
            <w:tcBorders>
              <w:top w:val="nil"/>
              <w:left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Полученные дивиденды</w:t>
            </w:r>
          </w:p>
        </w:tc>
        <w:tc>
          <w:tcPr>
            <w:tcW w:w="481" w:type="pct"/>
            <w:gridSpan w:val="2"/>
            <w:tcBorders>
              <w:top w:val="nil"/>
              <w:left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3 964</w:t>
            </w:r>
          </w:p>
        </w:tc>
        <w:tc>
          <w:tcPr>
            <w:tcW w:w="1109" w:type="pct"/>
            <w:tcBorders>
              <w:top w:val="nil"/>
              <w:left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w:t>
            </w:r>
          </w:p>
        </w:tc>
      </w:tr>
      <w:tr w:rsidR="003138D1" w:rsidRPr="00B454C2" w:rsidTr="00C02CD7">
        <w:trPr>
          <w:trHeight w:val="1200"/>
        </w:trPr>
        <w:tc>
          <w:tcPr>
            <w:tcW w:w="2346" w:type="pct"/>
            <w:gridSpan w:val="2"/>
            <w:shd w:val="clear" w:color="auto" w:fill="auto"/>
            <w:vAlign w:val="bottom"/>
            <w:hideMark/>
          </w:tcPr>
          <w:p w:rsidR="003138D1" w:rsidRPr="00B454C2" w:rsidRDefault="003138D1" w:rsidP="003138D1">
            <w:pPr>
              <w:rPr>
                <w:rFonts w:cs="Arial"/>
                <w:b/>
                <w:bCs/>
                <w:color w:val="000000"/>
                <w:sz w:val="20"/>
                <w:lang w:val="ru-RU"/>
              </w:rPr>
            </w:pPr>
            <w:r w:rsidRPr="00B454C2">
              <w:rPr>
                <w:rFonts w:cs="Arial"/>
                <w:b/>
                <w:bCs/>
                <w:color w:val="000000"/>
                <w:sz w:val="20"/>
                <w:lang w:val="ru-RU"/>
              </w:rPr>
              <w:t>Чистые денежные средства, использованные в инвестиционной деятельности</w:t>
            </w:r>
          </w:p>
        </w:tc>
        <w:tc>
          <w:tcPr>
            <w:tcW w:w="481" w:type="pct"/>
            <w:gridSpan w:val="2"/>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shd w:val="clear" w:color="auto" w:fill="auto"/>
            <w:vAlign w:val="bottom"/>
            <w:hideMark/>
          </w:tcPr>
          <w:p w:rsidR="003138D1" w:rsidRPr="00146E05" w:rsidRDefault="00146E05" w:rsidP="00BA7360">
            <w:pPr>
              <w:jc w:val="right"/>
              <w:rPr>
                <w:rFonts w:cs="Arial"/>
                <w:b/>
                <w:bCs/>
                <w:color w:val="000000"/>
                <w:sz w:val="20"/>
                <w:lang w:val="ru-RU"/>
              </w:rPr>
            </w:pPr>
            <w:r>
              <w:rPr>
                <w:rFonts w:cs="Arial"/>
                <w:b/>
                <w:bCs/>
                <w:color w:val="000000"/>
                <w:sz w:val="20"/>
                <w:lang w:val="en-US"/>
              </w:rPr>
              <w:t> </w:t>
            </w:r>
            <w:r>
              <w:rPr>
                <w:rFonts w:cs="Arial"/>
                <w:b/>
                <w:bCs/>
                <w:color w:val="000000"/>
                <w:sz w:val="20"/>
                <w:lang w:val="ru-RU"/>
              </w:rPr>
              <w:t>(58 892)</w:t>
            </w:r>
          </w:p>
        </w:tc>
        <w:tc>
          <w:tcPr>
            <w:tcW w:w="1109" w:type="pct"/>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(63 680)</w:t>
            </w:r>
          </w:p>
        </w:tc>
      </w:tr>
      <w:tr w:rsidR="003138D1" w:rsidRPr="00B454C2" w:rsidTr="00C02CD7">
        <w:trPr>
          <w:trHeight w:val="255"/>
        </w:trPr>
        <w:tc>
          <w:tcPr>
            <w:tcW w:w="2346" w:type="pct"/>
            <w:gridSpan w:val="2"/>
            <w:shd w:val="clear" w:color="auto" w:fill="auto"/>
            <w:vAlign w:val="bottom"/>
            <w:hideMark/>
          </w:tcPr>
          <w:p w:rsidR="003138D1" w:rsidRPr="00B454C2" w:rsidRDefault="003138D1" w:rsidP="003138D1">
            <w:pPr>
              <w:rPr>
                <w:rFonts w:cs="Arial"/>
                <w:sz w:val="20"/>
                <w:lang w:val="ru-RU"/>
              </w:rPr>
            </w:pPr>
          </w:p>
        </w:tc>
        <w:tc>
          <w:tcPr>
            <w:tcW w:w="481" w:type="pct"/>
            <w:gridSpan w:val="2"/>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shd w:val="clear" w:color="auto" w:fill="auto"/>
            <w:vAlign w:val="bottom"/>
            <w:hideMark/>
          </w:tcPr>
          <w:p w:rsidR="003138D1" w:rsidRPr="00B454C2" w:rsidRDefault="003138D1" w:rsidP="00BA7360">
            <w:pPr>
              <w:jc w:val="right"/>
              <w:rPr>
                <w:rFonts w:cs="Arial"/>
                <w:sz w:val="20"/>
                <w:lang w:val="ru-RU"/>
              </w:rPr>
            </w:pPr>
          </w:p>
        </w:tc>
        <w:tc>
          <w:tcPr>
            <w:tcW w:w="1109" w:type="pct"/>
            <w:shd w:val="clear" w:color="auto" w:fill="auto"/>
            <w:vAlign w:val="bottom"/>
            <w:hideMark/>
          </w:tcPr>
          <w:p w:rsidR="003138D1" w:rsidRPr="00B454C2" w:rsidRDefault="003138D1" w:rsidP="00BA7360">
            <w:pPr>
              <w:jc w:val="right"/>
              <w:rPr>
                <w:rFonts w:cs="Arial"/>
                <w:sz w:val="20"/>
                <w:lang w:val="ru-RU"/>
              </w:rPr>
            </w:pPr>
          </w:p>
        </w:tc>
      </w:tr>
      <w:tr w:rsidR="003138D1" w:rsidRPr="0046554E" w:rsidTr="00C02CD7">
        <w:trPr>
          <w:trHeight w:val="900"/>
        </w:trPr>
        <w:tc>
          <w:tcPr>
            <w:tcW w:w="2346" w:type="pct"/>
            <w:gridSpan w:val="2"/>
            <w:shd w:val="clear" w:color="auto" w:fill="auto"/>
            <w:vAlign w:val="bottom"/>
            <w:hideMark/>
          </w:tcPr>
          <w:p w:rsidR="003138D1" w:rsidRPr="00B454C2" w:rsidRDefault="003138D1" w:rsidP="003138D1">
            <w:pPr>
              <w:rPr>
                <w:rFonts w:cs="Arial"/>
                <w:b/>
                <w:bCs/>
                <w:color w:val="000000"/>
                <w:sz w:val="20"/>
                <w:lang w:val="ru-RU"/>
              </w:rPr>
            </w:pPr>
            <w:r w:rsidRPr="00B454C2">
              <w:rPr>
                <w:rFonts w:cs="Arial"/>
                <w:b/>
                <w:bCs/>
                <w:color w:val="000000"/>
                <w:sz w:val="20"/>
                <w:lang w:val="ru-RU"/>
              </w:rPr>
              <w:t>Движение денежных средств от финансовой деятельности</w:t>
            </w:r>
          </w:p>
        </w:tc>
        <w:tc>
          <w:tcPr>
            <w:tcW w:w="481" w:type="pct"/>
            <w:gridSpan w:val="2"/>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shd w:val="clear" w:color="auto" w:fill="auto"/>
            <w:vAlign w:val="bottom"/>
            <w:hideMark/>
          </w:tcPr>
          <w:p w:rsidR="003138D1" w:rsidRPr="00B454C2" w:rsidRDefault="003138D1" w:rsidP="00BA7360">
            <w:pPr>
              <w:jc w:val="right"/>
              <w:rPr>
                <w:rFonts w:cs="Arial"/>
                <w:sz w:val="20"/>
                <w:lang w:val="ru-RU"/>
              </w:rPr>
            </w:pPr>
          </w:p>
        </w:tc>
        <w:tc>
          <w:tcPr>
            <w:tcW w:w="1109" w:type="pct"/>
            <w:shd w:val="clear" w:color="auto" w:fill="auto"/>
            <w:vAlign w:val="bottom"/>
            <w:hideMark/>
          </w:tcPr>
          <w:p w:rsidR="003138D1" w:rsidRPr="00B454C2" w:rsidRDefault="003138D1" w:rsidP="00BA7360">
            <w:pPr>
              <w:jc w:val="right"/>
              <w:rPr>
                <w:rFonts w:cs="Arial"/>
                <w:sz w:val="20"/>
                <w:lang w:val="ru-RU"/>
              </w:rPr>
            </w:pPr>
          </w:p>
        </w:tc>
      </w:tr>
      <w:tr w:rsidR="003138D1" w:rsidRPr="00B454C2" w:rsidTr="00C02CD7">
        <w:trPr>
          <w:trHeight w:val="510"/>
        </w:trPr>
        <w:tc>
          <w:tcPr>
            <w:tcW w:w="2346" w:type="pct"/>
            <w:gridSpan w:val="2"/>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Поступление от эмиссии акций</w:t>
            </w:r>
          </w:p>
        </w:tc>
        <w:tc>
          <w:tcPr>
            <w:tcW w:w="481" w:type="pct"/>
            <w:gridSpan w:val="2"/>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w:t>
            </w:r>
          </w:p>
        </w:tc>
        <w:tc>
          <w:tcPr>
            <w:tcW w:w="1109" w:type="pct"/>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392 000</w:t>
            </w:r>
          </w:p>
        </w:tc>
      </w:tr>
      <w:tr w:rsidR="003138D1" w:rsidRPr="00B454C2" w:rsidTr="00C02CD7">
        <w:trPr>
          <w:trHeight w:val="510"/>
        </w:trPr>
        <w:tc>
          <w:tcPr>
            <w:tcW w:w="2346" w:type="pct"/>
            <w:gridSpan w:val="2"/>
            <w:tcBorders>
              <w:left w:val="nil"/>
              <w:bottom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Полученные субординированные займы</w:t>
            </w:r>
          </w:p>
        </w:tc>
        <w:tc>
          <w:tcPr>
            <w:tcW w:w="481" w:type="pct"/>
            <w:gridSpan w:val="2"/>
            <w:tcBorders>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left w:val="nil"/>
              <w:bottom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1 150 202</w:t>
            </w:r>
          </w:p>
        </w:tc>
        <w:tc>
          <w:tcPr>
            <w:tcW w:w="1109" w:type="pct"/>
            <w:tcBorders>
              <w:left w:val="nil"/>
              <w:bottom w:val="nil"/>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71 121</w:t>
            </w:r>
          </w:p>
        </w:tc>
      </w:tr>
      <w:tr w:rsidR="003138D1" w:rsidRPr="00B454C2" w:rsidTr="00BA7360">
        <w:trPr>
          <w:trHeight w:val="255"/>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Уплаченные дивиденды</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r w:rsidRPr="00B454C2">
              <w:rPr>
                <w:rFonts w:cs="Arial"/>
                <w:sz w:val="20"/>
                <w:lang w:val="ru-RU"/>
              </w:rPr>
              <w:t>29</w:t>
            </w:r>
          </w:p>
        </w:tc>
        <w:tc>
          <w:tcPr>
            <w:tcW w:w="1064" w:type="pct"/>
            <w:gridSpan w:val="2"/>
            <w:tcBorders>
              <w:top w:val="nil"/>
              <w:left w:val="nil"/>
              <w:bottom w:val="single" w:sz="4" w:space="0" w:color="auto"/>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(7 300)</w:t>
            </w:r>
          </w:p>
        </w:tc>
        <w:tc>
          <w:tcPr>
            <w:tcW w:w="1109" w:type="pct"/>
            <w:tcBorders>
              <w:top w:val="nil"/>
              <w:left w:val="nil"/>
              <w:bottom w:val="single" w:sz="4" w:space="0" w:color="auto"/>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(98 122)</w:t>
            </w:r>
          </w:p>
        </w:tc>
      </w:tr>
      <w:tr w:rsidR="003138D1" w:rsidRPr="00B454C2" w:rsidTr="00BA7360">
        <w:trPr>
          <w:trHeight w:val="900"/>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b/>
                <w:bCs/>
                <w:color w:val="000000"/>
                <w:sz w:val="20"/>
                <w:lang w:val="ru-RU"/>
              </w:rPr>
            </w:pPr>
            <w:r w:rsidRPr="00B454C2">
              <w:rPr>
                <w:rFonts w:cs="Arial"/>
                <w:b/>
                <w:bCs/>
                <w:color w:val="000000"/>
                <w:sz w:val="20"/>
                <w:lang w:val="ru-RU"/>
              </w:rPr>
              <w:t>Чистые денежные средства, полученные от финансовой деятельности</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1 142 902</w:t>
            </w:r>
          </w:p>
        </w:tc>
        <w:tc>
          <w:tcPr>
            <w:tcW w:w="1109" w:type="pct"/>
            <w:tcBorders>
              <w:top w:val="nil"/>
              <w:left w:val="nil"/>
              <w:bottom w:val="nil"/>
              <w:right w:val="nil"/>
            </w:tcBorders>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364 999</w:t>
            </w:r>
          </w:p>
        </w:tc>
      </w:tr>
      <w:tr w:rsidR="003138D1" w:rsidRPr="00B454C2" w:rsidTr="00BA7360">
        <w:trPr>
          <w:trHeight w:val="1020"/>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sz w:val="20"/>
                <w:lang w:val="ru-RU"/>
              </w:rPr>
            </w:pPr>
            <w:r w:rsidRPr="00B454C2">
              <w:rPr>
                <w:rFonts w:cs="Arial"/>
                <w:sz w:val="20"/>
                <w:lang w:val="ru-RU"/>
              </w:rPr>
              <w:t>Влияние изменения обменных курсов на денежные средства и их эквиваленты</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single" w:sz="4" w:space="0" w:color="auto"/>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63 974</w:t>
            </w:r>
          </w:p>
        </w:tc>
        <w:tc>
          <w:tcPr>
            <w:tcW w:w="1109" w:type="pct"/>
            <w:tcBorders>
              <w:top w:val="nil"/>
              <w:left w:val="nil"/>
              <w:bottom w:val="single" w:sz="4" w:space="0" w:color="auto"/>
              <w:right w:val="nil"/>
            </w:tcBorders>
            <w:shd w:val="clear" w:color="auto" w:fill="auto"/>
            <w:vAlign w:val="bottom"/>
            <w:hideMark/>
          </w:tcPr>
          <w:p w:rsidR="003138D1" w:rsidRPr="00B454C2" w:rsidRDefault="003138D1" w:rsidP="00BA7360">
            <w:pPr>
              <w:jc w:val="right"/>
              <w:rPr>
                <w:rFonts w:cs="Arial"/>
                <w:sz w:val="20"/>
                <w:lang w:val="ru-RU"/>
              </w:rPr>
            </w:pPr>
            <w:r w:rsidRPr="00B454C2">
              <w:rPr>
                <w:rFonts w:cs="Arial"/>
                <w:sz w:val="20"/>
                <w:lang w:val="ru-RU"/>
              </w:rPr>
              <w:t>(3 006)</w:t>
            </w:r>
          </w:p>
        </w:tc>
      </w:tr>
      <w:tr w:rsidR="003138D1" w:rsidRPr="00B454C2" w:rsidTr="00BA7360">
        <w:trPr>
          <w:trHeight w:val="900"/>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b/>
                <w:bCs/>
                <w:color w:val="000000"/>
                <w:sz w:val="20"/>
                <w:lang w:val="ru-RU"/>
              </w:rPr>
            </w:pPr>
            <w:r w:rsidRPr="00B454C2">
              <w:rPr>
                <w:rFonts w:cs="Arial"/>
                <w:b/>
                <w:bCs/>
                <w:color w:val="000000"/>
                <w:sz w:val="20"/>
                <w:lang w:val="ru-RU"/>
              </w:rPr>
              <w:t>Чистые увеличение денежных средств и их эквивалентов</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nil"/>
              <w:right w:val="nil"/>
            </w:tcBorders>
            <w:shd w:val="clear" w:color="auto" w:fill="auto"/>
            <w:vAlign w:val="bottom"/>
            <w:hideMark/>
          </w:tcPr>
          <w:p w:rsidR="003138D1" w:rsidRPr="00084D18" w:rsidRDefault="00084D18" w:rsidP="00BA7360">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color w:val="000000"/>
                <w:sz w:val="20"/>
                <w:lang w:val="en-US"/>
              </w:rPr>
            </w:pPr>
            <w:r>
              <w:rPr>
                <w:rFonts w:cs="Arial"/>
                <w:b/>
                <w:bCs/>
                <w:color w:val="000000"/>
                <w:sz w:val="20"/>
                <w:lang w:val="en-US"/>
              </w:rPr>
              <w:t>(4 652 890)</w:t>
            </w:r>
          </w:p>
        </w:tc>
        <w:tc>
          <w:tcPr>
            <w:tcW w:w="1109" w:type="pct"/>
            <w:tcBorders>
              <w:top w:val="nil"/>
              <w:left w:val="nil"/>
              <w:bottom w:val="nil"/>
              <w:right w:val="nil"/>
            </w:tcBorders>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108 787</w:t>
            </w:r>
          </w:p>
        </w:tc>
      </w:tr>
      <w:tr w:rsidR="003138D1" w:rsidRPr="00B454C2" w:rsidTr="00BA7360">
        <w:trPr>
          <w:trHeight w:val="900"/>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b/>
                <w:bCs/>
                <w:color w:val="000000"/>
                <w:sz w:val="20"/>
                <w:lang w:val="ru-RU"/>
              </w:rPr>
            </w:pPr>
            <w:r w:rsidRPr="00B454C2">
              <w:rPr>
                <w:rFonts w:cs="Arial"/>
                <w:b/>
                <w:bCs/>
                <w:color w:val="000000"/>
                <w:sz w:val="20"/>
                <w:lang w:val="ru-RU"/>
              </w:rPr>
              <w:t>Денежные средства и их эквиваленты на начало года</w:t>
            </w:r>
          </w:p>
        </w:tc>
        <w:tc>
          <w:tcPr>
            <w:tcW w:w="481" w:type="pct"/>
            <w:gridSpan w:val="2"/>
            <w:tcBorders>
              <w:top w:val="nil"/>
              <w:left w:val="nil"/>
              <w:bottom w:val="nil"/>
              <w:right w:val="nil"/>
            </w:tcBorders>
            <w:shd w:val="clear" w:color="auto" w:fill="auto"/>
            <w:noWrap/>
            <w:vAlign w:val="center"/>
            <w:hideMark/>
          </w:tcPr>
          <w:p w:rsidR="003138D1" w:rsidRPr="00B454C2" w:rsidRDefault="003138D1" w:rsidP="003138D1">
            <w:pPr>
              <w:jc w:val="center"/>
              <w:rPr>
                <w:rFonts w:cs="Arial"/>
                <w:sz w:val="20"/>
                <w:lang w:val="ru-RU"/>
              </w:rPr>
            </w:pPr>
          </w:p>
        </w:tc>
        <w:tc>
          <w:tcPr>
            <w:tcW w:w="1064" w:type="pct"/>
            <w:gridSpan w:val="2"/>
            <w:tcBorders>
              <w:top w:val="nil"/>
              <w:left w:val="nil"/>
              <w:bottom w:val="single" w:sz="4" w:space="0" w:color="auto"/>
              <w:right w:val="nil"/>
            </w:tcBorders>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5 378 076</w:t>
            </w:r>
          </w:p>
        </w:tc>
        <w:tc>
          <w:tcPr>
            <w:tcW w:w="1109" w:type="pct"/>
            <w:tcBorders>
              <w:top w:val="nil"/>
              <w:left w:val="nil"/>
              <w:bottom w:val="single" w:sz="4" w:space="0" w:color="auto"/>
              <w:right w:val="nil"/>
            </w:tcBorders>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5 269 289</w:t>
            </w:r>
          </w:p>
        </w:tc>
      </w:tr>
      <w:tr w:rsidR="003138D1" w:rsidRPr="00B454C2" w:rsidTr="00BA7360">
        <w:trPr>
          <w:trHeight w:val="615"/>
        </w:trPr>
        <w:tc>
          <w:tcPr>
            <w:tcW w:w="2346" w:type="pct"/>
            <w:gridSpan w:val="2"/>
            <w:tcBorders>
              <w:top w:val="nil"/>
              <w:left w:val="nil"/>
              <w:bottom w:val="nil"/>
              <w:right w:val="nil"/>
            </w:tcBorders>
            <w:shd w:val="clear" w:color="auto" w:fill="auto"/>
            <w:vAlign w:val="bottom"/>
            <w:hideMark/>
          </w:tcPr>
          <w:p w:rsidR="003138D1" w:rsidRPr="00B454C2" w:rsidRDefault="003138D1" w:rsidP="003138D1">
            <w:pPr>
              <w:rPr>
                <w:rFonts w:cs="Arial"/>
                <w:b/>
                <w:bCs/>
                <w:color w:val="000000"/>
                <w:sz w:val="20"/>
                <w:lang w:val="ru-RU"/>
              </w:rPr>
            </w:pPr>
            <w:r w:rsidRPr="00B454C2">
              <w:rPr>
                <w:rFonts w:cs="Arial"/>
                <w:b/>
                <w:bCs/>
                <w:color w:val="000000"/>
                <w:sz w:val="20"/>
                <w:lang w:val="ru-RU"/>
              </w:rPr>
              <w:t>Денежные средства и их эквиваленты на конец года</w:t>
            </w:r>
          </w:p>
        </w:tc>
        <w:tc>
          <w:tcPr>
            <w:tcW w:w="481" w:type="pct"/>
            <w:gridSpan w:val="2"/>
            <w:tcBorders>
              <w:top w:val="nil"/>
              <w:left w:val="nil"/>
              <w:bottom w:val="nil"/>
              <w:right w:val="nil"/>
            </w:tcBorders>
            <w:shd w:val="clear" w:color="auto" w:fill="auto"/>
            <w:noWrap/>
            <w:vAlign w:val="bottom"/>
            <w:hideMark/>
          </w:tcPr>
          <w:p w:rsidR="003138D1" w:rsidRPr="00B454C2" w:rsidRDefault="003138D1" w:rsidP="00655C58">
            <w:pPr>
              <w:jc w:val="center"/>
              <w:rPr>
                <w:rFonts w:cs="Arial"/>
                <w:sz w:val="20"/>
                <w:lang w:val="ru-RU"/>
              </w:rPr>
            </w:pPr>
            <w:r w:rsidRPr="00B454C2">
              <w:rPr>
                <w:rFonts w:cs="Arial"/>
                <w:sz w:val="20"/>
                <w:lang w:val="ru-RU"/>
              </w:rPr>
              <w:t>5</w:t>
            </w:r>
          </w:p>
        </w:tc>
        <w:tc>
          <w:tcPr>
            <w:tcW w:w="1064" w:type="pct"/>
            <w:gridSpan w:val="2"/>
            <w:tcBorders>
              <w:top w:val="nil"/>
              <w:left w:val="nil"/>
              <w:bottom w:val="double" w:sz="6" w:space="0" w:color="auto"/>
              <w:right w:val="nil"/>
            </w:tcBorders>
            <w:shd w:val="clear" w:color="auto" w:fill="auto"/>
            <w:vAlign w:val="bottom"/>
            <w:hideMark/>
          </w:tcPr>
          <w:p w:rsidR="003138D1" w:rsidRPr="00084D18" w:rsidRDefault="00084D18" w:rsidP="00BA7360">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color w:val="000000"/>
                <w:sz w:val="20"/>
                <w:lang w:val="en-US"/>
              </w:rPr>
            </w:pPr>
            <w:r>
              <w:rPr>
                <w:rFonts w:cs="Arial"/>
                <w:b/>
                <w:bCs/>
                <w:color w:val="000000"/>
                <w:sz w:val="20"/>
                <w:lang w:val="en-US"/>
              </w:rPr>
              <w:t xml:space="preserve"> 725 186</w:t>
            </w:r>
          </w:p>
        </w:tc>
        <w:tc>
          <w:tcPr>
            <w:tcW w:w="1109" w:type="pct"/>
            <w:tcBorders>
              <w:top w:val="nil"/>
              <w:left w:val="nil"/>
              <w:bottom w:val="double" w:sz="6" w:space="0" w:color="auto"/>
              <w:right w:val="nil"/>
            </w:tcBorders>
            <w:shd w:val="clear" w:color="auto" w:fill="auto"/>
            <w:vAlign w:val="bottom"/>
            <w:hideMark/>
          </w:tcPr>
          <w:p w:rsidR="003138D1" w:rsidRPr="00B454C2" w:rsidRDefault="003138D1" w:rsidP="00BA7360">
            <w:pPr>
              <w:jc w:val="right"/>
              <w:rPr>
                <w:rFonts w:cs="Arial"/>
                <w:b/>
                <w:bCs/>
                <w:color w:val="000000"/>
                <w:sz w:val="20"/>
                <w:lang w:val="ru-RU"/>
              </w:rPr>
            </w:pPr>
            <w:r w:rsidRPr="00B454C2">
              <w:rPr>
                <w:rFonts w:cs="Arial"/>
                <w:b/>
                <w:bCs/>
                <w:color w:val="000000"/>
                <w:sz w:val="20"/>
                <w:lang w:val="ru-RU"/>
              </w:rPr>
              <w:t>5 378 076</w:t>
            </w:r>
          </w:p>
        </w:tc>
      </w:tr>
    </w:tbl>
    <w:p w:rsidR="00181441" w:rsidRDefault="00181441" w:rsidP="00137009">
      <w:pPr>
        <w:rPr>
          <w:rFonts w:cs="Arial"/>
          <w:sz w:val="20"/>
          <w:highlight w:val="yellow"/>
          <w:lang w:val="ru-RU"/>
        </w:rPr>
      </w:pPr>
    </w:p>
    <w:p w:rsidR="000C1725" w:rsidRDefault="000C1725" w:rsidP="000C1725">
      <w:pPr>
        <w:jc w:val="both"/>
        <w:rPr>
          <w:rFonts w:cs="Arial"/>
          <w:color w:val="000000"/>
          <w:sz w:val="20"/>
          <w:lang w:val="ru-RU"/>
        </w:rPr>
      </w:pPr>
    </w:p>
    <w:p w:rsidR="000C1725" w:rsidRDefault="000C1725" w:rsidP="000C1725">
      <w:pPr>
        <w:jc w:val="both"/>
        <w:rPr>
          <w:rFonts w:cs="Arial"/>
          <w:color w:val="000000"/>
          <w:sz w:val="20"/>
          <w:lang w:val="ru-RU"/>
        </w:rPr>
      </w:pPr>
    </w:p>
    <w:p w:rsidR="000C1725" w:rsidRPr="000C1725" w:rsidRDefault="000C1725" w:rsidP="000C1725">
      <w:pPr>
        <w:jc w:val="both"/>
        <w:rPr>
          <w:rFonts w:cs="Arial"/>
          <w:color w:val="000000"/>
          <w:sz w:val="20"/>
          <w:lang w:val="ru-RU"/>
        </w:rPr>
      </w:pPr>
      <w:r w:rsidRPr="000C1725">
        <w:rPr>
          <w:rFonts w:cs="Arial"/>
          <w:color w:val="000000"/>
          <w:sz w:val="20"/>
          <w:lang w:val="ru-RU"/>
        </w:rPr>
        <w:t>Данная финансовая отчетность подготовлена с учетом имеющихся в Банке «Таврический» (ОАО) документов и всех известных должностным лицам Банка «Таврический» (ОАО) фактов (обстоятельств) на дату подписания финансовой отчетности, в том числе с учетом Плана финансового оздоровления Санкт-Петербургского акционерного коммерческого банка «Таврический» (открытое акционерное общество).</w:t>
      </w:r>
    </w:p>
    <w:p w:rsidR="000C1725" w:rsidRPr="000C1725" w:rsidRDefault="000C1725" w:rsidP="000C1725">
      <w:pPr>
        <w:jc w:val="both"/>
        <w:rPr>
          <w:rFonts w:cs="Arial"/>
          <w:color w:val="000000"/>
          <w:sz w:val="20"/>
          <w:lang w:val="ru-RU"/>
        </w:rPr>
      </w:pPr>
    </w:p>
    <w:p w:rsidR="000C1725" w:rsidRPr="000C1725" w:rsidRDefault="000C1725" w:rsidP="000C1725">
      <w:pPr>
        <w:pStyle w:val="afe"/>
        <w:jc w:val="both"/>
        <w:rPr>
          <w:rFonts w:ascii="Arial" w:eastAsiaTheme="minorHAnsi" w:hAnsi="Arial" w:cs="Arial"/>
          <w:color w:val="000000"/>
          <w:sz w:val="20"/>
          <w:szCs w:val="20"/>
          <w:lang w:eastAsia="en-US"/>
        </w:rPr>
      </w:pPr>
      <w:r w:rsidRPr="000C1725">
        <w:rPr>
          <w:rFonts w:ascii="Arial" w:eastAsiaTheme="minorHAnsi" w:hAnsi="Arial" w:cs="Arial"/>
          <w:color w:val="000000"/>
          <w:sz w:val="20"/>
          <w:szCs w:val="20"/>
          <w:lang w:eastAsia="en-US"/>
        </w:rPr>
        <w:t>Должностным лицам Банка «Таврический» (ОАО) не известны иные действия лиц, осуществлявших руководство Банком ранее, которые могли бы привести к искажению бухгалтерской отчетности</w:t>
      </w:r>
      <w:r>
        <w:rPr>
          <w:rFonts w:ascii="Arial" w:eastAsiaTheme="minorHAnsi" w:hAnsi="Arial" w:cs="Arial"/>
          <w:color w:val="000000"/>
          <w:sz w:val="20"/>
          <w:szCs w:val="20"/>
          <w:lang w:eastAsia="en-US"/>
        </w:rPr>
        <w:t xml:space="preserve"> и</w:t>
      </w:r>
      <w:r w:rsidRPr="000C1725">
        <w:rPr>
          <w:rFonts w:ascii="Arial" w:eastAsiaTheme="minorHAnsi" w:hAnsi="Arial" w:cs="Arial"/>
          <w:color w:val="000000"/>
          <w:sz w:val="20"/>
          <w:szCs w:val="20"/>
          <w:lang w:eastAsia="en-US"/>
        </w:rPr>
        <w:t xml:space="preserve"> сведения о  которых не учтены при составлении </w:t>
      </w:r>
      <w:r>
        <w:rPr>
          <w:rFonts w:ascii="Arial" w:eastAsiaTheme="minorHAnsi" w:hAnsi="Arial" w:cs="Arial"/>
          <w:color w:val="000000"/>
          <w:sz w:val="20"/>
          <w:szCs w:val="20"/>
          <w:lang w:eastAsia="en-US"/>
        </w:rPr>
        <w:t xml:space="preserve">данной финансовой </w:t>
      </w:r>
      <w:r w:rsidRPr="000C1725">
        <w:rPr>
          <w:rFonts w:ascii="Arial" w:eastAsiaTheme="minorHAnsi" w:hAnsi="Arial" w:cs="Arial"/>
          <w:color w:val="000000"/>
          <w:sz w:val="20"/>
          <w:szCs w:val="20"/>
          <w:lang w:eastAsia="en-US"/>
        </w:rPr>
        <w:t xml:space="preserve">отчетности. </w:t>
      </w:r>
    </w:p>
    <w:p w:rsidR="000C1725" w:rsidRPr="000C1725" w:rsidRDefault="000C1725" w:rsidP="000C1725">
      <w:pPr>
        <w:pStyle w:val="afe"/>
        <w:jc w:val="both"/>
        <w:rPr>
          <w:rFonts w:ascii="Arial" w:eastAsiaTheme="minorHAnsi" w:hAnsi="Arial" w:cs="Arial"/>
          <w:color w:val="000000"/>
          <w:sz w:val="20"/>
          <w:szCs w:val="20"/>
          <w:lang w:eastAsia="en-US"/>
        </w:rPr>
      </w:pPr>
    </w:p>
    <w:p w:rsidR="000C1725" w:rsidRPr="000C1725" w:rsidRDefault="000C1725" w:rsidP="000C1725">
      <w:pPr>
        <w:pStyle w:val="afe"/>
        <w:jc w:val="both"/>
        <w:rPr>
          <w:rFonts w:ascii="Arial" w:hAnsi="Arial" w:cs="Arial"/>
          <w:color w:val="000000"/>
          <w:sz w:val="18"/>
          <w:szCs w:val="18"/>
        </w:rPr>
      </w:pPr>
      <w:r w:rsidRPr="000C1725">
        <w:rPr>
          <w:rFonts w:ascii="Arial" w:hAnsi="Arial" w:cs="Arial"/>
          <w:color w:val="000000"/>
          <w:sz w:val="20"/>
          <w:szCs w:val="20"/>
        </w:rPr>
        <w:t>Председатель Правления Банка «Таврический» (ОАО) Филипьев А.Н. приступил к исполнению должностных обязанностей 30 июня 2015 года.</w:t>
      </w:r>
    </w:p>
    <w:p w:rsidR="000C1725" w:rsidRPr="000C1725" w:rsidRDefault="000C1725" w:rsidP="000C1725">
      <w:pPr>
        <w:tabs>
          <w:tab w:val="left" w:pos="5387"/>
        </w:tabs>
        <w:rPr>
          <w:rFonts w:cs="Arial"/>
          <w:sz w:val="20"/>
          <w:lang w:val="ru-RU"/>
        </w:rPr>
      </w:pPr>
    </w:p>
    <w:p w:rsidR="000C1725" w:rsidRPr="000C1725" w:rsidRDefault="000C1725" w:rsidP="000C1725">
      <w:pPr>
        <w:tabs>
          <w:tab w:val="left" w:pos="5387"/>
        </w:tabs>
        <w:spacing w:line="228" w:lineRule="auto"/>
        <w:rPr>
          <w:rFonts w:cs="Arial"/>
          <w:color w:val="000000"/>
          <w:sz w:val="20"/>
          <w:lang w:val="ru-RU"/>
        </w:rPr>
      </w:pPr>
    </w:p>
    <w:p w:rsidR="000C1725" w:rsidRPr="000C1725" w:rsidRDefault="000C1725" w:rsidP="000C1725">
      <w:pPr>
        <w:tabs>
          <w:tab w:val="left" w:pos="5387"/>
        </w:tabs>
        <w:spacing w:line="228" w:lineRule="auto"/>
        <w:rPr>
          <w:rFonts w:cs="Arial"/>
          <w:sz w:val="20"/>
          <w:lang w:val="ru-RU"/>
        </w:rPr>
      </w:pPr>
      <w:r w:rsidRPr="000C1725">
        <w:rPr>
          <w:rFonts w:cs="Arial"/>
          <w:color w:val="000000"/>
          <w:sz w:val="20"/>
          <w:lang w:val="ru-RU"/>
        </w:rPr>
        <w:t>Подписано и разрешено к выпуску от имени Правления Банка.</w:t>
      </w:r>
    </w:p>
    <w:p w:rsidR="000C1725" w:rsidRPr="00746B32" w:rsidRDefault="000C1725" w:rsidP="000C1725">
      <w:pPr>
        <w:tabs>
          <w:tab w:val="left" w:pos="5387"/>
        </w:tabs>
        <w:rPr>
          <w:rFonts w:cs="Arial"/>
          <w:sz w:val="20"/>
          <w:lang w:val="ru-RU"/>
        </w:rPr>
      </w:pPr>
    </w:p>
    <w:p w:rsidR="000C1725" w:rsidRPr="00746B32" w:rsidRDefault="000C1725" w:rsidP="000C1725">
      <w:pPr>
        <w:tabs>
          <w:tab w:val="left" w:pos="5387"/>
        </w:tabs>
        <w:rPr>
          <w:rFonts w:cs="Arial"/>
          <w:sz w:val="20"/>
          <w:lang w:val="ru-RU"/>
        </w:rPr>
      </w:pPr>
      <w:r w:rsidRPr="00746B32">
        <w:rPr>
          <w:rFonts w:cs="Arial"/>
          <w:sz w:val="20"/>
          <w:lang w:val="ru-RU"/>
        </w:rPr>
        <w:t>_______________________________</w:t>
      </w:r>
      <w:r w:rsidRPr="00746B32">
        <w:rPr>
          <w:rFonts w:cs="Arial"/>
          <w:sz w:val="20"/>
          <w:lang w:val="ru-RU"/>
        </w:rPr>
        <w:tab/>
        <w:t>________________________________</w:t>
      </w:r>
    </w:p>
    <w:p w:rsidR="000C1725" w:rsidRPr="00746B32" w:rsidRDefault="000C1725" w:rsidP="000C1725">
      <w:pPr>
        <w:tabs>
          <w:tab w:val="left" w:pos="5387"/>
        </w:tabs>
        <w:rPr>
          <w:rFonts w:cs="Arial"/>
          <w:sz w:val="20"/>
          <w:lang w:val="ru-RU"/>
        </w:rPr>
      </w:pPr>
      <w:r w:rsidRPr="00746B32">
        <w:rPr>
          <w:rFonts w:cs="Arial"/>
          <w:sz w:val="20"/>
          <w:lang w:val="ru-RU"/>
        </w:rPr>
        <w:t>Филипьев Александр Николаевич</w:t>
      </w:r>
      <w:r w:rsidRPr="00746B32">
        <w:rPr>
          <w:rFonts w:cs="Arial"/>
          <w:sz w:val="20"/>
          <w:lang w:val="ru-RU"/>
        </w:rPr>
        <w:tab/>
        <w:t>Ижмяков Николай Валентинович</w:t>
      </w:r>
    </w:p>
    <w:p w:rsidR="000C1725" w:rsidRPr="00746B32" w:rsidRDefault="000C1725" w:rsidP="000C1725">
      <w:pPr>
        <w:tabs>
          <w:tab w:val="left" w:pos="5387"/>
        </w:tabs>
        <w:ind w:left="5387" w:hanging="5387"/>
        <w:rPr>
          <w:rFonts w:cs="Arial"/>
          <w:sz w:val="20"/>
          <w:lang w:val="ru-RU"/>
        </w:rPr>
      </w:pPr>
      <w:r w:rsidRPr="00746B32">
        <w:rPr>
          <w:rFonts w:cs="Arial"/>
          <w:sz w:val="20"/>
          <w:lang w:val="ru-RU"/>
        </w:rPr>
        <w:t>Председатель Правления</w:t>
      </w:r>
      <w:r w:rsidRPr="00746B32">
        <w:rPr>
          <w:rFonts w:cs="Arial"/>
          <w:sz w:val="20"/>
          <w:lang w:val="ru-RU"/>
        </w:rPr>
        <w:tab/>
        <w:t>Главный бухгалтер</w:t>
      </w:r>
    </w:p>
    <w:p w:rsidR="000C1725" w:rsidRPr="00746B32" w:rsidRDefault="000C1725" w:rsidP="000C1725">
      <w:pPr>
        <w:tabs>
          <w:tab w:val="left" w:pos="5387"/>
        </w:tabs>
        <w:ind w:left="5387" w:hanging="5387"/>
        <w:rPr>
          <w:rFonts w:cs="Arial"/>
          <w:i/>
          <w:smallCaps/>
          <w:sz w:val="20"/>
          <w:lang w:val="ru-RU"/>
        </w:rPr>
      </w:pPr>
    </w:p>
    <w:p w:rsidR="000C1725" w:rsidRPr="00746B32" w:rsidRDefault="000C1725" w:rsidP="000C1725">
      <w:pPr>
        <w:pStyle w:val="Tabletext"/>
        <w:rPr>
          <w:rFonts w:cs="Arial"/>
          <w:sz w:val="20"/>
          <w:lang w:val="ru-RU"/>
        </w:rPr>
      </w:pPr>
    </w:p>
    <w:p w:rsidR="000C1725" w:rsidRPr="00746B32" w:rsidRDefault="000C1725" w:rsidP="000C1725">
      <w:pPr>
        <w:pStyle w:val="Tabletext"/>
        <w:rPr>
          <w:rFonts w:cs="Arial"/>
          <w:sz w:val="20"/>
          <w:lang w:val="ru-RU"/>
        </w:rPr>
      </w:pPr>
      <w:r w:rsidRPr="00746B32">
        <w:rPr>
          <w:rFonts w:cs="Arial"/>
          <w:sz w:val="20"/>
          <w:lang w:val="ru-RU"/>
        </w:rPr>
        <w:t>20 января 2016 года</w:t>
      </w:r>
    </w:p>
    <w:p w:rsidR="000C1725" w:rsidRPr="00B454C2" w:rsidRDefault="000C1725" w:rsidP="00137009">
      <w:pPr>
        <w:rPr>
          <w:rFonts w:cs="Arial"/>
          <w:sz w:val="20"/>
          <w:highlight w:val="yellow"/>
          <w:lang w:val="ru-RU"/>
        </w:rPr>
        <w:sectPr w:rsidR="000C1725" w:rsidRPr="00B454C2" w:rsidSect="001F426D">
          <w:headerReference w:type="default" r:id="rId20"/>
          <w:pgSz w:w="11907" w:h="16840" w:code="9"/>
          <w:pgMar w:top="1134" w:right="851" w:bottom="1134" w:left="1701" w:header="709" w:footer="709" w:gutter="0"/>
          <w:paperSrc w:other="15"/>
          <w:cols w:space="720"/>
          <w:noEndnote/>
        </w:sectPr>
      </w:pPr>
    </w:p>
    <w:tbl>
      <w:tblPr>
        <w:tblW w:w="4944" w:type="pct"/>
        <w:tblLayout w:type="fixed"/>
        <w:tblLook w:val="04A0"/>
      </w:tblPr>
      <w:tblGrid>
        <w:gridCol w:w="1804"/>
        <w:gridCol w:w="850"/>
        <w:gridCol w:w="1281"/>
        <w:gridCol w:w="1280"/>
        <w:gridCol w:w="1552"/>
        <w:gridCol w:w="1410"/>
        <w:gridCol w:w="1287"/>
      </w:tblGrid>
      <w:tr w:rsidR="00DD3CEF" w:rsidRPr="00DD3CEF" w:rsidTr="00DD3CEF">
        <w:trPr>
          <w:trHeight w:val="1200"/>
        </w:trPr>
        <w:tc>
          <w:tcPr>
            <w:tcW w:w="953" w:type="pct"/>
            <w:tcBorders>
              <w:top w:val="nil"/>
              <w:left w:val="nil"/>
              <w:bottom w:val="nil"/>
              <w:right w:val="nil"/>
            </w:tcBorders>
            <w:shd w:val="clear" w:color="auto" w:fill="auto"/>
            <w:noWrap/>
            <w:vAlign w:val="bottom"/>
            <w:hideMark/>
          </w:tcPr>
          <w:p w:rsidR="00380014" w:rsidRPr="00DD3CEF" w:rsidRDefault="00380014" w:rsidP="00380014">
            <w:pPr>
              <w:rPr>
                <w:rFonts w:cs="Arial"/>
                <w:color w:val="000000"/>
                <w:szCs w:val="18"/>
                <w:lang w:val="ru-RU"/>
              </w:rPr>
            </w:pPr>
          </w:p>
        </w:tc>
        <w:tc>
          <w:tcPr>
            <w:tcW w:w="449" w:type="pct"/>
            <w:tcBorders>
              <w:top w:val="nil"/>
              <w:left w:val="nil"/>
              <w:bottom w:val="single" w:sz="4" w:space="0" w:color="auto"/>
              <w:right w:val="nil"/>
            </w:tcBorders>
            <w:shd w:val="clear" w:color="auto" w:fill="auto"/>
            <w:vAlign w:val="bottom"/>
            <w:hideMark/>
          </w:tcPr>
          <w:p w:rsidR="00380014" w:rsidRPr="00DD3CEF" w:rsidRDefault="00380014" w:rsidP="00380014">
            <w:pPr>
              <w:jc w:val="center"/>
              <w:rPr>
                <w:rFonts w:cs="Arial"/>
                <w:b/>
                <w:bCs/>
                <w:color w:val="000000"/>
                <w:szCs w:val="18"/>
                <w:lang w:val="ru-RU"/>
              </w:rPr>
            </w:pPr>
            <w:r w:rsidRPr="00DD3CEF">
              <w:rPr>
                <w:rFonts w:cs="Arial"/>
                <w:b/>
                <w:bCs/>
                <w:color w:val="000000"/>
                <w:szCs w:val="18"/>
                <w:lang w:val="ru-RU"/>
              </w:rPr>
              <w:t>Прим.</w:t>
            </w:r>
          </w:p>
        </w:tc>
        <w:tc>
          <w:tcPr>
            <w:tcW w:w="677" w:type="pct"/>
            <w:tcBorders>
              <w:top w:val="nil"/>
              <w:left w:val="nil"/>
              <w:bottom w:val="single" w:sz="4" w:space="0" w:color="auto"/>
              <w:right w:val="nil"/>
            </w:tcBorders>
            <w:shd w:val="clear" w:color="auto" w:fill="auto"/>
            <w:vAlign w:val="bottom"/>
            <w:hideMark/>
          </w:tcPr>
          <w:p w:rsidR="00380014" w:rsidRPr="00DD3CEF" w:rsidRDefault="00380014" w:rsidP="00380014">
            <w:pPr>
              <w:jc w:val="center"/>
              <w:rPr>
                <w:rFonts w:cs="Arial"/>
                <w:b/>
                <w:bCs/>
                <w:color w:val="000000"/>
                <w:szCs w:val="18"/>
                <w:lang w:val="ru-RU"/>
              </w:rPr>
            </w:pPr>
            <w:r w:rsidRPr="00DD3CEF">
              <w:rPr>
                <w:rFonts w:cs="Arial"/>
                <w:b/>
                <w:bCs/>
                <w:color w:val="000000"/>
                <w:szCs w:val="18"/>
                <w:lang w:val="ru-RU"/>
              </w:rPr>
              <w:t>Акционер-ный капитал</w:t>
            </w:r>
          </w:p>
        </w:tc>
        <w:tc>
          <w:tcPr>
            <w:tcW w:w="676" w:type="pct"/>
            <w:tcBorders>
              <w:top w:val="nil"/>
              <w:left w:val="nil"/>
              <w:bottom w:val="single" w:sz="4" w:space="0" w:color="auto"/>
              <w:right w:val="nil"/>
            </w:tcBorders>
            <w:shd w:val="clear" w:color="auto" w:fill="auto"/>
            <w:vAlign w:val="bottom"/>
            <w:hideMark/>
          </w:tcPr>
          <w:p w:rsidR="00380014" w:rsidRPr="00DD3CEF" w:rsidRDefault="00380014" w:rsidP="00380014">
            <w:pPr>
              <w:jc w:val="center"/>
              <w:rPr>
                <w:rFonts w:cs="Arial"/>
                <w:b/>
                <w:bCs/>
                <w:color w:val="000000"/>
                <w:szCs w:val="18"/>
                <w:lang w:val="ru-RU"/>
              </w:rPr>
            </w:pPr>
            <w:r w:rsidRPr="00DD3CEF">
              <w:rPr>
                <w:rFonts w:cs="Arial"/>
                <w:b/>
                <w:bCs/>
                <w:color w:val="000000"/>
                <w:szCs w:val="18"/>
                <w:lang w:val="ru-RU"/>
              </w:rPr>
              <w:t>Эмиссион</w:t>
            </w:r>
            <w:r w:rsidR="00266B98" w:rsidRPr="00DD3CEF">
              <w:rPr>
                <w:rFonts w:cs="Arial"/>
                <w:b/>
                <w:bCs/>
                <w:color w:val="000000"/>
                <w:szCs w:val="18"/>
                <w:lang w:val="ru-RU"/>
              </w:rPr>
              <w:t>-</w:t>
            </w:r>
            <w:r w:rsidRPr="00DD3CEF">
              <w:rPr>
                <w:rFonts w:cs="Arial"/>
                <w:b/>
                <w:bCs/>
                <w:color w:val="000000"/>
                <w:szCs w:val="18"/>
                <w:lang w:val="ru-RU"/>
              </w:rPr>
              <w:t>ный доход</w:t>
            </w:r>
          </w:p>
        </w:tc>
        <w:tc>
          <w:tcPr>
            <w:tcW w:w="820" w:type="pct"/>
            <w:tcBorders>
              <w:top w:val="nil"/>
              <w:left w:val="nil"/>
              <w:bottom w:val="single" w:sz="4" w:space="0" w:color="auto"/>
              <w:right w:val="nil"/>
            </w:tcBorders>
            <w:shd w:val="clear" w:color="auto" w:fill="auto"/>
            <w:vAlign w:val="bottom"/>
            <w:hideMark/>
          </w:tcPr>
          <w:p w:rsidR="00380014" w:rsidRPr="00DD3CEF" w:rsidRDefault="00380014" w:rsidP="00380014">
            <w:pPr>
              <w:jc w:val="center"/>
              <w:rPr>
                <w:rFonts w:cs="Arial"/>
                <w:b/>
                <w:bCs/>
                <w:color w:val="000000"/>
                <w:szCs w:val="18"/>
                <w:lang w:val="ru-RU"/>
              </w:rPr>
            </w:pPr>
            <w:r w:rsidRPr="00DD3CEF">
              <w:rPr>
                <w:rFonts w:cs="Arial"/>
                <w:b/>
                <w:bCs/>
                <w:color w:val="000000"/>
                <w:szCs w:val="18"/>
                <w:lang w:val="ru-RU"/>
              </w:rPr>
              <w:t>Резерв по переоценке ценных бумаг</w:t>
            </w:r>
          </w:p>
        </w:tc>
        <w:tc>
          <w:tcPr>
            <w:tcW w:w="745" w:type="pct"/>
            <w:tcBorders>
              <w:top w:val="nil"/>
              <w:left w:val="nil"/>
              <w:bottom w:val="single" w:sz="4" w:space="0" w:color="auto"/>
              <w:right w:val="nil"/>
            </w:tcBorders>
            <w:shd w:val="clear" w:color="auto" w:fill="auto"/>
            <w:vAlign w:val="bottom"/>
            <w:hideMark/>
          </w:tcPr>
          <w:p w:rsidR="00380014" w:rsidRPr="00DD3CEF" w:rsidRDefault="00B86F90" w:rsidP="00380014">
            <w:pPr>
              <w:jc w:val="center"/>
              <w:rPr>
                <w:rFonts w:cs="Arial"/>
                <w:b/>
                <w:bCs/>
                <w:color w:val="000000"/>
                <w:szCs w:val="18"/>
                <w:lang w:val="ru-RU"/>
              </w:rPr>
            </w:pPr>
            <w:r>
              <w:rPr>
                <w:rFonts w:cs="Arial"/>
                <w:b/>
                <w:bCs/>
                <w:color w:val="000000"/>
                <w:szCs w:val="18"/>
                <w:lang w:val="ru-RU"/>
              </w:rPr>
              <w:t>Нераспреде</w:t>
            </w:r>
            <w:r w:rsidR="00131655">
              <w:rPr>
                <w:rFonts w:cs="Arial"/>
                <w:b/>
                <w:bCs/>
                <w:color w:val="000000"/>
                <w:szCs w:val="18"/>
                <w:lang w:val="ru-RU"/>
              </w:rPr>
              <w:t>-</w:t>
            </w:r>
            <w:r>
              <w:rPr>
                <w:rFonts w:cs="Arial"/>
                <w:b/>
                <w:bCs/>
                <w:color w:val="000000"/>
                <w:szCs w:val="18"/>
                <w:lang w:val="ru-RU"/>
              </w:rPr>
              <w:t>ленная</w:t>
            </w:r>
            <w:r w:rsidR="00380014" w:rsidRPr="00DD3CEF">
              <w:rPr>
                <w:rFonts w:cs="Arial"/>
                <w:b/>
                <w:bCs/>
                <w:color w:val="000000"/>
                <w:szCs w:val="18"/>
                <w:lang w:val="ru-RU"/>
              </w:rPr>
              <w:t xml:space="preserve"> прибыль/ (убыток)</w:t>
            </w:r>
          </w:p>
        </w:tc>
        <w:tc>
          <w:tcPr>
            <w:tcW w:w="680" w:type="pct"/>
            <w:tcBorders>
              <w:top w:val="nil"/>
              <w:left w:val="nil"/>
              <w:bottom w:val="single" w:sz="4" w:space="0" w:color="auto"/>
              <w:right w:val="nil"/>
            </w:tcBorders>
            <w:shd w:val="clear" w:color="auto" w:fill="auto"/>
            <w:vAlign w:val="bottom"/>
            <w:hideMark/>
          </w:tcPr>
          <w:p w:rsidR="00380014" w:rsidRPr="00DD3CEF" w:rsidRDefault="00380014" w:rsidP="00266B98">
            <w:pPr>
              <w:jc w:val="center"/>
              <w:rPr>
                <w:rFonts w:cs="Arial"/>
                <w:b/>
                <w:bCs/>
                <w:color w:val="000000"/>
                <w:szCs w:val="18"/>
                <w:lang w:val="ru-RU"/>
              </w:rPr>
            </w:pPr>
            <w:r w:rsidRPr="00DD3CEF">
              <w:rPr>
                <w:rFonts w:cs="Arial"/>
                <w:b/>
                <w:bCs/>
                <w:color w:val="000000"/>
                <w:szCs w:val="18"/>
                <w:lang w:val="ru-RU"/>
              </w:rPr>
              <w:t>Итого собствен</w:t>
            </w:r>
            <w:r w:rsidR="00266B98" w:rsidRPr="00DD3CEF">
              <w:rPr>
                <w:rFonts w:cs="Arial"/>
                <w:b/>
                <w:bCs/>
                <w:color w:val="000000"/>
                <w:szCs w:val="18"/>
                <w:lang w:val="ru-RU"/>
              </w:rPr>
              <w:t>-</w:t>
            </w:r>
            <w:r w:rsidRPr="00DD3CEF">
              <w:rPr>
                <w:rFonts w:cs="Arial"/>
                <w:b/>
                <w:bCs/>
                <w:color w:val="000000"/>
                <w:szCs w:val="18"/>
                <w:lang w:val="ru-RU"/>
              </w:rPr>
              <w:t>ный капитал</w:t>
            </w:r>
          </w:p>
        </w:tc>
      </w:tr>
      <w:tr w:rsidR="00DD3CEF" w:rsidRPr="00DD3CEF" w:rsidTr="00DD3CEF">
        <w:trPr>
          <w:trHeight w:val="300"/>
        </w:trPr>
        <w:tc>
          <w:tcPr>
            <w:tcW w:w="953" w:type="pct"/>
            <w:tcBorders>
              <w:top w:val="nil"/>
              <w:left w:val="nil"/>
              <w:bottom w:val="nil"/>
              <w:right w:val="nil"/>
            </w:tcBorders>
            <w:shd w:val="clear" w:color="auto" w:fill="auto"/>
            <w:vAlign w:val="bottom"/>
            <w:hideMark/>
          </w:tcPr>
          <w:p w:rsidR="00380014" w:rsidRPr="00DD3CEF" w:rsidRDefault="00333562" w:rsidP="00380014">
            <w:pPr>
              <w:rPr>
                <w:rFonts w:cs="Arial"/>
                <w:b/>
                <w:bCs/>
                <w:color w:val="000000"/>
                <w:szCs w:val="18"/>
                <w:lang w:val="ru-RU"/>
              </w:rPr>
            </w:pPr>
            <w:r w:rsidRPr="00DD3CEF">
              <w:rPr>
                <w:rFonts w:cs="Arial"/>
                <w:b/>
                <w:bCs/>
                <w:color w:val="000000"/>
                <w:szCs w:val="18"/>
                <w:lang w:val="ru-RU"/>
              </w:rPr>
              <w:t>31 декабря 2012</w:t>
            </w:r>
          </w:p>
        </w:tc>
        <w:tc>
          <w:tcPr>
            <w:tcW w:w="449"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 </w:t>
            </w:r>
          </w:p>
        </w:tc>
        <w:tc>
          <w:tcPr>
            <w:tcW w:w="677"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1 173 867</w:t>
            </w:r>
          </w:p>
        </w:tc>
        <w:tc>
          <w:tcPr>
            <w:tcW w:w="676"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2 070 285</w:t>
            </w:r>
          </w:p>
        </w:tc>
        <w:tc>
          <w:tcPr>
            <w:tcW w:w="820" w:type="pct"/>
            <w:tcBorders>
              <w:top w:val="nil"/>
              <w:left w:val="nil"/>
              <w:bottom w:val="single" w:sz="4"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(108 798)</w:t>
            </w:r>
          </w:p>
        </w:tc>
        <w:tc>
          <w:tcPr>
            <w:tcW w:w="745"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872 305</w:t>
            </w:r>
          </w:p>
        </w:tc>
        <w:tc>
          <w:tcPr>
            <w:tcW w:w="680"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4 007 659</w:t>
            </w:r>
          </w:p>
        </w:tc>
      </w:tr>
      <w:tr w:rsidR="00DD3CEF" w:rsidRPr="00DD3CEF" w:rsidTr="00DD3CEF">
        <w:trPr>
          <w:trHeight w:val="300"/>
        </w:trPr>
        <w:tc>
          <w:tcPr>
            <w:tcW w:w="953" w:type="pct"/>
            <w:tcBorders>
              <w:top w:val="nil"/>
              <w:left w:val="nil"/>
              <w:bottom w:val="nil"/>
              <w:right w:val="nil"/>
            </w:tcBorders>
            <w:shd w:val="clear" w:color="auto" w:fill="auto"/>
            <w:vAlign w:val="bottom"/>
            <w:hideMark/>
          </w:tcPr>
          <w:p w:rsidR="00380014" w:rsidRPr="00DD3CEF" w:rsidRDefault="00333562" w:rsidP="00380014">
            <w:pPr>
              <w:rPr>
                <w:rFonts w:cs="Arial"/>
                <w:color w:val="000000"/>
                <w:szCs w:val="18"/>
                <w:lang w:val="ru-RU"/>
              </w:rPr>
            </w:pPr>
            <w:r w:rsidRPr="00DD3CEF">
              <w:rPr>
                <w:rFonts w:cs="Arial"/>
                <w:color w:val="000000"/>
                <w:szCs w:val="18"/>
                <w:lang w:val="ru-RU"/>
              </w:rPr>
              <w:t>Выпуск акций</w:t>
            </w:r>
          </w:p>
        </w:tc>
        <w:tc>
          <w:tcPr>
            <w:tcW w:w="449"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20</w:t>
            </w:r>
          </w:p>
        </w:tc>
        <w:tc>
          <w:tcPr>
            <w:tcW w:w="677"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140 000</w:t>
            </w:r>
          </w:p>
        </w:tc>
        <w:tc>
          <w:tcPr>
            <w:tcW w:w="676"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252 000</w:t>
            </w:r>
          </w:p>
        </w:tc>
        <w:tc>
          <w:tcPr>
            <w:tcW w:w="820"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745"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680"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392 000</w:t>
            </w:r>
          </w:p>
        </w:tc>
      </w:tr>
      <w:tr w:rsidR="00DD3CEF" w:rsidRPr="00DD3CEF" w:rsidTr="00DD3CEF">
        <w:trPr>
          <w:trHeight w:val="300"/>
        </w:trPr>
        <w:tc>
          <w:tcPr>
            <w:tcW w:w="953" w:type="pct"/>
            <w:tcBorders>
              <w:top w:val="nil"/>
              <w:left w:val="nil"/>
              <w:bottom w:val="nil"/>
              <w:right w:val="nil"/>
            </w:tcBorders>
            <w:shd w:val="clear" w:color="auto" w:fill="auto"/>
            <w:vAlign w:val="bottom"/>
            <w:hideMark/>
          </w:tcPr>
          <w:p w:rsidR="00380014" w:rsidRPr="00DD3CEF" w:rsidRDefault="00333562" w:rsidP="00380014">
            <w:pPr>
              <w:rPr>
                <w:rFonts w:cs="Arial"/>
                <w:color w:val="000000"/>
                <w:szCs w:val="18"/>
                <w:lang w:val="ru-RU"/>
              </w:rPr>
            </w:pPr>
            <w:r w:rsidRPr="00DD3CEF">
              <w:rPr>
                <w:rFonts w:cs="Arial"/>
                <w:color w:val="000000"/>
                <w:szCs w:val="18"/>
                <w:lang w:val="ru-RU"/>
              </w:rPr>
              <w:t>Дивиденды</w:t>
            </w:r>
          </w:p>
        </w:tc>
        <w:tc>
          <w:tcPr>
            <w:tcW w:w="449"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29</w:t>
            </w:r>
          </w:p>
        </w:tc>
        <w:tc>
          <w:tcPr>
            <w:tcW w:w="677"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676"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820"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745" w:type="pct"/>
            <w:tcBorders>
              <w:top w:val="nil"/>
              <w:left w:val="nil"/>
              <w:bottom w:val="nil"/>
              <w:right w:val="nil"/>
            </w:tcBorders>
            <w:shd w:val="clear" w:color="auto" w:fill="auto"/>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(98 122)</w:t>
            </w:r>
          </w:p>
        </w:tc>
        <w:tc>
          <w:tcPr>
            <w:tcW w:w="680" w:type="pct"/>
            <w:tcBorders>
              <w:top w:val="nil"/>
              <w:left w:val="nil"/>
              <w:bottom w:val="nil"/>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(98 122)</w:t>
            </w:r>
          </w:p>
        </w:tc>
      </w:tr>
      <w:tr w:rsidR="00DD3CEF" w:rsidRPr="00DD3CEF" w:rsidTr="00DD3CEF">
        <w:trPr>
          <w:trHeight w:val="705"/>
        </w:trPr>
        <w:tc>
          <w:tcPr>
            <w:tcW w:w="953" w:type="pct"/>
            <w:tcBorders>
              <w:top w:val="nil"/>
              <w:left w:val="nil"/>
              <w:bottom w:val="nil"/>
              <w:right w:val="nil"/>
            </w:tcBorders>
            <w:shd w:val="clear" w:color="auto" w:fill="auto"/>
            <w:vAlign w:val="bottom"/>
            <w:hideMark/>
          </w:tcPr>
          <w:p w:rsidR="00380014" w:rsidRPr="00DD3CEF" w:rsidRDefault="00333562" w:rsidP="00B86F90">
            <w:pPr>
              <w:rPr>
                <w:rFonts w:cs="Arial"/>
                <w:color w:val="000000"/>
                <w:szCs w:val="18"/>
                <w:lang w:val="ru-RU"/>
              </w:rPr>
            </w:pPr>
            <w:r w:rsidRPr="00DD3CEF">
              <w:rPr>
                <w:rFonts w:cs="Arial"/>
                <w:color w:val="000000"/>
                <w:szCs w:val="18"/>
                <w:lang w:val="ru-RU"/>
              </w:rPr>
              <w:t xml:space="preserve">Общий совокупный </w:t>
            </w:r>
            <w:r w:rsidR="00351589">
              <w:rPr>
                <w:rFonts w:cs="Arial"/>
                <w:color w:val="000000"/>
                <w:szCs w:val="18"/>
                <w:lang w:val="ru-RU"/>
              </w:rPr>
              <w:t xml:space="preserve">убыток </w:t>
            </w:r>
            <w:r w:rsidRPr="00DD3CEF">
              <w:rPr>
                <w:rFonts w:cs="Arial"/>
                <w:color w:val="000000"/>
                <w:szCs w:val="18"/>
                <w:lang w:val="ru-RU"/>
              </w:rPr>
              <w:t xml:space="preserve">отчетного </w:t>
            </w:r>
            <w:r w:rsidR="00B86F90">
              <w:rPr>
                <w:rFonts w:cs="Arial"/>
                <w:color w:val="000000"/>
                <w:szCs w:val="18"/>
                <w:lang w:val="ru-RU"/>
              </w:rPr>
              <w:t>года</w:t>
            </w:r>
          </w:p>
        </w:tc>
        <w:tc>
          <w:tcPr>
            <w:tcW w:w="449" w:type="pct"/>
            <w:tcBorders>
              <w:top w:val="nil"/>
              <w:left w:val="nil"/>
              <w:bottom w:val="nil"/>
              <w:right w:val="nil"/>
            </w:tcBorders>
            <w:shd w:val="clear" w:color="auto" w:fill="auto"/>
            <w:noWrap/>
            <w:vAlign w:val="bottom"/>
            <w:hideMark/>
          </w:tcPr>
          <w:p w:rsidR="00380014" w:rsidRPr="00DD3CEF" w:rsidRDefault="00380014" w:rsidP="00380014">
            <w:pPr>
              <w:jc w:val="right"/>
              <w:rPr>
                <w:rFonts w:cs="Arial"/>
                <w:color w:val="000000"/>
                <w:szCs w:val="18"/>
                <w:lang w:val="ru-RU"/>
              </w:rPr>
            </w:pPr>
          </w:p>
        </w:tc>
        <w:tc>
          <w:tcPr>
            <w:tcW w:w="677"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676" w:type="pct"/>
            <w:tcBorders>
              <w:top w:val="nil"/>
              <w:left w:val="nil"/>
              <w:bottom w:val="single" w:sz="4" w:space="0" w:color="auto"/>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w:t>
            </w:r>
          </w:p>
        </w:tc>
        <w:tc>
          <w:tcPr>
            <w:tcW w:w="820" w:type="pct"/>
            <w:tcBorders>
              <w:top w:val="nil"/>
              <w:left w:val="nil"/>
              <w:bottom w:val="nil"/>
              <w:right w:val="nil"/>
            </w:tcBorders>
            <w:shd w:val="clear" w:color="auto" w:fill="auto"/>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(88 976)</w:t>
            </w:r>
          </w:p>
        </w:tc>
        <w:tc>
          <w:tcPr>
            <w:tcW w:w="745" w:type="pct"/>
            <w:tcBorders>
              <w:top w:val="nil"/>
              <w:left w:val="nil"/>
              <w:bottom w:val="nil"/>
              <w:right w:val="nil"/>
            </w:tcBorders>
            <w:shd w:val="clear" w:color="auto" w:fill="auto"/>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(147 245)</w:t>
            </w:r>
          </w:p>
        </w:tc>
        <w:tc>
          <w:tcPr>
            <w:tcW w:w="680" w:type="pct"/>
            <w:tcBorders>
              <w:top w:val="nil"/>
              <w:left w:val="nil"/>
              <w:bottom w:val="single" w:sz="4"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(236 221)</w:t>
            </w:r>
          </w:p>
        </w:tc>
      </w:tr>
      <w:tr w:rsidR="00DD3CEF" w:rsidRPr="00DD3CEF" w:rsidTr="00DD3CEF">
        <w:trPr>
          <w:trHeight w:val="315"/>
        </w:trPr>
        <w:tc>
          <w:tcPr>
            <w:tcW w:w="953" w:type="pct"/>
            <w:tcBorders>
              <w:top w:val="nil"/>
              <w:left w:val="nil"/>
              <w:bottom w:val="nil"/>
              <w:right w:val="nil"/>
            </w:tcBorders>
            <w:shd w:val="clear" w:color="auto" w:fill="auto"/>
            <w:vAlign w:val="bottom"/>
            <w:hideMark/>
          </w:tcPr>
          <w:p w:rsidR="00380014" w:rsidRPr="00DD3CEF" w:rsidRDefault="00333562" w:rsidP="00380014">
            <w:pPr>
              <w:rPr>
                <w:rFonts w:cs="Arial"/>
                <w:b/>
                <w:bCs/>
                <w:color w:val="000000"/>
                <w:szCs w:val="18"/>
                <w:lang w:val="ru-RU"/>
              </w:rPr>
            </w:pPr>
            <w:r w:rsidRPr="00DD3CEF">
              <w:rPr>
                <w:rFonts w:cs="Arial"/>
                <w:b/>
                <w:bCs/>
                <w:color w:val="000000"/>
                <w:szCs w:val="18"/>
                <w:lang w:val="ru-RU"/>
              </w:rPr>
              <w:t>31 декабря 2013</w:t>
            </w:r>
          </w:p>
        </w:tc>
        <w:tc>
          <w:tcPr>
            <w:tcW w:w="449" w:type="pct"/>
            <w:tcBorders>
              <w:top w:val="nil"/>
              <w:left w:val="nil"/>
              <w:bottom w:val="nil"/>
              <w:right w:val="nil"/>
            </w:tcBorders>
            <w:shd w:val="clear" w:color="auto" w:fill="auto"/>
            <w:noWrap/>
            <w:vAlign w:val="bottom"/>
            <w:hideMark/>
          </w:tcPr>
          <w:p w:rsidR="00380014" w:rsidRPr="00DD3CEF" w:rsidRDefault="00380014" w:rsidP="00380014">
            <w:pPr>
              <w:jc w:val="right"/>
              <w:rPr>
                <w:rFonts w:cs="Arial"/>
                <w:color w:val="000000"/>
                <w:szCs w:val="18"/>
                <w:lang w:val="ru-RU"/>
              </w:rPr>
            </w:pPr>
          </w:p>
        </w:tc>
        <w:tc>
          <w:tcPr>
            <w:tcW w:w="677" w:type="pct"/>
            <w:tcBorders>
              <w:top w:val="nil"/>
              <w:left w:val="nil"/>
              <w:bottom w:val="double" w:sz="6"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1 313 867</w:t>
            </w:r>
          </w:p>
        </w:tc>
        <w:tc>
          <w:tcPr>
            <w:tcW w:w="676" w:type="pct"/>
            <w:tcBorders>
              <w:top w:val="nil"/>
              <w:left w:val="nil"/>
              <w:bottom w:val="double" w:sz="6"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2 322 285</w:t>
            </w:r>
          </w:p>
        </w:tc>
        <w:tc>
          <w:tcPr>
            <w:tcW w:w="820" w:type="pct"/>
            <w:tcBorders>
              <w:top w:val="single" w:sz="4" w:space="0" w:color="auto"/>
              <w:left w:val="nil"/>
              <w:bottom w:val="double" w:sz="6"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(197 774)</w:t>
            </w:r>
          </w:p>
        </w:tc>
        <w:tc>
          <w:tcPr>
            <w:tcW w:w="745" w:type="pct"/>
            <w:tcBorders>
              <w:top w:val="single" w:sz="4" w:space="0" w:color="auto"/>
              <w:left w:val="nil"/>
              <w:bottom w:val="double" w:sz="6"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626 938</w:t>
            </w:r>
          </w:p>
        </w:tc>
        <w:tc>
          <w:tcPr>
            <w:tcW w:w="680" w:type="pct"/>
            <w:tcBorders>
              <w:top w:val="nil"/>
              <w:left w:val="nil"/>
              <w:bottom w:val="double" w:sz="6" w:space="0" w:color="auto"/>
              <w:right w:val="nil"/>
            </w:tcBorders>
            <w:shd w:val="clear" w:color="auto" w:fill="auto"/>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4 065 316</w:t>
            </w:r>
          </w:p>
        </w:tc>
      </w:tr>
      <w:tr w:rsidR="00DD3CEF" w:rsidRPr="00DD3CEF" w:rsidTr="00DD3CEF">
        <w:trPr>
          <w:trHeight w:val="315"/>
        </w:trPr>
        <w:tc>
          <w:tcPr>
            <w:tcW w:w="953" w:type="pct"/>
            <w:tcBorders>
              <w:top w:val="nil"/>
              <w:left w:val="nil"/>
              <w:bottom w:val="nil"/>
              <w:right w:val="nil"/>
            </w:tcBorders>
            <w:shd w:val="clear" w:color="auto" w:fill="auto"/>
            <w:vAlign w:val="bottom"/>
            <w:hideMark/>
          </w:tcPr>
          <w:p w:rsidR="00380014" w:rsidRPr="00DD3CEF" w:rsidRDefault="00333562" w:rsidP="00380014">
            <w:pPr>
              <w:rPr>
                <w:rFonts w:cs="Arial"/>
                <w:color w:val="000000"/>
                <w:szCs w:val="18"/>
                <w:lang w:val="ru-RU"/>
              </w:rPr>
            </w:pPr>
            <w:r w:rsidRPr="00DD3CEF">
              <w:rPr>
                <w:rFonts w:cs="Arial"/>
                <w:color w:val="000000"/>
                <w:szCs w:val="18"/>
                <w:lang w:val="ru-RU"/>
              </w:rPr>
              <w:t>Выпуск акций</w:t>
            </w:r>
          </w:p>
        </w:tc>
        <w:tc>
          <w:tcPr>
            <w:tcW w:w="449"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20</w:t>
            </w:r>
          </w:p>
        </w:tc>
        <w:tc>
          <w:tcPr>
            <w:tcW w:w="677"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676"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820"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745"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680"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b/>
                <w:bCs/>
                <w:color w:val="000000"/>
                <w:szCs w:val="18"/>
                <w:lang w:val="ru-RU"/>
              </w:rPr>
            </w:pPr>
            <w:r w:rsidRPr="00DD3CEF">
              <w:rPr>
                <w:rFonts w:cs="Arial"/>
                <w:b/>
                <w:bCs/>
                <w:color w:val="000000"/>
                <w:szCs w:val="18"/>
                <w:lang w:val="ru-RU"/>
              </w:rPr>
              <w:t xml:space="preserve">                              -     </w:t>
            </w:r>
          </w:p>
        </w:tc>
      </w:tr>
      <w:tr w:rsidR="00DD3CEF" w:rsidRPr="00DD3CEF" w:rsidTr="00DD3CEF">
        <w:trPr>
          <w:trHeight w:val="300"/>
        </w:trPr>
        <w:tc>
          <w:tcPr>
            <w:tcW w:w="953" w:type="pct"/>
            <w:tcBorders>
              <w:top w:val="nil"/>
              <w:left w:val="nil"/>
              <w:bottom w:val="nil"/>
              <w:right w:val="nil"/>
            </w:tcBorders>
            <w:shd w:val="clear" w:color="auto" w:fill="auto"/>
            <w:vAlign w:val="bottom"/>
            <w:hideMark/>
          </w:tcPr>
          <w:p w:rsidR="00380014" w:rsidRPr="00DD3CEF" w:rsidRDefault="00333562" w:rsidP="00380014">
            <w:pPr>
              <w:rPr>
                <w:rFonts w:cs="Arial"/>
                <w:color w:val="000000"/>
                <w:szCs w:val="18"/>
                <w:lang w:val="ru-RU"/>
              </w:rPr>
            </w:pPr>
            <w:r w:rsidRPr="00DD3CEF">
              <w:rPr>
                <w:rFonts w:cs="Arial"/>
                <w:color w:val="000000"/>
                <w:szCs w:val="18"/>
                <w:lang w:val="ru-RU"/>
              </w:rPr>
              <w:t>Дивиденды</w:t>
            </w:r>
          </w:p>
        </w:tc>
        <w:tc>
          <w:tcPr>
            <w:tcW w:w="449"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29</w:t>
            </w:r>
          </w:p>
        </w:tc>
        <w:tc>
          <w:tcPr>
            <w:tcW w:w="677"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676"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820" w:type="pct"/>
            <w:tcBorders>
              <w:top w:val="nil"/>
              <w:left w:val="nil"/>
              <w:bottom w:val="nil"/>
              <w:right w:val="nil"/>
            </w:tcBorders>
            <w:shd w:val="clear" w:color="auto" w:fill="auto"/>
            <w:noWrap/>
            <w:vAlign w:val="bottom"/>
            <w:hideMark/>
          </w:tcPr>
          <w:p w:rsidR="00380014" w:rsidRPr="00DD3CEF" w:rsidRDefault="00333562" w:rsidP="00380014">
            <w:pPr>
              <w:jc w:val="right"/>
              <w:rPr>
                <w:rFonts w:cs="Arial"/>
                <w:color w:val="000000"/>
                <w:szCs w:val="18"/>
                <w:lang w:val="ru-RU"/>
              </w:rPr>
            </w:pPr>
            <w:r w:rsidRPr="00DD3CEF">
              <w:rPr>
                <w:rFonts w:cs="Arial"/>
                <w:color w:val="000000"/>
                <w:szCs w:val="18"/>
                <w:lang w:val="ru-RU"/>
              </w:rPr>
              <w:t xml:space="preserve">                        -     </w:t>
            </w:r>
          </w:p>
        </w:tc>
        <w:tc>
          <w:tcPr>
            <w:tcW w:w="745" w:type="pct"/>
            <w:tcBorders>
              <w:top w:val="nil"/>
              <w:left w:val="nil"/>
              <w:bottom w:val="nil"/>
              <w:right w:val="nil"/>
            </w:tcBorders>
            <w:shd w:val="clear" w:color="auto" w:fill="auto"/>
            <w:noWrap/>
            <w:vAlign w:val="bottom"/>
            <w:hideMark/>
          </w:tcPr>
          <w:p w:rsidR="00380014" w:rsidRPr="00DD3CEF" w:rsidRDefault="00333562" w:rsidP="00D11229">
            <w:pPr>
              <w:jc w:val="right"/>
              <w:rPr>
                <w:rFonts w:cs="Arial"/>
                <w:color w:val="000000"/>
                <w:szCs w:val="18"/>
                <w:lang w:val="ru-RU"/>
              </w:rPr>
            </w:pPr>
            <w:r w:rsidRPr="00DD3CEF">
              <w:rPr>
                <w:rFonts w:cs="Arial"/>
                <w:color w:val="000000"/>
                <w:szCs w:val="18"/>
                <w:lang w:val="en-US"/>
              </w:rPr>
              <w:t>(7300)</w:t>
            </w:r>
          </w:p>
        </w:tc>
        <w:tc>
          <w:tcPr>
            <w:tcW w:w="680" w:type="pct"/>
            <w:tcBorders>
              <w:top w:val="nil"/>
              <w:left w:val="nil"/>
              <w:bottom w:val="nil"/>
              <w:right w:val="nil"/>
            </w:tcBorders>
            <w:shd w:val="clear" w:color="auto" w:fill="auto"/>
            <w:noWrap/>
            <w:vAlign w:val="bottom"/>
            <w:hideMark/>
          </w:tcPr>
          <w:p w:rsidR="00380014" w:rsidRPr="00DD3CEF" w:rsidRDefault="00333562" w:rsidP="00D11229">
            <w:pPr>
              <w:jc w:val="right"/>
              <w:rPr>
                <w:rFonts w:cs="Arial"/>
                <w:b/>
                <w:bCs/>
                <w:color w:val="000000"/>
                <w:szCs w:val="18"/>
                <w:lang w:val="ru-RU"/>
              </w:rPr>
            </w:pPr>
            <w:r w:rsidRPr="00DD3CEF">
              <w:rPr>
                <w:rFonts w:cs="Arial"/>
                <w:b/>
                <w:bCs/>
                <w:color w:val="000000"/>
                <w:szCs w:val="18"/>
                <w:lang w:val="en-US"/>
              </w:rPr>
              <w:t>(7 300)</w:t>
            </w:r>
          </w:p>
        </w:tc>
      </w:tr>
      <w:tr w:rsidR="00DD3CEF" w:rsidRPr="00DD3CEF" w:rsidTr="00DD3CEF">
        <w:trPr>
          <w:trHeight w:val="555"/>
        </w:trPr>
        <w:tc>
          <w:tcPr>
            <w:tcW w:w="953" w:type="pct"/>
            <w:tcBorders>
              <w:top w:val="nil"/>
              <w:left w:val="nil"/>
              <w:bottom w:val="nil"/>
              <w:right w:val="nil"/>
            </w:tcBorders>
            <w:shd w:val="clear" w:color="auto" w:fill="auto"/>
            <w:vAlign w:val="bottom"/>
            <w:hideMark/>
          </w:tcPr>
          <w:p w:rsidR="00380014" w:rsidRPr="00DD3CEF" w:rsidRDefault="00380014" w:rsidP="00B86F90">
            <w:pPr>
              <w:rPr>
                <w:rFonts w:cs="Arial"/>
                <w:color w:val="000000"/>
                <w:szCs w:val="18"/>
                <w:lang w:val="ru-RU"/>
              </w:rPr>
            </w:pPr>
            <w:r w:rsidRPr="00DD3CEF">
              <w:rPr>
                <w:rFonts w:cs="Arial"/>
                <w:color w:val="000000"/>
                <w:szCs w:val="18"/>
                <w:lang w:val="ru-RU"/>
              </w:rPr>
              <w:t xml:space="preserve">Общий совокупный </w:t>
            </w:r>
            <w:r w:rsidR="00351589">
              <w:rPr>
                <w:rFonts w:cs="Arial"/>
                <w:color w:val="000000"/>
                <w:szCs w:val="18"/>
                <w:lang w:val="ru-RU"/>
              </w:rPr>
              <w:t xml:space="preserve">убыток </w:t>
            </w:r>
            <w:r w:rsidR="00351589" w:rsidRPr="00DD3CEF">
              <w:rPr>
                <w:rFonts w:cs="Arial"/>
                <w:color w:val="000000"/>
                <w:szCs w:val="18"/>
                <w:lang w:val="ru-RU"/>
              </w:rPr>
              <w:t xml:space="preserve"> </w:t>
            </w:r>
            <w:r w:rsidRPr="00DD3CEF">
              <w:rPr>
                <w:rFonts w:cs="Arial"/>
                <w:color w:val="000000"/>
                <w:szCs w:val="18"/>
                <w:lang w:val="ru-RU"/>
              </w:rPr>
              <w:t xml:space="preserve">отчетного </w:t>
            </w:r>
            <w:r w:rsidR="00B86F90">
              <w:rPr>
                <w:rFonts w:cs="Arial"/>
                <w:color w:val="000000"/>
                <w:szCs w:val="18"/>
                <w:lang w:val="ru-RU"/>
              </w:rPr>
              <w:t>года</w:t>
            </w:r>
          </w:p>
        </w:tc>
        <w:tc>
          <w:tcPr>
            <w:tcW w:w="449" w:type="pct"/>
            <w:tcBorders>
              <w:top w:val="nil"/>
              <w:left w:val="nil"/>
              <w:bottom w:val="nil"/>
              <w:right w:val="nil"/>
            </w:tcBorders>
            <w:shd w:val="clear" w:color="auto" w:fill="auto"/>
            <w:noWrap/>
            <w:vAlign w:val="bottom"/>
            <w:hideMark/>
          </w:tcPr>
          <w:p w:rsidR="00380014" w:rsidRPr="00DD3CEF" w:rsidRDefault="00380014" w:rsidP="00380014">
            <w:pPr>
              <w:jc w:val="right"/>
              <w:rPr>
                <w:rFonts w:cs="Arial"/>
                <w:color w:val="000000"/>
                <w:szCs w:val="18"/>
                <w:lang w:val="ru-RU"/>
              </w:rPr>
            </w:pPr>
          </w:p>
        </w:tc>
        <w:tc>
          <w:tcPr>
            <w:tcW w:w="677" w:type="pct"/>
            <w:tcBorders>
              <w:top w:val="nil"/>
              <w:left w:val="nil"/>
              <w:bottom w:val="nil"/>
              <w:right w:val="nil"/>
            </w:tcBorders>
            <w:shd w:val="clear" w:color="auto" w:fill="auto"/>
            <w:noWrap/>
            <w:vAlign w:val="bottom"/>
            <w:hideMark/>
          </w:tcPr>
          <w:p w:rsidR="00380014" w:rsidRPr="00DD3CEF" w:rsidRDefault="00380014" w:rsidP="00380014">
            <w:pPr>
              <w:jc w:val="right"/>
              <w:rPr>
                <w:rFonts w:cs="Arial"/>
                <w:color w:val="000000"/>
                <w:szCs w:val="18"/>
                <w:lang w:val="ru-RU"/>
              </w:rPr>
            </w:pPr>
            <w:r w:rsidRPr="00DD3CEF">
              <w:rPr>
                <w:rFonts w:cs="Arial"/>
                <w:color w:val="000000"/>
                <w:szCs w:val="18"/>
                <w:lang w:val="ru-RU"/>
              </w:rPr>
              <w:t xml:space="preserve">                           -     </w:t>
            </w:r>
          </w:p>
        </w:tc>
        <w:tc>
          <w:tcPr>
            <w:tcW w:w="676" w:type="pct"/>
            <w:tcBorders>
              <w:top w:val="nil"/>
              <w:left w:val="nil"/>
              <w:bottom w:val="nil"/>
              <w:right w:val="nil"/>
            </w:tcBorders>
            <w:shd w:val="clear" w:color="auto" w:fill="auto"/>
            <w:noWrap/>
            <w:vAlign w:val="bottom"/>
            <w:hideMark/>
          </w:tcPr>
          <w:p w:rsidR="00380014" w:rsidRPr="00DD3CEF" w:rsidRDefault="00380014" w:rsidP="00380014">
            <w:pPr>
              <w:jc w:val="right"/>
              <w:rPr>
                <w:rFonts w:cs="Arial"/>
                <w:color w:val="000000"/>
                <w:szCs w:val="18"/>
                <w:lang w:val="ru-RU"/>
              </w:rPr>
            </w:pPr>
            <w:r w:rsidRPr="00DD3CEF">
              <w:rPr>
                <w:rFonts w:cs="Arial"/>
                <w:color w:val="000000"/>
                <w:szCs w:val="18"/>
                <w:lang w:val="ru-RU"/>
              </w:rPr>
              <w:t xml:space="preserve">                            -     </w:t>
            </w:r>
          </w:p>
        </w:tc>
        <w:tc>
          <w:tcPr>
            <w:tcW w:w="820" w:type="pct"/>
            <w:tcBorders>
              <w:top w:val="nil"/>
              <w:left w:val="nil"/>
              <w:bottom w:val="nil"/>
              <w:right w:val="nil"/>
            </w:tcBorders>
            <w:shd w:val="clear" w:color="auto" w:fill="auto"/>
            <w:vAlign w:val="bottom"/>
            <w:hideMark/>
          </w:tcPr>
          <w:p w:rsidR="00380014" w:rsidRPr="00DD3CEF" w:rsidRDefault="00380014" w:rsidP="003138D1">
            <w:pPr>
              <w:jc w:val="right"/>
              <w:rPr>
                <w:rFonts w:cs="Arial"/>
                <w:color w:val="000000"/>
                <w:szCs w:val="18"/>
                <w:lang w:val="ru-RU"/>
              </w:rPr>
            </w:pPr>
            <w:r w:rsidRPr="00DD3CEF">
              <w:rPr>
                <w:rFonts w:cs="Arial"/>
                <w:color w:val="000000"/>
                <w:szCs w:val="18"/>
                <w:lang w:val="ru-RU"/>
              </w:rPr>
              <w:t>(</w:t>
            </w:r>
            <w:r w:rsidR="003138D1" w:rsidRPr="00DD3CEF">
              <w:rPr>
                <w:rFonts w:cs="Arial"/>
                <w:color w:val="000000"/>
                <w:szCs w:val="18"/>
                <w:lang w:val="ru-RU"/>
              </w:rPr>
              <w:t>117 868</w:t>
            </w:r>
            <w:r w:rsidRPr="00DD3CEF">
              <w:rPr>
                <w:rFonts w:cs="Arial"/>
                <w:color w:val="000000"/>
                <w:szCs w:val="18"/>
                <w:lang w:val="ru-RU"/>
              </w:rPr>
              <w:t>)</w:t>
            </w:r>
          </w:p>
        </w:tc>
        <w:tc>
          <w:tcPr>
            <w:tcW w:w="745" w:type="pct"/>
            <w:tcBorders>
              <w:top w:val="nil"/>
              <w:left w:val="nil"/>
              <w:bottom w:val="nil"/>
              <w:right w:val="nil"/>
            </w:tcBorders>
            <w:shd w:val="clear" w:color="auto" w:fill="auto"/>
            <w:vAlign w:val="bottom"/>
            <w:hideMark/>
          </w:tcPr>
          <w:p w:rsidR="00380014" w:rsidRPr="00DD3CEF" w:rsidRDefault="002923F4" w:rsidP="002D3FE9">
            <w:pPr>
              <w:jc w:val="right"/>
              <w:rPr>
                <w:rFonts w:cs="Arial"/>
                <w:color w:val="000000"/>
                <w:szCs w:val="18"/>
                <w:lang w:val="ru-RU"/>
              </w:rPr>
            </w:pPr>
            <w:r w:rsidRPr="00DD3CEF">
              <w:rPr>
                <w:rFonts w:cs="Arial"/>
                <w:color w:val="000000"/>
                <w:szCs w:val="18"/>
                <w:lang w:val="ru-RU"/>
              </w:rPr>
              <w:t>(</w:t>
            </w:r>
            <w:r w:rsidR="00D11229" w:rsidRPr="00DD3CEF">
              <w:rPr>
                <w:rFonts w:cs="Arial"/>
                <w:color w:val="000000"/>
                <w:szCs w:val="18"/>
                <w:lang w:val="en-US"/>
              </w:rPr>
              <w:t>31 364 57</w:t>
            </w:r>
            <w:r w:rsidR="002D3FE9">
              <w:rPr>
                <w:rFonts w:cs="Arial"/>
                <w:color w:val="000000"/>
                <w:szCs w:val="18"/>
                <w:lang w:val="ru-RU"/>
              </w:rPr>
              <w:t>7</w:t>
            </w:r>
            <w:r w:rsidRPr="00DD3CEF">
              <w:rPr>
                <w:rFonts w:cs="Arial"/>
                <w:color w:val="000000"/>
                <w:szCs w:val="18"/>
                <w:lang w:val="ru-RU"/>
              </w:rPr>
              <w:t>)</w:t>
            </w:r>
          </w:p>
        </w:tc>
        <w:tc>
          <w:tcPr>
            <w:tcW w:w="680" w:type="pct"/>
            <w:tcBorders>
              <w:top w:val="nil"/>
              <w:left w:val="nil"/>
              <w:bottom w:val="single" w:sz="4" w:space="0" w:color="auto"/>
              <w:right w:val="nil"/>
            </w:tcBorders>
            <w:shd w:val="clear" w:color="auto" w:fill="auto"/>
            <w:vAlign w:val="bottom"/>
            <w:hideMark/>
          </w:tcPr>
          <w:p w:rsidR="00380014" w:rsidRPr="00DD3CEF" w:rsidRDefault="002923F4" w:rsidP="009367EF">
            <w:pPr>
              <w:jc w:val="right"/>
              <w:rPr>
                <w:rFonts w:cs="Arial"/>
                <w:b/>
                <w:bCs/>
                <w:color w:val="000000"/>
                <w:szCs w:val="18"/>
                <w:lang w:val="ru-RU"/>
              </w:rPr>
            </w:pPr>
            <w:r w:rsidRPr="00DD3CEF">
              <w:rPr>
                <w:rFonts w:cs="Arial"/>
                <w:b/>
                <w:bCs/>
                <w:color w:val="000000"/>
                <w:szCs w:val="18"/>
                <w:lang w:val="ru-RU"/>
              </w:rPr>
              <w:t>(</w:t>
            </w:r>
            <w:r w:rsidR="00D11229" w:rsidRPr="00DD3CEF">
              <w:rPr>
                <w:rFonts w:cs="Arial"/>
                <w:b/>
                <w:bCs/>
                <w:color w:val="000000"/>
                <w:szCs w:val="18"/>
                <w:lang w:val="ru-RU"/>
              </w:rPr>
              <w:t> </w:t>
            </w:r>
            <w:r w:rsidR="00D11229" w:rsidRPr="00DD3CEF">
              <w:rPr>
                <w:rFonts w:cs="Arial"/>
                <w:b/>
                <w:bCs/>
                <w:color w:val="000000"/>
                <w:szCs w:val="18"/>
                <w:lang w:val="en-US"/>
              </w:rPr>
              <w:t>31 482 44</w:t>
            </w:r>
            <w:r w:rsidR="002D3FE9">
              <w:rPr>
                <w:rFonts w:cs="Arial"/>
                <w:b/>
                <w:bCs/>
                <w:color w:val="000000"/>
                <w:szCs w:val="18"/>
                <w:lang w:val="ru-RU"/>
              </w:rPr>
              <w:t>5</w:t>
            </w:r>
            <w:r w:rsidRPr="00DD3CEF">
              <w:rPr>
                <w:rFonts w:cs="Arial"/>
                <w:b/>
                <w:bCs/>
                <w:color w:val="000000"/>
                <w:szCs w:val="18"/>
                <w:lang w:val="ru-RU"/>
              </w:rPr>
              <w:t>)</w:t>
            </w:r>
          </w:p>
        </w:tc>
      </w:tr>
      <w:tr w:rsidR="00DD3CEF" w:rsidRPr="00DD3CEF" w:rsidTr="00DD3CEF">
        <w:trPr>
          <w:trHeight w:val="315"/>
        </w:trPr>
        <w:tc>
          <w:tcPr>
            <w:tcW w:w="953" w:type="pct"/>
            <w:tcBorders>
              <w:top w:val="nil"/>
              <w:left w:val="nil"/>
              <w:bottom w:val="nil"/>
              <w:right w:val="nil"/>
            </w:tcBorders>
            <w:shd w:val="clear" w:color="auto" w:fill="auto"/>
            <w:vAlign w:val="bottom"/>
            <w:hideMark/>
          </w:tcPr>
          <w:p w:rsidR="00380014" w:rsidRPr="00DD3CEF" w:rsidRDefault="00380014" w:rsidP="00380014">
            <w:pPr>
              <w:rPr>
                <w:rFonts w:cs="Arial"/>
                <w:b/>
                <w:bCs/>
                <w:color w:val="000000"/>
                <w:szCs w:val="18"/>
                <w:lang w:val="ru-RU"/>
              </w:rPr>
            </w:pPr>
            <w:r w:rsidRPr="00DD3CEF">
              <w:rPr>
                <w:rFonts w:cs="Arial"/>
                <w:b/>
                <w:bCs/>
                <w:color w:val="000000"/>
                <w:szCs w:val="18"/>
                <w:lang w:val="ru-RU"/>
              </w:rPr>
              <w:t>31 декабря 2014</w:t>
            </w:r>
          </w:p>
        </w:tc>
        <w:tc>
          <w:tcPr>
            <w:tcW w:w="449" w:type="pct"/>
            <w:tcBorders>
              <w:top w:val="nil"/>
              <w:left w:val="nil"/>
              <w:bottom w:val="nil"/>
              <w:right w:val="nil"/>
            </w:tcBorders>
            <w:shd w:val="clear" w:color="auto" w:fill="auto"/>
            <w:noWrap/>
            <w:vAlign w:val="bottom"/>
            <w:hideMark/>
          </w:tcPr>
          <w:p w:rsidR="00380014" w:rsidRPr="00DD3CEF" w:rsidRDefault="00380014" w:rsidP="00380014">
            <w:pPr>
              <w:jc w:val="right"/>
              <w:rPr>
                <w:rFonts w:cs="Arial"/>
                <w:color w:val="000000"/>
                <w:szCs w:val="18"/>
                <w:lang w:val="ru-RU"/>
              </w:rPr>
            </w:pPr>
          </w:p>
        </w:tc>
        <w:tc>
          <w:tcPr>
            <w:tcW w:w="677" w:type="pct"/>
            <w:tcBorders>
              <w:top w:val="single" w:sz="4" w:space="0" w:color="auto"/>
              <w:left w:val="nil"/>
              <w:bottom w:val="double" w:sz="6" w:space="0" w:color="auto"/>
              <w:right w:val="nil"/>
            </w:tcBorders>
            <w:shd w:val="clear" w:color="auto" w:fill="auto"/>
            <w:noWrap/>
            <w:vAlign w:val="bottom"/>
            <w:hideMark/>
          </w:tcPr>
          <w:p w:rsidR="00380014" w:rsidRPr="00DD3CEF" w:rsidRDefault="00380014" w:rsidP="00380014">
            <w:pPr>
              <w:jc w:val="right"/>
              <w:rPr>
                <w:rFonts w:cs="Arial"/>
                <w:b/>
                <w:bCs/>
                <w:color w:val="000000"/>
                <w:szCs w:val="18"/>
                <w:lang w:val="ru-RU"/>
              </w:rPr>
            </w:pPr>
            <w:r w:rsidRPr="00DD3CEF">
              <w:rPr>
                <w:rFonts w:cs="Arial"/>
                <w:b/>
                <w:bCs/>
                <w:color w:val="000000"/>
                <w:szCs w:val="18"/>
                <w:lang w:val="ru-RU"/>
              </w:rPr>
              <w:t xml:space="preserve">1 313 867 </w:t>
            </w:r>
          </w:p>
        </w:tc>
        <w:tc>
          <w:tcPr>
            <w:tcW w:w="676" w:type="pct"/>
            <w:tcBorders>
              <w:top w:val="single" w:sz="4" w:space="0" w:color="auto"/>
              <w:left w:val="nil"/>
              <w:bottom w:val="double" w:sz="6" w:space="0" w:color="auto"/>
              <w:right w:val="nil"/>
            </w:tcBorders>
            <w:shd w:val="clear" w:color="auto" w:fill="auto"/>
            <w:noWrap/>
            <w:vAlign w:val="bottom"/>
            <w:hideMark/>
          </w:tcPr>
          <w:p w:rsidR="00380014" w:rsidRPr="00DD3CEF" w:rsidRDefault="00380014" w:rsidP="00380014">
            <w:pPr>
              <w:jc w:val="center"/>
              <w:rPr>
                <w:rFonts w:cs="Arial"/>
                <w:b/>
                <w:bCs/>
                <w:color w:val="000000"/>
                <w:szCs w:val="18"/>
                <w:lang w:val="ru-RU"/>
              </w:rPr>
            </w:pPr>
            <w:r w:rsidRPr="00DD3CEF">
              <w:rPr>
                <w:rFonts w:cs="Arial"/>
                <w:b/>
                <w:bCs/>
                <w:color w:val="000000"/>
                <w:szCs w:val="18"/>
                <w:lang w:val="ru-RU"/>
              </w:rPr>
              <w:t xml:space="preserve">2 322 285 </w:t>
            </w:r>
          </w:p>
        </w:tc>
        <w:tc>
          <w:tcPr>
            <w:tcW w:w="820" w:type="pct"/>
            <w:tcBorders>
              <w:top w:val="single" w:sz="4" w:space="0" w:color="auto"/>
              <w:left w:val="nil"/>
              <w:bottom w:val="double" w:sz="6" w:space="0" w:color="auto"/>
              <w:right w:val="nil"/>
            </w:tcBorders>
            <w:shd w:val="clear" w:color="auto" w:fill="auto"/>
            <w:noWrap/>
            <w:vAlign w:val="bottom"/>
            <w:hideMark/>
          </w:tcPr>
          <w:p w:rsidR="00380014" w:rsidRPr="00DD3CEF" w:rsidRDefault="002923F4" w:rsidP="003138D1">
            <w:pPr>
              <w:jc w:val="right"/>
              <w:rPr>
                <w:rFonts w:cs="Arial"/>
                <w:b/>
                <w:bCs/>
                <w:color w:val="000000"/>
                <w:szCs w:val="18"/>
                <w:lang w:val="ru-RU"/>
              </w:rPr>
            </w:pPr>
            <w:r w:rsidRPr="00DD3CEF">
              <w:rPr>
                <w:rFonts w:cs="Arial"/>
                <w:b/>
                <w:bCs/>
                <w:color w:val="000000"/>
                <w:szCs w:val="18"/>
                <w:lang w:val="ru-RU"/>
              </w:rPr>
              <w:t>(31</w:t>
            </w:r>
            <w:r w:rsidR="00D11229" w:rsidRPr="00DD3CEF">
              <w:rPr>
                <w:rFonts w:cs="Arial"/>
                <w:b/>
                <w:bCs/>
                <w:color w:val="000000"/>
                <w:szCs w:val="18"/>
                <w:lang w:val="en-US"/>
              </w:rPr>
              <w:t>5</w:t>
            </w:r>
            <w:r w:rsidRPr="00DD3CEF">
              <w:rPr>
                <w:rFonts w:cs="Arial"/>
                <w:b/>
                <w:bCs/>
                <w:color w:val="000000"/>
                <w:szCs w:val="18"/>
                <w:lang w:val="ru-RU"/>
              </w:rPr>
              <w:t xml:space="preserve"> 642)</w:t>
            </w:r>
          </w:p>
        </w:tc>
        <w:tc>
          <w:tcPr>
            <w:tcW w:w="745" w:type="pct"/>
            <w:tcBorders>
              <w:top w:val="single" w:sz="4" w:space="0" w:color="auto"/>
              <w:left w:val="nil"/>
              <w:bottom w:val="double" w:sz="6" w:space="0" w:color="auto"/>
              <w:right w:val="nil"/>
            </w:tcBorders>
            <w:shd w:val="clear" w:color="auto" w:fill="auto"/>
            <w:noWrap/>
            <w:vAlign w:val="bottom"/>
            <w:hideMark/>
          </w:tcPr>
          <w:p w:rsidR="00380014" w:rsidRPr="00DD3CEF" w:rsidRDefault="00B86F90" w:rsidP="009D3FE0">
            <w:pPr>
              <w:jc w:val="center"/>
              <w:rPr>
                <w:rFonts w:cs="Arial"/>
                <w:b/>
                <w:bCs/>
                <w:color w:val="000000"/>
                <w:szCs w:val="18"/>
                <w:lang w:val="ru-RU"/>
              </w:rPr>
            </w:pPr>
            <w:r>
              <w:rPr>
                <w:rFonts w:cs="Arial"/>
                <w:b/>
                <w:bCs/>
                <w:color w:val="000000"/>
                <w:szCs w:val="18"/>
                <w:lang w:val="ru-RU"/>
              </w:rPr>
              <w:t xml:space="preserve">   </w:t>
            </w:r>
            <w:r w:rsidR="002923F4" w:rsidRPr="00DD3CEF">
              <w:rPr>
                <w:rFonts w:cs="Arial"/>
                <w:b/>
                <w:bCs/>
                <w:color w:val="000000"/>
                <w:szCs w:val="18"/>
                <w:lang w:val="ru-RU"/>
              </w:rPr>
              <w:t>(30 744 93</w:t>
            </w:r>
            <w:r w:rsidR="009D3FE0">
              <w:rPr>
                <w:rFonts w:cs="Arial"/>
                <w:b/>
                <w:bCs/>
                <w:color w:val="000000"/>
                <w:szCs w:val="18"/>
                <w:lang w:val="ru-RU"/>
              </w:rPr>
              <w:t>9</w:t>
            </w:r>
            <w:r w:rsidR="002923F4" w:rsidRPr="00DD3CEF">
              <w:rPr>
                <w:rFonts w:cs="Arial"/>
                <w:b/>
                <w:bCs/>
                <w:color w:val="000000"/>
                <w:szCs w:val="18"/>
                <w:lang w:val="ru-RU"/>
              </w:rPr>
              <w:t>)</w:t>
            </w:r>
          </w:p>
        </w:tc>
        <w:tc>
          <w:tcPr>
            <w:tcW w:w="680" w:type="pct"/>
            <w:tcBorders>
              <w:top w:val="nil"/>
              <w:left w:val="nil"/>
              <w:bottom w:val="double" w:sz="6" w:space="0" w:color="auto"/>
              <w:right w:val="nil"/>
            </w:tcBorders>
            <w:shd w:val="clear" w:color="auto" w:fill="auto"/>
            <w:noWrap/>
            <w:vAlign w:val="bottom"/>
            <w:hideMark/>
          </w:tcPr>
          <w:p w:rsidR="00380014" w:rsidRPr="00DD3CEF" w:rsidRDefault="002923F4" w:rsidP="003138D1">
            <w:pPr>
              <w:jc w:val="right"/>
              <w:rPr>
                <w:rFonts w:cs="Arial"/>
                <w:b/>
                <w:bCs/>
                <w:color w:val="000000"/>
                <w:szCs w:val="18"/>
                <w:lang w:val="ru-RU"/>
              </w:rPr>
            </w:pPr>
            <w:r w:rsidRPr="00DD3CEF">
              <w:rPr>
                <w:rFonts w:cs="Arial"/>
                <w:b/>
                <w:bCs/>
                <w:color w:val="000000"/>
                <w:szCs w:val="18"/>
                <w:lang w:val="ru-RU"/>
              </w:rPr>
              <w:t>(27 424 42</w:t>
            </w:r>
            <w:r w:rsidR="002D3FE9">
              <w:rPr>
                <w:rFonts w:cs="Arial"/>
                <w:b/>
                <w:bCs/>
                <w:color w:val="000000"/>
                <w:szCs w:val="18"/>
                <w:lang w:val="ru-RU"/>
              </w:rPr>
              <w:t>9</w:t>
            </w:r>
            <w:r w:rsidRPr="00DD3CEF">
              <w:rPr>
                <w:rFonts w:cs="Arial"/>
                <w:b/>
                <w:bCs/>
                <w:color w:val="000000"/>
                <w:szCs w:val="18"/>
                <w:lang w:val="ru-RU"/>
              </w:rPr>
              <w:t>)</w:t>
            </w:r>
          </w:p>
        </w:tc>
      </w:tr>
    </w:tbl>
    <w:p w:rsidR="009A724B" w:rsidRDefault="009A724B" w:rsidP="00137009">
      <w:pPr>
        <w:rPr>
          <w:rFonts w:cs="Arial"/>
          <w:szCs w:val="24"/>
          <w:highlight w:val="yellow"/>
          <w:lang w:val="ru-RU"/>
        </w:rPr>
      </w:pPr>
    </w:p>
    <w:p w:rsidR="000C1725" w:rsidRDefault="000C1725" w:rsidP="00137009">
      <w:pPr>
        <w:rPr>
          <w:rFonts w:cs="Arial"/>
          <w:szCs w:val="24"/>
          <w:highlight w:val="yellow"/>
          <w:lang w:val="ru-RU"/>
        </w:rPr>
      </w:pPr>
    </w:p>
    <w:p w:rsidR="000C1725" w:rsidRDefault="000C1725" w:rsidP="00137009">
      <w:pPr>
        <w:rPr>
          <w:rFonts w:cs="Arial"/>
          <w:szCs w:val="24"/>
          <w:highlight w:val="yellow"/>
          <w:lang w:val="ru-RU"/>
        </w:rPr>
      </w:pPr>
    </w:p>
    <w:p w:rsidR="000C1725" w:rsidRDefault="000C1725" w:rsidP="000C1725">
      <w:pPr>
        <w:jc w:val="both"/>
        <w:rPr>
          <w:rFonts w:cs="Arial"/>
          <w:color w:val="000000"/>
          <w:sz w:val="20"/>
          <w:lang w:val="ru-RU"/>
        </w:rPr>
      </w:pPr>
    </w:p>
    <w:p w:rsidR="000C1725" w:rsidRDefault="000C1725" w:rsidP="000C1725">
      <w:pPr>
        <w:jc w:val="both"/>
        <w:rPr>
          <w:rFonts w:cs="Arial"/>
          <w:color w:val="000000"/>
          <w:sz w:val="20"/>
          <w:lang w:val="ru-RU"/>
        </w:rPr>
      </w:pPr>
    </w:p>
    <w:p w:rsidR="000C1725" w:rsidRPr="000C1725" w:rsidRDefault="000C1725" w:rsidP="000C1725">
      <w:pPr>
        <w:jc w:val="both"/>
        <w:rPr>
          <w:rFonts w:cs="Arial"/>
          <w:color w:val="000000"/>
          <w:sz w:val="20"/>
          <w:lang w:val="ru-RU"/>
        </w:rPr>
      </w:pPr>
      <w:r w:rsidRPr="000C1725">
        <w:rPr>
          <w:rFonts w:cs="Arial"/>
          <w:color w:val="000000"/>
          <w:sz w:val="20"/>
          <w:lang w:val="ru-RU"/>
        </w:rPr>
        <w:t>Данная финансовая отчетность подготовлена с учетом имеющихся в Банке «Таврический» (ОАО) документов и всех известных должностным лицам Банка «Таврический» (ОАО) фактов (обстоятельств) на дату подписания финансовой отчетности, в том числе с учетом Плана финансового оздоровления Санкт-Петербургского акционерного коммерческого банка «Таврический» (открытое акционерное общество).</w:t>
      </w:r>
    </w:p>
    <w:p w:rsidR="000C1725" w:rsidRPr="000C1725" w:rsidRDefault="000C1725" w:rsidP="000C1725">
      <w:pPr>
        <w:jc w:val="both"/>
        <w:rPr>
          <w:rFonts w:cs="Arial"/>
          <w:color w:val="000000"/>
          <w:sz w:val="20"/>
          <w:lang w:val="ru-RU"/>
        </w:rPr>
      </w:pPr>
    </w:p>
    <w:p w:rsidR="000C1725" w:rsidRPr="000C1725" w:rsidRDefault="000C1725" w:rsidP="000C1725">
      <w:pPr>
        <w:pStyle w:val="afe"/>
        <w:jc w:val="both"/>
        <w:rPr>
          <w:rFonts w:ascii="Arial" w:eastAsiaTheme="minorHAnsi" w:hAnsi="Arial" w:cs="Arial"/>
          <w:color w:val="000000"/>
          <w:sz w:val="20"/>
          <w:szCs w:val="20"/>
          <w:lang w:eastAsia="en-US"/>
        </w:rPr>
      </w:pPr>
      <w:r w:rsidRPr="000C1725">
        <w:rPr>
          <w:rFonts w:ascii="Arial" w:eastAsiaTheme="minorHAnsi" w:hAnsi="Arial" w:cs="Arial"/>
          <w:color w:val="000000"/>
          <w:sz w:val="20"/>
          <w:szCs w:val="20"/>
          <w:lang w:eastAsia="en-US"/>
        </w:rPr>
        <w:t>Должностным лицам Банка «Таврический» (ОАО) не известны иные действия лиц, осуществлявших руководство Банком ранее, которые могли бы привести к искажению бухгалтерской отчетности</w:t>
      </w:r>
      <w:r>
        <w:rPr>
          <w:rFonts w:ascii="Arial" w:eastAsiaTheme="minorHAnsi" w:hAnsi="Arial" w:cs="Arial"/>
          <w:color w:val="000000"/>
          <w:sz w:val="20"/>
          <w:szCs w:val="20"/>
          <w:lang w:eastAsia="en-US"/>
        </w:rPr>
        <w:t xml:space="preserve"> и</w:t>
      </w:r>
      <w:r w:rsidRPr="000C1725">
        <w:rPr>
          <w:rFonts w:ascii="Arial" w:eastAsiaTheme="minorHAnsi" w:hAnsi="Arial" w:cs="Arial"/>
          <w:color w:val="000000"/>
          <w:sz w:val="20"/>
          <w:szCs w:val="20"/>
          <w:lang w:eastAsia="en-US"/>
        </w:rPr>
        <w:t xml:space="preserve"> сведения о  которых не учтены при составлении </w:t>
      </w:r>
      <w:r>
        <w:rPr>
          <w:rFonts w:ascii="Arial" w:eastAsiaTheme="minorHAnsi" w:hAnsi="Arial" w:cs="Arial"/>
          <w:color w:val="000000"/>
          <w:sz w:val="20"/>
          <w:szCs w:val="20"/>
          <w:lang w:eastAsia="en-US"/>
        </w:rPr>
        <w:t xml:space="preserve">данной финансовой </w:t>
      </w:r>
      <w:r w:rsidRPr="000C1725">
        <w:rPr>
          <w:rFonts w:ascii="Arial" w:eastAsiaTheme="minorHAnsi" w:hAnsi="Arial" w:cs="Arial"/>
          <w:color w:val="000000"/>
          <w:sz w:val="20"/>
          <w:szCs w:val="20"/>
          <w:lang w:eastAsia="en-US"/>
        </w:rPr>
        <w:t xml:space="preserve">отчетности. </w:t>
      </w:r>
    </w:p>
    <w:p w:rsidR="000C1725" w:rsidRPr="000C1725" w:rsidRDefault="000C1725" w:rsidP="000C1725">
      <w:pPr>
        <w:pStyle w:val="afe"/>
        <w:jc w:val="both"/>
        <w:rPr>
          <w:rFonts w:ascii="Arial" w:eastAsiaTheme="minorHAnsi" w:hAnsi="Arial" w:cs="Arial"/>
          <w:color w:val="000000"/>
          <w:sz w:val="20"/>
          <w:szCs w:val="20"/>
          <w:lang w:eastAsia="en-US"/>
        </w:rPr>
      </w:pPr>
    </w:p>
    <w:p w:rsidR="000C1725" w:rsidRPr="000C1725" w:rsidRDefault="000C1725" w:rsidP="000C1725">
      <w:pPr>
        <w:pStyle w:val="afe"/>
        <w:jc w:val="both"/>
        <w:rPr>
          <w:rFonts w:ascii="Arial" w:hAnsi="Arial" w:cs="Arial"/>
          <w:color w:val="000000"/>
          <w:sz w:val="18"/>
          <w:szCs w:val="18"/>
        </w:rPr>
      </w:pPr>
      <w:r w:rsidRPr="000C1725">
        <w:rPr>
          <w:rFonts w:ascii="Arial" w:hAnsi="Arial" w:cs="Arial"/>
          <w:color w:val="000000"/>
          <w:sz w:val="20"/>
          <w:szCs w:val="20"/>
        </w:rPr>
        <w:t>Председатель Правления Банка «Таврический» (ОАО) Филипьев А.Н. приступил к исполнению должностных обязанностей 30 июня 2015 года.</w:t>
      </w:r>
    </w:p>
    <w:p w:rsidR="000C1725" w:rsidRPr="000C1725" w:rsidRDefault="000C1725" w:rsidP="000C1725">
      <w:pPr>
        <w:tabs>
          <w:tab w:val="left" w:pos="5387"/>
        </w:tabs>
        <w:rPr>
          <w:rFonts w:cs="Arial"/>
          <w:sz w:val="20"/>
          <w:lang w:val="ru-RU"/>
        </w:rPr>
      </w:pPr>
    </w:p>
    <w:p w:rsidR="000C1725" w:rsidRPr="000C1725" w:rsidRDefault="000C1725" w:rsidP="000C1725">
      <w:pPr>
        <w:tabs>
          <w:tab w:val="left" w:pos="5387"/>
        </w:tabs>
        <w:spacing w:line="228" w:lineRule="auto"/>
        <w:rPr>
          <w:rFonts w:cs="Arial"/>
          <w:color w:val="000000"/>
          <w:sz w:val="20"/>
          <w:lang w:val="ru-RU"/>
        </w:rPr>
      </w:pPr>
    </w:p>
    <w:p w:rsidR="000C1725" w:rsidRPr="000C1725" w:rsidRDefault="000C1725" w:rsidP="000C1725">
      <w:pPr>
        <w:tabs>
          <w:tab w:val="left" w:pos="5387"/>
        </w:tabs>
        <w:spacing w:line="228" w:lineRule="auto"/>
        <w:rPr>
          <w:rFonts w:cs="Arial"/>
          <w:sz w:val="20"/>
          <w:lang w:val="ru-RU"/>
        </w:rPr>
      </w:pPr>
      <w:r w:rsidRPr="000C1725">
        <w:rPr>
          <w:rFonts w:cs="Arial"/>
          <w:color w:val="000000"/>
          <w:sz w:val="20"/>
          <w:lang w:val="ru-RU"/>
        </w:rPr>
        <w:t>Подписано и разрешено к выпуску от имени Правления Банка.</w:t>
      </w:r>
    </w:p>
    <w:p w:rsidR="000C1725" w:rsidRPr="00746B32" w:rsidRDefault="000C1725" w:rsidP="000C1725">
      <w:pPr>
        <w:tabs>
          <w:tab w:val="left" w:pos="5387"/>
        </w:tabs>
        <w:rPr>
          <w:rFonts w:cs="Arial"/>
          <w:sz w:val="20"/>
          <w:lang w:val="ru-RU"/>
        </w:rPr>
      </w:pPr>
    </w:p>
    <w:p w:rsidR="000C1725" w:rsidRPr="00746B32" w:rsidRDefault="000C1725" w:rsidP="000C1725">
      <w:pPr>
        <w:tabs>
          <w:tab w:val="left" w:pos="5387"/>
        </w:tabs>
        <w:rPr>
          <w:rFonts w:cs="Arial"/>
          <w:sz w:val="20"/>
          <w:lang w:val="ru-RU"/>
        </w:rPr>
      </w:pPr>
      <w:r w:rsidRPr="00746B32">
        <w:rPr>
          <w:rFonts w:cs="Arial"/>
          <w:sz w:val="20"/>
          <w:lang w:val="ru-RU"/>
        </w:rPr>
        <w:t>_______________________________</w:t>
      </w:r>
      <w:r w:rsidRPr="00746B32">
        <w:rPr>
          <w:rFonts w:cs="Arial"/>
          <w:sz w:val="20"/>
          <w:lang w:val="ru-RU"/>
        </w:rPr>
        <w:tab/>
        <w:t>________________________________</w:t>
      </w:r>
    </w:p>
    <w:p w:rsidR="000C1725" w:rsidRPr="00746B32" w:rsidRDefault="000C1725" w:rsidP="000C1725">
      <w:pPr>
        <w:tabs>
          <w:tab w:val="left" w:pos="5387"/>
        </w:tabs>
        <w:rPr>
          <w:rFonts w:cs="Arial"/>
          <w:sz w:val="20"/>
          <w:lang w:val="ru-RU"/>
        </w:rPr>
      </w:pPr>
      <w:r w:rsidRPr="00746B32">
        <w:rPr>
          <w:rFonts w:cs="Arial"/>
          <w:sz w:val="20"/>
          <w:lang w:val="ru-RU"/>
        </w:rPr>
        <w:t>Филипьев Александр Николаевич</w:t>
      </w:r>
      <w:r w:rsidRPr="00746B32">
        <w:rPr>
          <w:rFonts w:cs="Arial"/>
          <w:sz w:val="20"/>
          <w:lang w:val="ru-RU"/>
        </w:rPr>
        <w:tab/>
        <w:t>Ижмяков Николай Валентинович</w:t>
      </w:r>
    </w:p>
    <w:p w:rsidR="000C1725" w:rsidRPr="00746B32" w:rsidRDefault="000C1725" w:rsidP="000C1725">
      <w:pPr>
        <w:tabs>
          <w:tab w:val="left" w:pos="5387"/>
        </w:tabs>
        <w:ind w:left="5387" w:hanging="5387"/>
        <w:rPr>
          <w:rFonts w:cs="Arial"/>
          <w:sz w:val="20"/>
          <w:lang w:val="ru-RU"/>
        </w:rPr>
      </w:pPr>
      <w:r w:rsidRPr="00746B32">
        <w:rPr>
          <w:rFonts w:cs="Arial"/>
          <w:sz w:val="20"/>
          <w:lang w:val="ru-RU"/>
        </w:rPr>
        <w:t>Председатель Правления</w:t>
      </w:r>
      <w:r w:rsidRPr="00746B32">
        <w:rPr>
          <w:rFonts w:cs="Arial"/>
          <w:sz w:val="20"/>
          <w:lang w:val="ru-RU"/>
        </w:rPr>
        <w:tab/>
        <w:t>Главный бухгалтер</w:t>
      </w:r>
    </w:p>
    <w:p w:rsidR="000C1725" w:rsidRPr="00746B32" w:rsidRDefault="000C1725" w:rsidP="000C1725">
      <w:pPr>
        <w:tabs>
          <w:tab w:val="left" w:pos="5387"/>
        </w:tabs>
        <w:ind w:left="5387" w:hanging="5387"/>
        <w:rPr>
          <w:rFonts w:cs="Arial"/>
          <w:i/>
          <w:smallCaps/>
          <w:sz w:val="20"/>
          <w:lang w:val="ru-RU"/>
        </w:rPr>
      </w:pPr>
    </w:p>
    <w:p w:rsidR="000C1725" w:rsidRPr="00746B32" w:rsidRDefault="000C1725" w:rsidP="000C1725">
      <w:pPr>
        <w:pStyle w:val="Tabletext"/>
        <w:rPr>
          <w:rFonts w:cs="Arial"/>
          <w:sz w:val="20"/>
          <w:lang w:val="ru-RU"/>
        </w:rPr>
      </w:pPr>
    </w:p>
    <w:p w:rsidR="000C1725" w:rsidRPr="00746B32" w:rsidRDefault="000C1725" w:rsidP="000C1725">
      <w:pPr>
        <w:pStyle w:val="Tabletext"/>
        <w:rPr>
          <w:rFonts w:cs="Arial"/>
          <w:sz w:val="20"/>
          <w:lang w:val="ru-RU"/>
        </w:rPr>
      </w:pPr>
      <w:r w:rsidRPr="00746B32">
        <w:rPr>
          <w:rFonts w:cs="Arial"/>
          <w:sz w:val="20"/>
          <w:lang w:val="ru-RU"/>
        </w:rPr>
        <w:t>20 января 2016 года</w:t>
      </w:r>
    </w:p>
    <w:p w:rsidR="000C1725" w:rsidRPr="00902806" w:rsidRDefault="000C1725" w:rsidP="00137009">
      <w:pPr>
        <w:rPr>
          <w:rFonts w:cs="Arial"/>
          <w:szCs w:val="24"/>
          <w:highlight w:val="yellow"/>
          <w:lang w:val="ru-RU"/>
        </w:rPr>
        <w:sectPr w:rsidR="000C1725" w:rsidRPr="00902806" w:rsidSect="00E1603B">
          <w:headerReference w:type="default" r:id="rId21"/>
          <w:pgSz w:w="11907" w:h="16840" w:code="9"/>
          <w:pgMar w:top="1134" w:right="851" w:bottom="1134" w:left="1701" w:header="709" w:footer="709" w:gutter="0"/>
          <w:paperSrc w:other="15"/>
          <w:cols w:space="720"/>
          <w:noEndnote/>
        </w:sectPr>
      </w:pPr>
    </w:p>
    <w:p w:rsidR="00323BC0" w:rsidRPr="00DB0AC3" w:rsidRDefault="00323BC0" w:rsidP="00323BC0">
      <w:pPr>
        <w:pStyle w:val="1"/>
        <w:keepNext w:val="0"/>
        <w:numPr>
          <w:ilvl w:val="0"/>
          <w:numId w:val="3"/>
        </w:numPr>
        <w:spacing w:before="0"/>
        <w:rPr>
          <w:rFonts w:cs="Arial"/>
          <w:szCs w:val="24"/>
          <w:lang w:val="ru-RU"/>
        </w:rPr>
      </w:pPr>
      <w:bookmarkStart w:id="0" w:name="_Введение"/>
      <w:bookmarkStart w:id="1" w:name="_Toc441479788"/>
      <w:bookmarkStart w:id="2" w:name="_Ref192388154"/>
      <w:bookmarkStart w:id="3" w:name="_Toc416086208"/>
      <w:bookmarkEnd w:id="0"/>
      <w:r w:rsidRPr="00DB0AC3">
        <w:rPr>
          <w:rFonts w:cs="Arial"/>
          <w:szCs w:val="24"/>
          <w:lang w:val="ru-RU"/>
        </w:rPr>
        <w:lastRenderedPageBreak/>
        <w:t>Основная деятельность Банка</w:t>
      </w:r>
      <w:bookmarkEnd w:id="1"/>
    </w:p>
    <w:p w:rsidR="00323BC0" w:rsidRPr="00DB0AC3" w:rsidRDefault="00323BC0" w:rsidP="00F33716">
      <w:pPr>
        <w:jc w:val="both"/>
        <w:rPr>
          <w:rFonts w:cs="Arial"/>
          <w:sz w:val="20"/>
          <w:lang w:val="ru-RU"/>
        </w:rPr>
      </w:pPr>
      <w:r w:rsidRPr="00DB0AC3">
        <w:rPr>
          <w:rFonts w:cs="Arial"/>
          <w:sz w:val="20"/>
          <w:lang w:val="ru-RU"/>
        </w:rPr>
        <w:t xml:space="preserve">Данная финансовая отчетность </w:t>
      </w:r>
      <w:r w:rsidR="00BD011F" w:rsidRPr="00BD011F">
        <w:rPr>
          <w:rFonts w:cs="Arial"/>
          <w:sz w:val="20"/>
          <w:lang w:val="ru-RU"/>
        </w:rPr>
        <w:t xml:space="preserve">Санкт-Петербургского акционерного коммерческого банка «Таврический» (открытое акционерное общество) </w:t>
      </w:r>
      <w:r w:rsidRPr="00DB0AC3">
        <w:rPr>
          <w:rFonts w:cs="Arial"/>
          <w:sz w:val="20"/>
          <w:lang w:val="ru-RU"/>
        </w:rPr>
        <w:t>(далее</w:t>
      </w:r>
      <w:r w:rsidR="00AD3AD6">
        <w:rPr>
          <w:rFonts w:cs="Arial"/>
          <w:sz w:val="20"/>
          <w:lang w:val="ru-RU"/>
        </w:rPr>
        <w:t xml:space="preserve"> </w:t>
      </w:r>
      <w:r w:rsidR="00266B98" w:rsidRPr="00DB0AC3">
        <w:rPr>
          <w:rFonts w:cs="Arial"/>
          <w:sz w:val="20"/>
          <w:lang w:val="ru-RU"/>
        </w:rPr>
        <w:t>–</w:t>
      </w:r>
      <w:r w:rsidRPr="00DB0AC3">
        <w:rPr>
          <w:rFonts w:cs="Arial"/>
          <w:sz w:val="20"/>
          <w:lang w:val="ru-RU"/>
        </w:rPr>
        <w:t xml:space="preserve"> «Банк») подготовлена в соответствии с Международными стандартами финансовой отчетности (далее – «МСФО») за год, закончившийся 31 декабря 2014 года.</w:t>
      </w:r>
    </w:p>
    <w:p w:rsidR="00323BC0" w:rsidRPr="00DB0AC3" w:rsidRDefault="00323BC0" w:rsidP="00323BC0">
      <w:pPr>
        <w:spacing w:after="240"/>
        <w:jc w:val="both"/>
        <w:rPr>
          <w:rFonts w:cs="Arial"/>
          <w:sz w:val="20"/>
          <w:lang w:val="ru-RU"/>
        </w:rPr>
      </w:pPr>
      <w:r w:rsidRPr="00DB0AC3">
        <w:rPr>
          <w:rFonts w:cs="Arial"/>
          <w:sz w:val="20"/>
          <w:lang w:val="ru-RU"/>
        </w:rPr>
        <w:t>Банк зарегистрирован и имеет юридический адрес на территории Российской Федерации. Банк имеет форму открытого акционерного общества</w:t>
      </w:r>
      <w:r w:rsidR="005A4C4B">
        <w:rPr>
          <w:rFonts w:cs="Arial"/>
          <w:sz w:val="20"/>
          <w:lang w:val="ru-RU"/>
        </w:rPr>
        <w:t xml:space="preserve"> </w:t>
      </w:r>
      <w:r w:rsidRPr="00DB0AC3">
        <w:rPr>
          <w:rFonts w:cs="Arial"/>
          <w:sz w:val="20"/>
          <w:lang w:val="ru-RU"/>
        </w:rPr>
        <w:t>и был создан в соответствии с требованиями российского законодательства.</w:t>
      </w:r>
    </w:p>
    <w:p w:rsidR="00323BC0" w:rsidRPr="00DB0AC3" w:rsidRDefault="00323BC0" w:rsidP="00323BC0">
      <w:pPr>
        <w:spacing w:after="240"/>
        <w:jc w:val="both"/>
        <w:rPr>
          <w:rFonts w:cs="Arial"/>
          <w:sz w:val="20"/>
          <w:lang w:val="ru-RU"/>
        </w:rPr>
      </w:pPr>
      <w:r w:rsidRPr="00DB0AC3">
        <w:rPr>
          <w:rFonts w:cs="Arial"/>
          <w:sz w:val="20"/>
          <w:lang w:val="ru-RU"/>
        </w:rPr>
        <w:t>Состав акционеров по состоянию на 31 декабря 2014 года и на 31 декабря 2013 года:</w:t>
      </w:r>
    </w:p>
    <w:tbl>
      <w:tblPr>
        <w:tblW w:w="9356" w:type="dxa"/>
        <w:tblInd w:w="108" w:type="dxa"/>
        <w:tblLayout w:type="fixed"/>
        <w:tblLook w:val="04A0"/>
      </w:tblPr>
      <w:tblGrid>
        <w:gridCol w:w="6237"/>
        <w:gridCol w:w="1559"/>
        <w:gridCol w:w="1560"/>
      </w:tblGrid>
      <w:tr w:rsidR="00323BC0" w:rsidRPr="00DB0AC3" w:rsidTr="00996C04">
        <w:tc>
          <w:tcPr>
            <w:tcW w:w="6237" w:type="dxa"/>
            <w:tcBorders>
              <w:bottom w:val="single" w:sz="4" w:space="0" w:color="auto"/>
            </w:tcBorders>
            <w:shd w:val="clear" w:color="auto" w:fill="auto"/>
            <w:noWrap/>
            <w:vAlign w:val="bottom"/>
            <w:hideMark/>
          </w:tcPr>
          <w:p w:rsidR="00323BC0" w:rsidRPr="00ED3E6F" w:rsidRDefault="00323BC0" w:rsidP="00996C04">
            <w:pPr>
              <w:ind w:left="88" w:hanging="88"/>
              <w:rPr>
                <w:rFonts w:cs="Arial"/>
                <w:b/>
                <w:i/>
                <w:color w:val="000000"/>
                <w:szCs w:val="18"/>
                <w:lang w:val="ru-RU"/>
              </w:rPr>
            </w:pPr>
            <w:r w:rsidRPr="00ED3E6F">
              <w:rPr>
                <w:rFonts w:cs="Arial"/>
                <w:b/>
              </w:rPr>
              <w:t>Акционер</w:t>
            </w:r>
          </w:p>
        </w:tc>
        <w:tc>
          <w:tcPr>
            <w:tcW w:w="1559" w:type="dxa"/>
            <w:tcBorders>
              <w:bottom w:val="single" w:sz="4" w:space="0" w:color="auto"/>
            </w:tcBorders>
          </w:tcPr>
          <w:p w:rsidR="00323BC0" w:rsidRPr="00DB0AC3" w:rsidRDefault="00323BC0" w:rsidP="00996C04">
            <w:pPr>
              <w:jc w:val="right"/>
              <w:rPr>
                <w:rFonts w:cs="Arial"/>
                <w:b/>
                <w:color w:val="000000"/>
                <w:szCs w:val="18"/>
                <w:lang w:val="en-US"/>
              </w:rPr>
            </w:pPr>
            <w:r w:rsidRPr="00DB0AC3">
              <w:rPr>
                <w:rFonts w:cs="Arial"/>
                <w:b/>
                <w:color w:val="000000"/>
                <w:szCs w:val="18"/>
                <w:lang w:val="ru-RU"/>
              </w:rPr>
              <w:t>2014</w:t>
            </w:r>
          </w:p>
        </w:tc>
        <w:tc>
          <w:tcPr>
            <w:tcW w:w="1560" w:type="dxa"/>
            <w:tcBorders>
              <w:bottom w:val="single" w:sz="4" w:space="0" w:color="auto"/>
            </w:tcBorders>
            <w:shd w:val="clear" w:color="auto" w:fill="auto"/>
            <w:noWrap/>
            <w:hideMark/>
          </w:tcPr>
          <w:p w:rsidR="00323BC0" w:rsidRPr="00DB0AC3" w:rsidRDefault="00323BC0" w:rsidP="00996C04">
            <w:pPr>
              <w:jc w:val="right"/>
              <w:rPr>
                <w:rFonts w:cs="Arial"/>
                <w:b/>
                <w:color w:val="000000"/>
                <w:szCs w:val="18"/>
                <w:lang w:val="en-US"/>
              </w:rPr>
            </w:pPr>
            <w:r w:rsidRPr="00DB0AC3">
              <w:rPr>
                <w:rFonts w:cs="Arial"/>
                <w:b/>
                <w:color w:val="000000"/>
                <w:szCs w:val="18"/>
                <w:lang w:val="ru-RU"/>
              </w:rPr>
              <w:t>201</w:t>
            </w:r>
            <w:r w:rsidRPr="00DB0AC3">
              <w:rPr>
                <w:rFonts w:cs="Arial"/>
                <w:b/>
                <w:color w:val="000000"/>
                <w:szCs w:val="18"/>
                <w:lang w:val="en-US"/>
              </w:rPr>
              <w:t>3</w:t>
            </w:r>
          </w:p>
        </w:tc>
      </w:tr>
      <w:tr w:rsidR="00323BC0" w:rsidRPr="00DB0AC3" w:rsidTr="00996C04">
        <w:tc>
          <w:tcPr>
            <w:tcW w:w="6237" w:type="dxa"/>
            <w:tcBorders>
              <w:top w:val="single" w:sz="4" w:space="0" w:color="auto"/>
            </w:tcBorders>
            <w:shd w:val="clear" w:color="auto" w:fill="auto"/>
            <w:noWrap/>
            <w:vAlign w:val="bottom"/>
            <w:hideMark/>
          </w:tcPr>
          <w:p w:rsidR="00323BC0" w:rsidRPr="00DB0AC3" w:rsidRDefault="00323BC0" w:rsidP="00996C04">
            <w:pPr>
              <w:ind w:left="88" w:hanging="88"/>
              <w:rPr>
                <w:rFonts w:cs="Arial"/>
                <w:color w:val="000000"/>
                <w:szCs w:val="6"/>
                <w:lang w:val="en-US"/>
              </w:rPr>
            </w:pPr>
            <w:r w:rsidRPr="00DB0AC3">
              <w:rPr>
                <w:rFonts w:cs="Arial"/>
                <w:color w:val="000000"/>
                <w:szCs w:val="6"/>
                <w:lang w:val="en-US"/>
              </w:rPr>
              <w:t> </w:t>
            </w:r>
          </w:p>
        </w:tc>
        <w:tc>
          <w:tcPr>
            <w:tcW w:w="1559" w:type="dxa"/>
            <w:tcBorders>
              <w:top w:val="single" w:sz="4" w:space="0" w:color="auto"/>
            </w:tcBorders>
            <w:vAlign w:val="bottom"/>
          </w:tcPr>
          <w:p w:rsidR="00323BC0" w:rsidRPr="00DB0AC3" w:rsidRDefault="00323BC0" w:rsidP="00996C04">
            <w:pPr>
              <w:jc w:val="right"/>
              <w:rPr>
                <w:rFonts w:cs="Arial"/>
                <w:color w:val="000000"/>
                <w:szCs w:val="6"/>
                <w:lang w:val="ru-RU"/>
              </w:rPr>
            </w:pPr>
          </w:p>
        </w:tc>
        <w:tc>
          <w:tcPr>
            <w:tcW w:w="1560" w:type="dxa"/>
            <w:tcBorders>
              <w:top w:val="single" w:sz="4" w:space="0" w:color="auto"/>
            </w:tcBorders>
            <w:shd w:val="clear" w:color="auto" w:fill="auto"/>
            <w:noWrap/>
            <w:vAlign w:val="bottom"/>
            <w:hideMark/>
          </w:tcPr>
          <w:p w:rsidR="00323BC0" w:rsidRPr="00DB0AC3" w:rsidRDefault="00323BC0" w:rsidP="00996C04">
            <w:pPr>
              <w:jc w:val="right"/>
              <w:rPr>
                <w:rFonts w:cs="Arial"/>
                <w:color w:val="000000"/>
                <w:szCs w:val="6"/>
                <w:lang w:val="ru-RU"/>
              </w:rPr>
            </w:pP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Захаржевский О. Ю.</w:t>
            </w:r>
          </w:p>
        </w:tc>
        <w:tc>
          <w:tcPr>
            <w:tcW w:w="1559" w:type="dxa"/>
          </w:tcPr>
          <w:p w:rsidR="00323BC0" w:rsidRPr="00DB0AC3" w:rsidRDefault="00323BC0" w:rsidP="00996C04">
            <w:pPr>
              <w:jc w:val="right"/>
              <w:rPr>
                <w:rFonts w:cs="Arial"/>
              </w:rPr>
            </w:pPr>
            <w:r w:rsidRPr="00DB0AC3">
              <w:rPr>
                <w:rFonts w:cs="Arial"/>
              </w:rPr>
              <w:t>8.3</w:t>
            </w:r>
          </w:p>
        </w:tc>
        <w:tc>
          <w:tcPr>
            <w:tcW w:w="1560" w:type="dxa"/>
            <w:shd w:val="clear" w:color="auto" w:fill="auto"/>
            <w:noWrap/>
            <w:hideMark/>
          </w:tcPr>
          <w:p w:rsidR="00323BC0" w:rsidRPr="00DB0AC3" w:rsidRDefault="00323BC0" w:rsidP="00996C04">
            <w:pPr>
              <w:jc w:val="right"/>
              <w:rPr>
                <w:rFonts w:cs="Arial"/>
              </w:rPr>
            </w:pPr>
            <w:r w:rsidRPr="00DB0AC3">
              <w:rPr>
                <w:rFonts w:cs="Arial"/>
              </w:rPr>
              <w:t>10.4</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Кузнецов И. В.</w:t>
            </w:r>
          </w:p>
        </w:tc>
        <w:tc>
          <w:tcPr>
            <w:tcW w:w="1559" w:type="dxa"/>
          </w:tcPr>
          <w:p w:rsidR="00323BC0" w:rsidRPr="00DB0AC3" w:rsidRDefault="00323BC0" w:rsidP="00996C04">
            <w:pPr>
              <w:jc w:val="right"/>
              <w:rPr>
                <w:rFonts w:cs="Arial"/>
              </w:rPr>
            </w:pPr>
            <w:r w:rsidRPr="00DB0AC3">
              <w:rPr>
                <w:rFonts w:cs="Arial"/>
              </w:rPr>
              <w:t>7.8</w:t>
            </w:r>
          </w:p>
        </w:tc>
        <w:tc>
          <w:tcPr>
            <w:tcW w:w="1560" w:type="dxa"/>
            <w:shd w:val="clear" w:color="auto" w:fill="auto"/>
            <w:noWrap/>
            <w:hideMark/>
          </w:tcPr>
          <w:p w:rsidR="00323BC0" w:rsidRPr="00DB0AC3" w:rsidRDefault="00323BC0" w:rsidP="00996C04">
            <w:pPr>
              <w:jc w:val="right"/>
              <w:rPr>
                <w:rFonts w:cs="Arial"/>
              </w:rPr>
            </w:pPr>
            <w:r w:rsidRPr="00DB0AC3">
              <w:rPr>
                <w:rFonts w:cs="Arial"/>
              </w:rPr>
              <w:t>7.8</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Сомов С.А.</w:t>
            </w:r>
          </w:p>
        </w:tc>
        <w:tc>
          <w:tcPr>
            <w:tcW w:w="1559" w:type="dxa"/>
          </w:tcPr>
          <w:p w:rsidR="00323BC0" w:rsidRPr="00DB0AC3" w:rsidRDefault="00323BC0" w:rsidP="00996C04">
            <w:pPr>
              <w:jc w:val="right"/>
              <w:rPr>
                <w:rFonts w:cs="Arial"/>
              </w:rPr>
            </w:pPr>
            <w:r w:rsidRPr="00DB0AC3">
              <w:rPr>
                <w:rFonts w:cs="Arial"/>
              </w:rPr>
              <w:t>9.5</w:t>
            </w:r>
          </w:p>
        </w:tc>
        <w:tc>
          <w:tcPr>
            <w:tcW w:w="1560" w:type="dxa"/>
            <w:shd w:val="clear" w:color="auto" w:fill="auto"/>
            <w:noWrap/>
            <w:hideMark/>
          </w:tcPr>
          <w:p w:rsidR="00323BC0" w:rsidRPr="00DB0AC3" w:rsidRDefault="00323BC0" w:rsidP="00996C04">
            <w:pPr>
              <w:jc w:val="right"/>
              <w:rPr>
                <w:rFonts w:cs="Arial"/>
              </w:rPr>
            </w:pPr>
            <w:r w:rsidRPr="00DB0AC3">
              <w:rPr>
                <w:rFonts w:cs="Arial"/>
              </w:rPr>
              <w:t>9.5</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SpareBank 1 Nord-Norge</w:t>
            </w:r>
          </w:p>
        </w:tc>
        <w:tc>
          <w:tcPr>
            <w:tcW w:w="1559" w:type="dxa"/>
          </w:tcPr>
          <w:p w:rsidR="00323BC0" w:rsidRPr="00DB0AC3" w:rsidRDefault="00323BC0" w:rsidP="00996C04">
            <w:pPr>
              <w:jc w:val="right"/>
              <w:rPr>
                <w:rFonts w:cs="Arial"/>
              </w:rPr>
            </w:pPr>
            <w:r w:rsidRPr="00DB0AC3">
              <w:rPr>
                <w:rFonts w:cs="Arial"/>
              </w:rPr>
              <w:t>9.3</w:t>
            </w:r>
          </w:p>
        </w:tc>
        <w:tc>
          <w:tcPr>
            <w:tcW w:w="1560" w:type="dxa"/>
            <w:shd w:val="clear" w:color="auto" w:fill="auto"/>
            <w:noWrap/>
            <w:hideMark/>
          </w:tcPr>
          <w:p w:rsidR="00323BC0" w:rsidRPr="00DB0AC3" w:rsidRDefault="00323BC0" w:rsidP="00996C04">
            <w:pPr>
              <w:jc w:val="right"/>
              <w:rPr>
                <w:rFonts w:cs="Arial"/>
              </w:rPr>
            </w:pPr>
            <w:r w:rsidRPr="00DB0AC3">
              <w:rPr>
                <w:rFonts w:cs="Arial"/>
              </w:rPr>
              <w:t>9.3</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ООО «Вест - Инвест»</w:t>
            </w:r>
          </w:p>
        </w:tc>
        <w:tc>
          <w:tcPr>
            <w:tcW w:w="1559" w:type="dxa"/>
          </w:tcPr>
          <w:p w:rsidR="00323BC0" w:rsidRPr="00DB0AC3" w:rsidRDefault="00323BC0" w:rsidP="00996C04">
            <w:pPr>
              <w:jc w:val="right"/>
              <w:rPr>
                <w:rFonts w:cs="Arial"/>
              </w:rPr>
            </w:pPr>
            <w:r w:rsidRPr="00DB0AC3">
              <w:rPr>
                <w:rFonts w:cs="Arial"/>
              </w:rPr>
              <w:t>4.8</w:t>
            </w:r>
          </w:p>
        </w:tc>
        <w:tc>
          <w:tcPr>
            <w:tcW w:w="1560" w:type="dxa"/>
            <w:shd w:val="clear" w:color="auto" w:fill="auto"/>
            <w:noWrap/>
            <w:hideMark/>
          </w:tcPr>
          <w:p w:rsidR="00323BC0" w:rsidRPr="00DB0AC3" w:rsidRDefault="00323BC0" w:rsidP="00996C04">
            <w:pPr>
              <w:jc w:val="right"/>
              <w:rPr>
                <w:rFonts w:cs="Arial"/>
              </w:rPr>
            </w:pPr>
            <w:r w:rsidRPr="00DB0AC3">
              <w:rPr>
                <w:rFonts w:cs="Arial"/>
              </w:rPr>
              <w:t>4.8</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OOO «НевскийКапитал»</w:t>
            </w:r>
          </w:p>
        </w:tc>
        <w:tc>
          <w:tcPr>
            <w:tcW w:w="1559" w:type="dxa"/>
          </w:tcPr>
          <w:p w:rsidR="00323BC0" w:rsidRPr="00DB0AC3" w:rsidRDefault="00323BC0" w:rsidP="00996C04">
            <w:pPr>
              <w:jc w:val="right"/>
              <w:rPr>
                <w:rFonts w:cs="Arial"/>
              </w:rPr>
            </w:pPr>
            <w:r w:rsidRPr="00DB0AC3">
              <w:rPr>
                <w:rFonts w:cs="Arial"/>
              </w:rPr>
              <w:t>4.5</w:t>
            </w:r>
          </w:p>
        </w:tc>
        <w:tc>
          <w:tcPr>
            <w:tcW w:w="1560" w:type="dxa"/>
            <w:shd w:val="clear" w:color="auto" w:fill="auto"/>
            <w:noWrap/>
            <w:hideMark/>
          </w:tcPr>
          <w:p w:rsidR="00323BC0" w:rsidRPr="00DB0AC3" w:rsidRDefault="00323BC0" w:rsidP="00996C04">
            <w:pPr>
              <w:jc w:val="right"/>
              <w:rPr>
                <w:rFonts w:cs="Arial"/>
              </w:rPr>
            </w:pPr>
            <w:r w:rsidRPr="00DB0AC3">
              <w:rPr>
                <w:rFonts w:cs="Arial"/>
              </w:rPr>
              <w:t>4.5</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ООО «АлкорХолдинг»</w:t>
            </w:r>
          </w:p>
        </w:tc>
        <w:tc>
          <w:tcPr>
            <w:tcW w:w="1559" w:type="dxa"/>
          </w:tcPr>
          <w:p w:rsidR="00323BC0" w:rsidRPr="00DB0AC3" w:rsidRDefault="00323BC0" w:rsidP="00996C04">
            <w:pPr>
              <w:jc w:val="right"/>
              <w:rPr>
                <w:rFonts w:cs="Arial"/>
              </w:rPr>
            </w:pPr>
            <w:r w:rsidRPr="00DB0AC3">
              <w:rPr>
                <w:rFonts w:cs="Arial"/>
              </w:rPr>
              <w:t>4.1</w:t>
            </w:r>
          </w:p>
        </w:tc>
        <w:tc>
          <w:tcPr>
            <w:tcW w:w="1560" w:type="dxa"/>
            <w:shd w:val="clear" w:color="auto" w:fill="auto"/>
            <w:noWrap/>
            <w:hideMark/>
          </w:tcPr>
          <w:p w:rsidR="00323BC0" w:rsidRPr="00DB0AC3" w:rsidRDefault="00323BC0" w:rsidP="00996C04">
            <w:pPr>
              <w:jc w:val="right"/>
              <w:rPr>
                <w:rFonts w:cs="Arial"/>
              </w:rPr>
            </w:pPr>
            <w:r w:rsidRPr="00DB0AC3">
              <w:rPr>
                <w:rFonts w:cs="Arial"/>
              </w:rPr>
              <w:t>4.1</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Алымов О.В.</w:t>
            </w:r>
          </w:p>
        </w:tc>
        <w:tc>
          <w:tcPr>
            <w:tcW w:w="1559" w:type="dxa"/>
          </w:tcPr>
          <w:p w:rsidR="00323BC0" w:rsidRPr="00DB0AC3" w:rsidRDefault="00323BC0" w:rsidP="00996C04">
            <w:pPr>
              <w:jc w:val="right"/>
              <w:rPr>
                <w:rFonts w:cs="Arial"/>
              </w:rPr>
            </w:pPr>
            <w:r w:rsidRPr="00DB0AC3">
              <w:rPr>
                <w:rFonts w:cs="Arial"/>
              </w:rPr>
              <w:t>4.4</w:t>
            </w:r>
          </w:p>
        </w:tc>
        <w:tc>
          <w:tcPr>
            <w:tcW w:w="1560" w:type="dxa"/>
            <w:shd w:val="clear" w:color="auto" w:fill="auto"/>
            <w:noWrap/>
            <w:hideMark/>
          </w:tcPr>
          <w:p w:rsidR="00323BC0" w:rsidRPr="00DB0AC3" w:rsidRDefault="00323BC0" w:rsidP="00996C04">
            <w:pPr>
              <w:jc w:val="right"/>
              <w:rPr>
                <w:rFonts w:cs="Arial"/>
              </w:rPr>
            </w:pPr>
            <w:r w:rsidRPr="00DB0AC3">
              <w:rPr>
                <w:rFonts w:cs="Arial"/>
              </w:rPr>
              <w:t>4.4</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ООО «Ветка»</w:t>
            </w:r>
          </w:p>
        </w:tc>
        <w:tc>
          <w:tcPr>
            <w:tcW w:w="1559" w:type="dxa"/>
          </w:tcPr>
          <w:p w:rsidR="00323BC0" w:rsidRPr="00DB0AC3" w:rsidRDefault="00323BC0" w:rsidP="00996C04">
            <w:pPr>
              <w:jc w:val="right"/>
              <w:rPr>
                <w:rFonts w:cs="Arial"/>
              </w:rPr>
            </w:pPr>
            <w:r w:rsidRPr="00DB0AC3">
              <w:rPr>
                <w:rFonts w:cs="Arial"/>
              </w:rPr>
              <w:t>3.4</w:t>
            </w:r>
          </w:p>
        </w:tc>
        <w:tc>
          <w:tcPr>
            <w:tcW w:w="1560" w:type="dxa"/>
            <w:shd w:val="clear" w:color="auto" w:fill="auto"/>
            <w:noWrap/>
            <w:hideMark/>
          </w:tcPr>
          <w:p w:rsidR="00323BC0" w:rsidRPr="00DB0AC3" w:rsidRDefault="00323BC0" w:rsidP="00996C04">
            <w:pPr>
              <w:jc w:val="right"/>
              <w:rPr>
                <w:rFonts w:cs="Arial"/>
              </w:rPr>
            </w:pPr>
            <w:r w:rsidRPr="00DB0AC3">
              <w:rPr>
                <w:rFonts w:cs="Arial"/>
              </w:rPr>
              <w:t>3.4</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Махаури Х.Д.</w:t>
            </w:r>
          </w:p>
        </w:tc>
        <w:tc>
          <w:tcPr>
            <w:tcW w:w="1559" w:type="dxa"/>
          </w:tcPr>
          <w:p w:rsidR="00323BC0" w:rsidRPr="00DB0AC3" w:rsidRDefault="00323BC0" w:rsidP="00996C04">
            <w:pPr>
              <w:jc w:val="right"/>
              <w:rPr>
                <w:rFonts w:cs="Arial"/>
              </w:rPr>
            </w:pPr>
            <w:r w:rsidRPr="00DB0AC3">
              <w:rPr>
                <w:rFonts w:cs="Arial"/>
              </w:rPr>
              <w:t>2.4</w:t>
            </w:r>
          </w:p>
        </w:tc>
        <w:tc>
          <w:tcPr>
            <w:tcW w:w="1560" w:type="dxa"/>
            <w:shd w:val="clear" w:color="auto" w:fill="auto"/>
            <w:noWrap/>
            <w:hideMark/>
          </w:tcPr>
          <w:p w:rsidR="00323BC0" w:rsidRPr="00DB0AC3" w:rsidRDefault="00323BC0" w:rsidP="00996C04">
            <w:pPr>
              <w:jc w:val="right"/>
              <w:rPr>
                <w:rFonts w:cs="Arial"/>
              </w:rPr>
            </w:pPr>
            <w:r w:rsidRPr="00DB0AC3">
              <w:rPr>
                <w:rFonts w:cs="Arial"/>
              </w:rPr>
              <w:t>2.4</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Кирин Д.Н.</w:t>
            </w:r>
          </w:p>
        </w:tc>
        <w:tc>
          <w:tcPr>
            <w:tcW w:w="1559" w:type="dxa"/>
          </w:tcPr>
          <w:p w:rsidR="00323BC0" w:rsidRPr="00DB0AC3" w:rsidRDefault="00323BC0" w:rsidP="00996C04">
            <w:pPr>
              <w:jc w:val="right"/>
              <w:rPr>
                <w:rFonts w:cs="Arial"/>
              </w:rPr>
            </w:pPr>
            <w:r w:rsidRPr="00DB0AC3">
              <w:rPr>
                <w:rFonts w:cs="Arial"/>
              </w:rPr>
              <w:t>3.8</w:t>
            </w:r>
          </w:p>
        </w:tc>
        <w:tc>
          <w:tcPr>
            <w:tcW w:w="1560" w:type="dxa"/>
            <w:shd w:val="clear" w:color="auto" w:fill="auto"/>
            <w:noWrap/>
            <w:hideMark/>
          </w:tcPr>
          <w:p w:rsidR="00323BC0" w:rsidRPr="00DB0AC3" w:rsidRDefault="00323BC0" w:rsidP="00996C04">
            <w:pPr>
              <w:jc w:val="right"/>
              <w:rPr>
                <w:rFonts w:cs="Arial"/>
              </w:rPr>
            </w:pPr>
            <w:r w:rsidRPr="00DB0AC3">
              <w:rPr>
                <w:rFonts w:cs="Arial"/>
              </w:rPr>
              <w:t>3.8</w:t>
            </w:r>
          </w:p>
        </w:tc>
      </w:tr>
      <w:tr w:rsidR="00323BC0" w:rsidRPr="00DB0AC3" w:rsidTr="00996C04">
        <w:tc>
          <w:tcPr>
            <w:tcW w:w="6237" w:type="dxa"/>
            <w:shd w:val="clear" w:color="auto" w:fill="auto"/>
            <w:noWrap/>
            <w:hideMark/>
          </w:tcPr>
          <w:p w:rsidR="00323BC0" w:rsidRPr="00DB0AC3" w:rsidRDefault="00323BC0" w:rsidP="00996C04">
            <w:pPr>
              <w:rPr>
                <w:rFonts w:cs="Arial"/>
              </w:rPr>
            </w:pPr>
            <w:r w:rsidRPr="00DB0AC3">
              <w:rPr>
                <w:rFonts w:cs="Arial"/>
              </w:rPr>
              <w:t>ОАО СПИК</w:t>
            </w:r>
          </w:p>
        </w:tc>
        <w:tc>
          <w:tcPr>
            <w:tcW w:w="1559" w:type="dxa"/>
          </w:tcPr>
          <w:p w:rsidR="00323BC0" w:rsidRPr="00DB0AC3" w:rsidRDefault="00323BC0" w:rsidP="00996C04">
            <w:pPr>
              <w:jc w:val="right"/>
              <w:rPr>
                <w:rFonts w:cs="Arial"/>
              </w:rPr>
            </w:pPr>
            <w:r w:rsidRPr="00DB0AC3">
              <w:rPr>
                <w:rFonts w:cs="Arial"/>
              </w:rPr>
              <w:t>5.1</w:t>
            </w:r>
          </w:p>
        </w:tc>
        <w:tc>
          <w:tcPr>
            <w:tcW w:w="1560" w:type="dxa"/>
            <w:shd w:val="clear" w:color="auto" w:fill="auto"/>
            <w:noWrap/>
            <w:hideMark/>
          </w:tcPr>
          <w:p w:rsidR="00323BC0" w:rsidRPr="00DB0AC3" w:rsidRDefault="00323BC0" w:rsidP="00996C04">
            <w:pPr>
              <w:jc w:val="right"/>
              <w:rPr>
                <w:rFonts w:cs="Arial"/>
              </w:rPr>
            </w:pPr>
            <w:r w:rsidRPr="00DB0AC3">
              <w:rPr>
                <w:rFonts w:cs="Arial"/>
              </w:rPr>
              <w:t>5.1</w:t>
            </w:r>
          </w:p>
        </w:tc>
      </w:tr>
      <w:tr w:rsidR="00323BC0" w:rsidRPr="00DB0AC3" w:rsidTr="00996C04">
        <w:tc>
          <w:tcPr>
            <w:tcW w:w="6237" w:type="dxa"/>
            <w:shd w:val="clear" w:color="auto" w:fill="auto"/>
            <w:noWrap/>
            <w:hideMark/>
          </w:tcPr>
          <w:p w:rsidR="00323BC0" w:rsidRPr="00DB0AC3" w:rsidRDefault="00323BC0" w:rsidP="00996C04">
            <w:pPr>
              <w:rPr>
                <w:rFonts w:cs="Arial"/>
                <w:lang w:val="ru-RU"/>
              </w:rPr>
            </w:pPr>
            <w:r w:rsidRPr="00DB0AC3">
              <w:rPr>
                <w:rFonts w:cs="Arial"/>
                <w:lang w:val="ru-RU"/>
              </w:rPr>
              <w:t xml:space="preserve">Прочие акционеры (с долей менее 5%) </w:t>
            </w:r>
          </w:p>
        </w:tc>
        <w:tc>
          <w:tcPr>
            <w:tcW w:w="1559" w:type="dxa"/>
          </w:tcPr>
          <w:p w:rsidR="00323BC0" w:rsidRPr="00DB0AC3" w:rsidRDefault="00323BC0" w:rsidP="00996C04">
            <w:pPr>
              <w:jc w:val="right"/>
              <w:rPr>
                <w:rFonts w:cs="Arial"/>
              </w:rPr>
            </w:pPr>
            <w:r w:rsidRPr="00DB0AC3">
              <w:rPr>
                <w:rFonts w:cs="Arial"/>
              </w:rPr>
              <w:t>32.6</w:t>
            </w:r>
          </w:p>
        </w:tc>
        <w:tc>
          <w:tcPr>
            <w:tcW w:w="1560" w:type="dxa"/>
            <w:shd w:val="clear" w:color="auto" w:fill="auto"/>
            <w:noWrap/>
            <w:hideMark/>
          </w:tcPr>
          <w:p w:rsidR="00323BC0" w:rsidRPr="00DB0AC3" w:rsidRDefault="00323BC0" w:rsidP="00996C04">
            <w:pPr>
              <w:jc w:val="right"/>
              <w:rPr>
                <w:rFonts w:cs="Arial"/>
              </w:rPr>
            </w:pPr>
            <w:r w:rsidRPr="00DB0AC3">
              <w:rPr>
                <w:rFonts w:cs="Arial"/>
              </w:rPr>
              <w:t>30.5</w:t>
            </w:r>
          </w:p>
        </w:tc>
      </w:tr>
      <w:tr w:rsidR="00323BC0" w:rsidRPr="00DB0AC3" w:rsidTr="00996C04">
        <w:tc>
          <w:tcPr>
            <w:tcW w:w="6237" w:type="dxa"/>
            <w:tcBorders>
              <w:bottom w:val="single" w:sz="4" w:space="0" w:color="auto"/>
            </w:tcBorders>
            <w:shd w:val="clear" w:color="auto" w:fill="auto"/>
            <w:noWrap/>
            <w:vAlign w:val="bottom"/>
          </w:tcPr>
          <w:p w:rsidR="00323BC0" w:rsidRPr="00DB0AC3" w:rsidRDefault="00323BC0" w:rsidP="00996C04">
            <w:pPr>
              <w:ind w:left="88" w:hanging="88"/>
              <w:rPr>
                <w:rFonts w:cs="Arial"/>
                <w:color w:val="FF0000"/>
                <w:szCs w:val="18"/>
                <w:lang w:val="ru-RU"/>
              </w:rPr>
            </w:pPr>
            <w:r w:rsidRPr="00DB0AC3">
              <w:rPr>
                <w:rFonts w:cs="Arial"/>
                <w:color w:val="FF0000"/>
                <w:szCs w:val="6"/>
                <w:lang w:val="en-US"/>
              </w:rPr>
              <w:t> </w:t>
            </w:r>
          </w:p>
        </w:tc>
        <w:tc>
          <w:tcPr>
            <w:tcW w:w="1559" w:type="dxa"/>
            <w:tcBorders>
              <w:bottom w:val="single" w:sz="4" w:space="0" w:color="auto"/>
            </w:tcBorders>
            <w:vAlign w:val="bottom"/>
          </w:tcPr>
          <w:p w:rsidR="00323BC0" w:rsidRPr="00DB0AC3" w:rsidRDefault="00323BC0" w:rsidP="00996C04">
            <w:pPr>
              <w:jc w:val="right"/>
              <w:rPr>
                <w:rFonts w:cs="Arial"/>
                <w:color w:val="FF0000"/>
                <w:szCs w:val="18"/>
                <w:lang w:val="ru-RU"/>
              </w:rPr>
            </w:pPr>
          </w:p>
        </w:tc>
        <w:tc>
          <w:tcPr>
            <w:tcW w:w="1560" w:type="dxa"/>
            <w:tcBorders>
              <w:bottom w:val="single" w:sz="4" w:space="0" w:color="auto"/>
            </w:tcBorders>
            <w:shd w:val="clear" w:color="auto" w:fill="auto"/>
            <w:noWrap/>
            <w:vAlign w:val="bottom"/>
          </w:tcPr>
          <w:p w:rsidR="00323BC0" w:rsidRPr="00DB0AC3" w:rsidRDefault="00323BC0" w:rsidP="00996C04">
            <w:pPr>
              <w:jc w:val="right"/>
              <w:rPr>
                <w:rFonts w:cs="Arial"/>
                <w:color w:val="FF0000"/>
                <w:szCs w:val="18"/>
                <w:lang w:val="ru-RU"/>
              </w:rPr>
            </w:pPr>
          </w:p>
        </w:tc>
      </w:tr>
      <w:tr w:rsidR="00323BC0" w:rsidRPr="00DB0AC3" w:rsidTr="00996C04">
        <w:tc>
          <w:tcPr>
            <w:tcW w:w="6237" w:type="dxa"/>
            <w:tcBorders>
              <w:top w:val="single" w:sz="4" w:space="0" w:color="auto"/>
            </w:tcBorders>
            <w:shd w:val="clear" w:color="auto" w:fill="auto"/>
            <w:noWrap/>
            <w:vAlign w:val="bottom"/>
          </w:tcPr>
          <w:p w:rsidR="00323BC0" w:rsidRPr="00DB0AC3" w:rsidRDefault="00323BC0" w:rsidP="00996C04">
            <w:pPr>
              <w:ind w:left="88" w:hanging="88"/>
              <w:rPr>
                <w:rFonts w:cs="Arial"/>
                <w:color w:val="000000"/>
                <w:szCs w:val="18"/>
                <w:lang w:val="ru-RU"/>
              </w:rPr>
            </w:pPr>
            <w:r w:rsidRPr="00DB0AC3">
              <w:rPr>
                <w:rFonts w:cs="Arial"/>
                <w:color w:val="000000"/>
                <w:szCs w:val="6"/>
                <w:lang w:val="en-US"/>
              </w:rPr>
              <w:t> </w:t>
            </w:r>
          </w:p>
        </w:tc>
        <w:tc>
          <w:tcPr>
            <w:tcW w:w="1559" w:type="dxa"/>
            <w:tcBorders>
              <w:top w:val="single" w:sz="4" w:space="0" w:color="auto"/>
            </w:tcBorders>
            <w:vAlign w:val="bottom"/>
          </w:tcPr>
          <w:p w:rsidR="00323BC0" w:rsidRPr="00DB0AC3" w:rsidRDefault="00323BC0" w:rsidP="00996C04">
            <w:pPr>
              <w:jc w:val="right"/>
              <w:rPr>
                <w:rFonts w:cs="Arial"/>
                <w:color w:val="000000"/>
                <w:szCs w:val="18"/>
                <w:lang w:val="ru-RU"/>
              </w:rPr>
            </w:pPr>
          </w:p>
        </w:tc>
        <w:tc>
          <w:tcPr>
            <w:tcW w:w="1560" w:type="dxa"/>
            <w:tcBorders>
              <w:top w:val="single" w:sz="4" w:space="0" w:color="auto"/>
            </w:tcBorders>
            <w:shd w:val="clear" w:color="auto" w:fill="auto"/>
            <w:noWrap/>
            <w:vAlign w:val="bottom"/>
          </w:tcPr>
          <w:p w:rsidR="00323BC0" w:rsidRPr="00DB0AC3" w:rsidRDefault="00323BC0" w:rsidP="00996C04">
            <w:pPr>
              <w:jc w:val="right"/>
              <w:rPr>
                <w:rFonts w:cs="Arial"/>
                <w:color w:val="000000"/>
                <w:szCs w:val="18"/>
                <w:lang w:val="ru-RU"/>
              </w:rPr>
            </w:pPr>
          </w:p>
        </w:tc>
      </w:tr>
      <w:tr w:rsidR="00323BC0" w:rsidRPr="00DB0AC3" w:rsidTr="00996C04">
        <w:tc>
          <w:tcPr>
            <w:tcW w:w="6237" w:type="dxa"/>
            <w:shd w:val="clear" w:color="auto" w:fill="auto"/>
            <w:noWrap/>
            <w:vAlign w:val="bottom"/>
            <w:hideMark/>
          </w:tcPr>
          <w:p w:rsidR="00323BC0" w:rsidRPr="00DB0AC3" w:rsidRDefault="00323BC0" w:rsidP="00996C04">
            <w:pPr>
              <w:ind w:left="88" w:hanging="88"/>
              <w:rPr>
                <w:rFonts w:cs="Arial"/>
                <w:b/>
                <w:color w:val="000000"/>
                <w:szCs w:val="18"/>
                <w:lang w:val="ru-RU"/>
              </w:rPr>
            </w:pPr>
            <w:r w:rsidRPr="00DB0AC3">
              <w:rPr>
                <w:rFonts w:cs="Arial"/>
                <w:b/>
                <w:color w:val="000000"/>
                <w:szCs w:val="18"/>
                <w:lang w:val="ru-RU"/>
              </w:rPr>
              <w:t>Итого доля владения</w:t>
            </w:r>
          </w:p>
        </w:tc>
        <w:tc>
          <w:tcPr>
            <w:tcW w:w="1559" w:type="dxa"/>
            <w:vAlign w:val="bottom"/>
          </w:tcPr>
          <w:p w:rsidR="00323BC0" w:rsidRPr="00DB0AC3" w:rsidRDefault="00323BC0" w:rsidP="00996C04">
            <w:pPr>
              <w:jc w:val="right"/>
              <w:rPr>
                <w:rFonts w:cs="Arial"/>
                <w:b/>
                <w:color w:val="000000"/>
                <w:szCs w:val="18"/>
                <w:lang w:val="ru-RU"/>
              </w:rPr>
            </w:pPr>
            <w:r w:rsidRPr="00DB0AC3">
              <w:rPr>
                <w:rFonts w:cs="Arial"/>
                <w:b/>
                <w:color w:val="000000"/>
                <w:szCs w:val="18"/>
                <w:lang w:val="ru-RU"/>
              </w:rPr>
              <w:t>100</w:t>
            </w:r>
          </w:p>
        </w:tc>
        <w:tc>
          <w:tcPr>
            <w:tcW w:w="1560" w:type="dxa"/>
            <w:shd w:val="clear" w:color="auto" w:fill="auto"/>
            <w:noWrap/>
            <w:vAlign w:val="bottom"/>
            <w:hideMark/>
          </w:tcPr>
          <w:p w:rsidR="00323BC0" w:rsidRPr="00DB0AC3" w:rsidRDefault="00323BC0" w:rsidP="00996C04">
            <w:pPr>
              <w:jc w:val="right"/>
              <w:rPr>
                <w:rFonts w:cs="Arial"/>
                <w:b/>
                <w:color w:val="000000"/>
                <w:szCs w:val="18"/>
                <w:lang w:val="ru-RU"/>
              </w:rPr>
            </w:pPr>
            <w:r w:rsidRPr="00DB0AC3">
              <w:rPr>
                <w:rFonts w:cs="Arial"/>
                <w:b/>
                <w:color w:val="000000"/>
                <w:szCs w:val="18"/>
                <w:lang w:val="ru-RU"/>
              </w:rPr>
              <w:t>100</w:t>
            </w:r>
          </w:p>
        </w:tc>
      </w:tr>
      <w:tr w:rsidR="00323BC0" w:rsidRPr="00DB0AC3" w:rsidTr="00996C04">
        <w:tc>
          <w:tcPr>
            <w:tcW w:w="6237" w:type="dxa"/>
            <w:tcBorders>
              <w:bottom w:val="single" w:sz="12" w:space="0" w:color="auto"/>
            </w:tcBorders>
            <w:shd w:val="clear" w:color="auto" w:fill="auto"/>
            <w:noWrap/>
            <w:vAlign w:val="bottom"/>
          </w:tcPr>
          <w:p w:rsidR="00323BC0" w:rsidRPr="00DB0AC3" w:rsidRDefault="00323BC0" w:rsidP="00996C04">
            <w:pPr>
              <w:ind w:left="88" w:hanging="88"/>
              <w:rPr>
                <w:rFonts w:cs="Arial"/>
                <w:color w:val="000000"/>
                <w:szCs w:val="6"/>
                <w:lang w:val="ru-RU"/>
              </w:rPr>
            </w:pPr>
            <w:r w:rsidRPr="00DB0AC3">
              <w:rPr>
                <w:rFonts w:cs="Arial"/>
                <w:color w:val="000000"/>
                <w:szCs w:val="6"/>
                <w:lang w:val="en-US"/>
              </w:rPr>
              <w:t> </w:t>
            </w:r>
          </w:p>
        </w:tc>
        <w:tc>
          <w:tcPr>
            <w:tcW w:w="1559" w:type="dxa"/>
            <w:tcBorders>
              <w:bottom w:val="single" w:sz="12" w:space="0" w:color="auto"/>
            </w:tcBorders>
            <w:vAlign w:val="bottom"/>
          </w:tcPr>
          <w:p w:rsidR="00323BC0" w:rsidRPr="00DB0AC3" w:rsidRDefault="00323BC0" w:rsidP="00996C04">
            <w:pPr>
              <w:jc w:val="right"/>
              <w:rPr>
                <w:rFonts w:cs="Arial"/>
                <w:color w:val="000000"/>
                <w:szCs w:val="6"/>
                <w:lang w:val="ru-RU"/>
              </w:rPr>
            </w:pPr>
          </w:p>
        </w:tc>
        <w:tc>
          <w:tcPr>
            <w:tcW w:w="1560" w:type="dxa"/>
            <w:tcBorders>
              <w:bottom w:val="single" w:sz="12" w:space="0" w:color="auto"/>
            </w:tcBorders>
            <w:shd w:val="clear" w:color="auto" w:fill="auto"/>
            <w:noWrap/>
            <w:vAlign w:val="bottom"/>
          </w:tcPr>
          <w:p w:rsidR="00323BC0" w:rsidRPr="00DB0AC3" w:rsidRDefault="00323BC0" w:rsidP="00996C04">
            <w:pPr>
              <w:jc w:val="right"/>
              <w:rPr>
                <w:rFonts w:cs="Arial"/>
                <w:color w:val="000000"/>
                <w:szCs w:val="6"/>
                <w:lang w:val="ru-RU"/>
              </w:rPr>
            </w:pPr>
          </w:p>
        </w:tc>
      </w:tr>
    </w:tbl>
    <w:p w:rsidR="00323BC0" w:rsidRPr="00DB0AC3" w:rsidRDefault="00323BC0" w:rsidP="00323BC0">
      <w:pPr>
        <w:pStyle w:val="ABC-paragrahinNotes"/>
        <w:spacing w:before="240"/>
        <w:rPr>
          <w:rFonts w:cs="Arial"/>
          <w:lang w:val="ru-RU"/>
        </w:rPr>
      </w:pPr>
      <w:r w:rsidRPr="00DB0AC3">
        <w:rPr>
          <w:rFonts w:cs="Arial"/>
          <w:b/>
          <w:i/>
          <w:lang w:val="ru-RU"/>
        </w:rPr>
        <w:t>Основная деятельность</w:t>
      </w:r>
    </w:p>
    <w:p w:rsidR="0062600E" w:rsidRPr="00DB0AC3" w:rsidRDefault="00323BC0" w:rsidP="00C06AC5">
      <w:pPr>
        <w:pStyle w:val="ConsPlusNormal0"/>
        <w:numPr>
          <w:ilvl w:val="0"/>
          <w:numId w:val="25"/>
        </w:numPr>
        <w:jc w:val="both"/>
      </w:pPr>
      <w:r w:rsidRPr="00DB0AC3">
        <w:t>Операции с корпоративными клиентами: обслуживание расчетных и текущих счетов, открытие депозитов, предоставление финансирования, выдача гарантий, обслуживание экспортно-импортных операций, конверсионные услуги, денежные переводы в пользу юридических лиц и др.</w:t>
      </w:r>
    </w:p>
    <w:p w:rsidR="0062600E" w:rsidRPr="00DB0AC3" w:rsidRDefault="00323BC0" w:rsidP="00C06AC5">
      <w:pPr>
        <w:pStyle w:val="ConsPlusNormal0"/>
        <w:numPr>
          <w:ilvl w:val="0"/>
          <w:numId w:val="25"/>
        </w:numPr>
        <w:jc w:val="both"/>
      </w:pPr>
      <w:r w:rsidRPr="00DB0AC3">
        <w:t>Операции с розничными клиентами: принятие средств во вклады, кредитование, обслуживание банковских карт, купля-продажа иностранной валюты, платежи, денежные переводы, хранение ценностей и др.</w:t>
      </w:r>
    </w:p>
    <w:p w:rsidR="0062600E" w:rsidRPr="00DB0AC3" w:rsidRDefault="00323BC0" w:rsidP="00C06AC5">
      <w:pPr>
        <w:pStyle w:val="ConsPlusNormal0"/>
        <w:numPr>
          <w:ilvl w:val="0"/>
          <w:numId w:val="25"/>
        </w:numPr>
        <w:jc w:val="both"/>
      </w:pPr>
      <w:r w:rsidRPr="00DB0AC3">
        <w:t>Операции на финансовых рынках: с ценными бумагами, иностранной валютой, размещение и привлечение средств на межбанковском рынке и др.</w:t>
      </w:r>
    </w:p>
    <w:p w:rsidR="00323BC0" w:rsidRPr="00DB0AC3" w:rsidRDefault="00323BC0" w:rsidP="00323BC0">
      <w:pPr>
        <w:pStyle w:val="ad"/>
        <w:spacing w:after="120"/>
        <w:ind w:firstLine="561"/>
        <w:rPr>
          <w:rFonts w:cs="Arial"/>
          <w:sz w:val="20"/>
          <w:lang w:val="ru-RU"/>
        </w:rPr>
      </w:pPr>
      <w:r w:rsidRPr="00DB0AC3">
        <w:rPr>
          <w:rFonts w:cs="Arial"/>
          <w:sz w:val="20"/>
          <w:lang w:val="ru-RU"/>
        </w:rPr>
        <w:t>Банк действует на основании Генеральной лицензии на осуществление банковских операций №</w:t>
      </w:r>
      <w:r w:rsidR="00190FDE" w:rsidRPr="00DB0AC3">
        <w:rPr>
          <w:rFonts w:cs="Arial"/>
          <w:sz w:val="20"/>
          <w:lang w:val="ru-RU"/>
        </w:rPr>
        <w:t> </w:t>
      </w:r>
      <w:r w:rsidRPr="00DB0AC3">
        <w:rPr>
          <w:rFonts w:cs="Arial"/>
          <w:sz w:val="20"/>
          <w:lang w:val="ru-RU"/>
        </w:rPr>
        <w:t>2304, выданной Банком России 15.09.2004г. Кроме того, Банк имеет лицензии Федеральной комиссии по ценным бумагам и фондовому рынку на осуществление брокерской, дилерской деятельности, деятельности по управлению ценными бумагами, депозитарной деятельности, выданные в декабре 2000 года.</w:t>
      </w:r>
    </w:p>
    <w:p w:rsidR="00323BC0" w:rsidRPr="00DB0AC3" w:rsidRDefault="00323BC0" w:rsidP="00323BC0">
      <w:pPr>
        <w:pStyle w:val="ad"/>
        <w:spacing w:after="120"/>
        <w:ind w:firstLine="561"/>
        <w:rPr>
          <w:rFonts w:cs="Arial"/>
          <w:sz w:val="20"/>
          <w:lang w:val="ru-RU"/>
        </w:rPr>
      </w:pPr>
      <w:r w:rsidRPr="00DB0AC3">
        <w:rPr>
          <w:rFonts w:cs="Arial"/>
          <w:sz w:val="20"/>
          <w:lang w:val="ru-RU"/>
        </w:rPr>
        <w:t>Банк является участником системы страхования вкладов: Свидетельство о включении Банка в реестр банков - участников системы страхования вкладов № 235 от 25 ноября 2004 года.</w:t>
      </w:r>
    </w:p>
    <w:p w:rsidR="00323BC0" w:rsidRPr="00DB0AC3" w:rsidRDefault="00323BC0" w:rsidP="00323BC0">
      <w:pPr>
        <w:pStyle w:val="ad"/>
        <w:ind w:firstLine="561"/>
        <w:rPr>
          <w:rFonts w:cs="Arial"/>
          <w:sz w:val="20"/>
          <w:lang w:val="ru-RU"/>
        </w:rPr>
      </w:pPr>
      <w:r w:rsidRPr="00DB0AC3">
        <w:rPr>
          <w:rFonts w:cs="Arial"/>
          <w:sz w:val="20"/>
          <w:lang w:val="ru-RU"/>
        </w:rPr>
        <w:t>На 01.01.2015</w:t>
      </w:r>
      <w:r w:rsidR="00190FDE" w:rsidRPr="00DB0AC3">
        <w:rPr>
          <w:rFonts w:cs="Arial"/>
          <w:sz w:val="20"/>
          <w:lang w:val="ru-RU"/>
        </w:rPr>
        <w:t> </w:t>
      </w:r>
      <w:r w:rsidRPr="00DB0AC3">
        <w:rPr>
          <w:rFonts w:cs="Arial"/>
          <w:sz w:val="20"/>
          <w:lang w:val="ru-RU"/>
        </w:rPr>
        <w:t xml:space="preserve">г. Банк имеет 2 иногородних филиала: </w:t>
      </w:r>
    </w:p>
    <w:p w:rsidR="00323BC0" w:rsidRPr="00DB0AC3" w:rsidRDefault="00323BC0" w:rsidP="00092FBA">
      <w:pPr>
        <w:pStyle w:val="ConsPlusNormal0"/>
        <w:numPr>
          <w:ilvl w:val="0"/>
          <w:numId w:val="24"/>
        </w:numPr>
        <w:ind w:left="1260"/>
      </w:pPr>
      <w:r w:rsidRPr="00DB0AC3">
        <w:t xml:space="preserve">Сосновоборский (г. Сосновый Бор Ленинградской обл.), </w:t>
      </w:r>
    </w:p>
    <w:p w:rsidR="00323BC0" w:rsidRPr="00DB0AC3" w:rsidRDefault="00323BC0" w:rsidP="00092FBA">
      <w:pPr>
        <w:pStyle w:val="ConsPlusNormal0"/>
        <w:numPr>
          <w:ilvl w:val="0"/>
          <w:numId w:val="24"/>
        </w:numPr>
        <w:ind w:left="1260"/>
      </w:pPr>
      <w:r w:rsidRPr="00DB0AC3">
        <w:t xml:space="preserve">Московский (г. Москва). </w:t>
      </w:r>
    </w:p>
    <w:p w:rsidR="00323BC0" w:rsidRPr="00DB0AC3" w:rsidRDefault="00323BC0" w:rsidP="00323BC0">
      <w:pPr>
        <w:pStyle w:val="ad"/>
        <w:ind w:firstLine="561"/>
        <w:rPr>
          <w:rFonts w:cs="Arial"/>
          <w:sz w:val="20"/>
          <w:lang w:val="ru-RU"/>
        </w:rPr>
      </w:pPr>
      <w:r w:rsidRPr="00DB0AC3">
        <w:rPr>
          <w:rFonts w:cs="Arial"/>
          <w:sz w:val="20"/>
          <w:lang w:val="ru-RU"/>
        </w:rPr>
        <w:t xml:space="preserve">В Санкт-Петербурге Банк имеет 40 структурных подразделений, расположенных вне головного офиса Банка, из них: </w:t>
      </w:r>
    </w:p>
    <w:p w:rsidR="00323BC0" w:rsidRPr="00DB0AC3" w:rsidRDefault="00323BC0" w:rsidP="00092FBA">
      <w:pPr>
        <w:pStyle w:val="ConsPlusNormal0"/>
        <w:numPr>
          <w:ilvl w:val="0"/>
          <w:numId w:val="24"/>
        </w:numPr>
        <w:ind w:left="1260"/>
      </w:pPr>
      <w:r w:rsidRPr="00DB0AC3">
        <w:t xml:space="preserve">5 дополнительных офисов, </w:t>
      </w:r>
    </w:p>
    <w:p w:rsidR="00323BC0" w:rsidRPr="00DB0AC3" w:rsidRDefault="00323BC0" w:rsidP="00092FBA">
      <w:pPr>
        <w:pStyle w:val="ConsPlusNormal0"/>
        <w:numPr>
          <w:ilvl w:val="0"/>
          <w:numId w:val="24"/>
        </w:numPr>
        <w:ind w:left="1260"/>
      </w:pPr>
      <w:r w:rsidRPr="00DB0AC3">
        <w:t xml:space="preserve">35 операционных касс. </w:t>
      </w:r>
    </w:p>
    <w:p w:rsidR="00323BC0" w:rsidRPr="00DB0AC3" w:rsidRDefault="00323BC0" w:rsidP="00323BC0">
      <w:pPr>
        <w:pStyle w:val="ad"/>
        <w:spacing w:after="120"/>
        <w:ind w:firstLine="561"/>
        <w:rPr>
          <w:rFonts w:cs="Arial"/>
          <w:sz w:val="20"/>
          <w:lang w:val="ru-RU"/>
        </w:rPr>
      </w:pPr>
      <w:r w:rsidRPr="00DB0AC3">
        <w:rPr>
          <w:rFonts w:cs="Arial"/>
          <w:sz w:val="20"/>
          <w:lang w:val="ru-RU"/>
        </w:rPr>
        <w:t xml:space="preserve">В Северо-Западном регионе открыто 8 операционных офисов в городах Кингисепп, Череповец, </w:t>
      </w:r>
      <w:r w:rsidRPr="00DB0AC3">
        <w:rPr>
          <w:rFonts w:cs="Arial"/>
          <w:sz w:val="20"/>
          <w:lang w:val="ru-RU"/>
        </w:rPr>
        <w:lastRenderedPageBreak/>
        <w:t>Сыктывкар, Архангельск, Емва, Ухта, Печора и Инта (на 01.01.2014 - 8 операционных офисов).</w:t>
      </w:r>
    </w:p>
    <w:p w:rsidR="00323BC0" w:rsidRPr="008C23E7" w:rsidRDefault="00323BC0" w:rsidP="00323BC0">
      <w:pPr>
        <w:pStyle w:val="ad"/>
        <w:spacing w:after="120"/>
        <w:ind w:firstLine="561"/>
        <w:rPr>
          <w:rFonts w:cs="Arial"/>
          <w:b/>
          <w:i/>
          <w:sz w:val="20"/>
          <w:lang w:val="ru-RU"/>
        </w:rPr>
      </w:pPr>
    </w:p>
    <w:p w:rsidR="0062600E" w:rsidRPr="008C23E7" w:rsidRDefault="00323BC0" w:rsidP="00C06AC5">
      <w:pPr>
        <w:pStyle w:val="ad"/>
        <w:spacing w:after="120"/>
        <w:rPr>
          <w:rFonts w:cs="Arial"/>
          <w:sz w:val="20"/>
          <w:lang w:val="ru-RU"/>
        </w:rPr>
      </w:pPr>
      <w:r w:rsidRPr="008C23E7">
        <w:rPr>
          <w:rFonts w:cs="Arial"/>
          <w:b/>
          <w:i/>
          <w:sz w:val="20"/>
          <w:lang w:val="ru-RU"/>
        </w:rPr>
        <w:t>Зарегистрированный адрес и место ведения деятельности.</w:t>
      </w:r>
      <w:r w:rsidR="00190FDE" w:rsidRPr="008C23E7">
        <w:rPr>
          <w:rFonts w:cs="Arial"/>
          <w:sz w:val="20"/>
          <w:lang w:val="ru-RU"/>
        </w:rPr>
        <w:t> </w:t>
      </w:r>
      <w:r w:rsidRPr="008C23E7">
        <w:rPr>
          <w:rFonts w:cs="Arial"/>
          <w:sz w:val="20"/>
          <w:lang w:val="ru-RU"/>
        </w:rPr>
        <w:t>Банк зарегистрирован по следующему адресу: Россия, 191123 Санкт-Петербург, ул. Радищева, 39.</w:t>
      </w:r>
    </w:p>
    <w:p w:rsidR="00323BC0" w:rsidRPr="00DB0AC3" w:rsidRDefault="00323BC0" w:rsidP="00323BC0">
      <w:pPr>
        <w:pStyle w:val="ABC-paragrahinNotes"/>
        <w:spacing w:before="240"/>
        <w:rPr>
          <w:rFonts w:cs="Arial"/>
          <w:lang w:val="ru-RU"/>
        </w:rPr>
      </w:pPr>
      <w:r w:rsidRPr="00DB0AC3">
        <w:rPr>
          <w:rFonts w:cs="Arial"/>
          <w:b/>
          <w:i/>
          <w:lang w:val="ru-RU"/>
        </w:rPr>
        <w:t>Валюта представления отчетности.</w:t>
      </w:r>
      <w:r w:rsidR="00190FDE" w:rsidRPr="00DB0AC3">
        <w:rPr>
          <w:rFonts w:cs="Arial"/>
          <w:b/>
          <w:i/>
          <w:lang w:val="ru-RU"/>
        </w:rPr>
        <w:t> </w:t>
      </w:r>
      <w:r w:rsidRPr="00DB0AC3">
        <w:rPr>
          <w:rFonts w:cs="Arial"/>
          <w:lang w:val="ru-RU"/>
        </w:rPr>
        <w:t>Данная финансовая отчетность представлена в российских рублях (далее – «рублях»), если не указано иное.</w:t>
      </w:r>
    </w:p>
    <w:p w:rsidR="00323BC0" w:rsidRPr="00DB0AC3" w:rsidRDefault="00323BC0" w:rsidP="00323BC0">
      <w:pPr>
        <w:pStyle w:val="1"/>
        <w:keepLines/>
        <w:numPr>
          <w:ilvl w:val="0"/>
          <w:numId w:val="3"/>
        </w:numPr>
        <w:spacing w:before="480"/>
        <w:rPr>
          <w:rFonts w:cs="Arial"/>
          <w:lang w:val="ru-RU"/>
        </w:rPr>
      </w:pPr>
      <w:bookmarkStart w:id="4" w:name="_Toc441479789"/>
      <w:bookmarkEnd w:id="2"/>
      <w:bookmarkEnd w:id="3"/>
      <w:r w:rsidRPr="00DB0AC3">
        <w:rPr>
          <w:rFonts w:cs="Arial"/>
          <w:lang w:val="ru-RU"/>
        </w:rPr>
        <w:t>Экономическая среда осуществления деятельности</w:t>
      </w:r>
      <w:bookmarkEnd w:id="4"/>
    </w:p>
    <w:p w:rsidR="00323BC0" w:rsidRPr="00DB0AC3" w:rsidRDefault="00323BC0" w:rsidP="00323BC0">
      <w:pPr>
        <w:spacing w:after="240"/>
        <w:jc w:val="both"/>
        <w:rPr>
          <w:rFonts w:cs="Arial"/>
          <w:sz w:val="20"/>
          <w:lang w:val="ru-RU"/>
        </w:rPr>
      </w:pPr>
      <w:bookmarkStart w:id="5" w:name="_Краткое_изложение_основных"/>
      <w:bookmarkStart w:id="6" w:name="_Ref117504965"/>
      <w:bookmarkStart w:id="7" w:name="_Toc416086209"/>
      <w:bookmarkEnd w:id="5"/>
      <w:r w:rsidRPr="00DB0AC3">
        <w:rPr>
          <w:rFonts w:cs="Arial"/>
          <w:b/>
          <w:bCs/>
          <w:i/>
          <w:iCs/>
          <w:color w:val="000000" w:themeColor="text1"/>
          <w:sz w:val="20"/>
          <w:lang w:val="ru-RU"/>
        </w:rPr>
        <w:t>Российская Федерация</w:t>
      </w:r>
      <w:r w:rsidRPr="00DB0AC3">
        <w:rPr>
          <w:rFonts w:cs="Arial"/>
          <w:b/>
          <w:bCs/>
          <w:color w:val="000000" w:themeColor="text1"/>
          <w:sz w:val="20"/>
          <w:lang w:val="ru-RU"/>
        </w:rPr>
        <w:t>.</w:t>
      </w:r>
      <w:r w:rsidR="00190FDE" w:rsidRPr="00DB0AC3">
        <w:rPr>
          <w:rFonts w:cs="Arial"/>
          <w:b/>
          <w:bCs/>
          <w:color w:val="000000" w:themeColor="text1"/>
          <w:sz w:val="20"/>
          <w:lang w:val="ru-RU"/>
        </w:rPr>
        <w:t> </w:t>
      </w:r>
      <w:r w:rsidRPr="00DB0AC3">
        <w:rPr>
          <w:rFonts w:cs="Arial"/>
          <w:sz w:val="20"/>
          <w:lang w:val="ru-RU"/>
        </w:rPr>
        <w:t>Экономика Российской Федерации проявляет некоторые характерные особенности, присущие развивающимся рынкам. Она особенно чувствительна к колебаниям цен на нефть и газ. Налоговое, валютное и таможенное законодательство Российской Федерации продолжают развиваться, подвержены частым изменениям и допускают возможность разных толкований (Примечани</w:t>
      </w:r>
      <w:r w:rsidR="00FA6555">
        <w:rPr>
          <w:rFonts w:cs="Arial"/>
          <w:sz w:val="20"/>
          <w:lang w:val="ru-RU"/>
        </w:rPr>
        <w:t>я 31,32,</w:t>
      </w:r>
      <w:r w:rsidRPr="00DB0AC3">
        <w:rPr>
          <w:rFonts w:cs="Arial"/>
          <w:sz w:val="20"/>
          <w:lang w:val="ru-RU"/>
        </w:rPr>
        <w:t>33).</w:t>
      </w:r>
    </w:p>
    <w:p w:rsidR="00323BC0" w:rsidRPr="00DB0AC3" w:rsidRDefault="00323BC0" w:rsidP="00323BC0">
      <w:pPr>
        <w:spacing w:after="240"/>
        <w:jc w:val="both"/>
        <w:rPr>
          <w:rFonts w:cs="Arial"/>
          <w:sz w:val="20"/>
          <w:lang w:val="ru-RU"/>
        </w:rPr>
      </w:pPr>
      <w:r w:rsidRPr="00DB0AC3">
        <w:rPr>
          <w:rFonts w:cs="Arial"/>
          <w:sz w:val="20"/>
          <w:lang w:val="ru-RU"/>
        </w:rPr>
        <w:t>Снижение цен на нефть, сохраняющаяся политическая напряженность в регионе, а также международные санкции в отношении некоторых российских компаний и граждан оказали негативное влияние на российскую экономику в 2014 году.</w:t>
      </w:r>
      <w:r w:rsidR="005A4C4B">
        <w:rPr>
          <w:rFonts w:cs="Arial"/>
          <w:sz w:val="20"/>
          <w:lang w:val="ru-RU"/>
        </w:rPr>
        <w:t xml:space="preserve"> </w:t>
      </w:r>
      <w:r w:rsidRPr="00DB0AC3">
        <w:rPr>
          <w:rFonts w:cs="Arial"/>
          <w:sz w:val="20"/>
          <w:lang w:val="ru-RU"/>
        </w:rPr>
        <w:t>В результате, в течение 2014 года:</w:t>
      </w:r>
    </w:p>
    <w:p w:rsidR="00323BC0" w:rsidRPr="00DB0AC3" w:rsidRDefault="00323BC0" w:rsidP="00092FBA">
      <w:pPr>
        <w:pStyle w:val="afa"/>
        <w:numPr>
          <w:ilvl w:val="0"/>
          <w:numId w:val="16"/>
        </w:numPr>
        <w:spacing w:after="120"/>
        <w:ind w:left="567" w:hanging="567"/>
        <w:contextualSpacing w:val="0"/>
        <w:jc w:val="both"/>
        <w:rPr>
          <w:rFonts w:cs="Arial"/>
          <w:sz w:val="20"/>
          <w:lang w:val="ru-RU"/>
        </w:rPr>
      </w:pPr>
      <w:r w:rsidRPr="00DB0AC3">
        <w:rPr>
          <w:rFonts w:cs="Arial"/>
          <w:sz w:val="20"/>
          <w:lang w:val="ru-RU"/>
        </w:rPr>
        <w:t xml:space="preserve">обменный курс </w:t>
      </w:r>
      <w:r w:rsidR="00FA6555">
        <w:rPr>
          <w:rFonts w:cs="Arial"/>
          <w:sz w:val="20"/>
          <w:lang w:val="ru-RU"/>
        </w:rPr>
        <w:t>Банка России</w:t>
      </w:r>
      <w:r w:rsidRPr="00DB0AC3">
        <w:rPr>
          <w:rFonts w:cs="Arial"/>
          <w:sz w:val="20"/>
          <w:lang w:val="ru-RU"/>
        </w:rPr>
        <w:t xml:space="preserve"> колебался в диапазоне от 32</w:t>
      </w:r>
      <w:r w:rsidR="004C1EF6" w:rsidRPr="00DB0AC3">
        <w:rPr>
          <w:rFonts w:cs="Arial"/>
          <w:sz w:val="20"/>
          <w:lang w:val="ru-RU"/>
        </w:rPr>
        <w:t>.</w:t>
      </w:r>
      <w:r w:rsidRPr="00DB0AC3">
        <w:rPr>
          <w:rFonts w:cs="Arial"/>
          <w:sz w:val="20"/>
          <w:lang w:val="ru-RU"/>
        </w:rPr>
        <w:t>7292 руб. до 56</w:t>
      </w:r>
      <w:r w:rsidR="004C1EF6" w:rsidRPr="00DB0AC3">
        <w:rPr>
          <w:rFonts w:cs="Arial"/>
          <w:sz w:val="20"/>
          <w:lang w:val="ru-RU"/>
        </w:rPr>
        <w:t>.</w:t>
      </w:r>
      <w:r w:rsidRPr="00DB0AC3">
        <w:rPr>
          <w:rFonts w:cs="Arial"/>
          <w:sz w:val="20"/>
          <w:lang w:val="ru-RU"/>
        </w:rPr>
        <w:t>2584 руб. за доллар США, от 44</w:t>
      </w:r>
      <w:r w:rsidR="004C1EF6" w:rsidRPr="00DB0AC3">
        <w:rPr>
          <w:rFonts w:cs="Arial"/>
          <w:sz w:val="20"/>
          <w:lang w:val="ru-RU"/>
        </w:rPr>
        <w:t>.</w:t>
      </w:r>
      <w:r w:rsidRPr="00DB0AC3">
        <w:rPr>
          <w:rFonts w:cs="Arial"/>
          <w:sz w:val="20"/>
          <w:lang w:val="ru-RU"/>
        </w:rPr>
        <w:t>9699 руб., до 68</w:t>
      </w:r>
      <w:r w:rsidR="001307DD" w:rsidRPr="00DB0AC3">
        <w:rPr>
          <w:rFonts w:cs="Arial"/>
          <w:sz w:val="20"/>
          <w:lang w:val="ru-RU"/>
        </w:rPr>
        <w:t>.</w:t>
      </w:r>
      <w:r w:rsidRPr="00DB0AC3">
        <w:rPr>
          <w:rFonts w:cs="Arial"/>
          <w:sz w:val="20"/>
          <w:lang w:val="ru-RU"/>
        </w:rPr>
        <w:t>3427 руб. за Евро</w:t>
      </w:r>
      <w:r w:rsidRPr="00DB0AC3">
        <w:rPr>
          <w:rFonts w:cs="Arial"/>
          <w:lang w:val="ru-RU"/>
        </w:rPr>
        <w:t>;</w:t>
      </w:r>
    </w:p>
    <w:p w:rsidR="00323BC0" w:rsidRPr="00DB0AC3" w:rsidRDefault="00323BC0" w:rsidP="00092FBA">
      <w:pPr>
        <w:pStyle w:val="afa"/>
        <w:numPr>
          <w:ilvl w:val="0"/>
          <w:numId w:val="17"/>
        </w:numPr>
        <w:spacing w:after="120"/>
        <w:ind w:left="567" w:hanging="567"/>
        <w:contextualSpacing w:val="0"/>
        <w:jc w:val="both"/>
        <w:rPr>
          <w:rFonts w:cs="Arial"/>
          <w:sz w:val="20"/>
          <w:lang w:val="ru-RU"/>
        </w:rPr>
      </w:pPr>
      <w:r w:rsidRPr="00DB0AC3">
        <w:rPr>
          <w:rFonts w:cs="Arial"/>
          <w:sz w:val="20"/>
          <w:lang w:val="ru-RU"/>
        </w:rPr>
        <w:t xml:space="preserve">ключевая ставка </w:t>
      </w:r>
      <w:r w:rsidR="00FA6555">
        <w:rPr>
          <w:rFonts w:cs="Arial"/>
          <w:sz w:val="20"/>
          <w:lang w:val="ru-RU"/>
        </w:rPr>
        <w:t xml:space="preserve">Банка России </w:t>
      </w:r>
      <w:r w:rsidRPr="00DB0AC3">
        <w:rPr>
          <w:rFonts w:cs="Arial"/>
          <w:sz w:val="20"/>
          <w:lang w:val="ru-RU"/>
        </w:rPr>
        <w:t>увеличилась с 5,5% годовых до 17,0% годовых, в том числе с 12,0% годовых до 17,0% годовых 16 декабря 2014</w:t>
      </w:r>
      <w:r w:rsidR="00E6513B" w:rsidRPr="00DB0AC3">
        <w:rPr>
          <w:rFonts w:cs="Arial"/>
          <w:sz w:val="20"/>
          <w:lang w:val="ru-RU"/>
        </w:rPr>
        <w:t> </w:t>
      </w:r>
      <w:r w:rsidRPr="00DB0AC3">
        <w:rPr>
          <w:rFonts w:cs="Arial"/>
          <w:sz w:val="20"/>
          <w:lang w:val="ru-RU"/>
        </w:rPr>
        <w:t>г.;</w:t>
      </w:r>
    </w:p>
    <w:p w:rsidR="00323BC0" w:rsidRPr="00DB0AC3" w:rsidRDefault="00323BC0" w:rsidP="00092FBA">
      <w:pPr>
        <w:pStyle w:val="afa"/>
        <w:numPr>
          <w:ilvl w:val="0"/>
          <w:numId w:val="17"/>
        </w:numPr>
        <w:spacing w:after="120"/>
        <w:ind w:left="567" w:hanging="567"/>
        <w:contextualSpacing w:val="0"/>
        <w:jc w:val="both"/>
        <w:rPr>
          <w:rFonts w:cs="Arial"/>
          <w:sz w:val="20"/>
          <w:lang w:val="ru-RU"/>
        </w:rPr>
      </w:pPr>
      <w:r w:rsidRPr="00DB0AC3">
        <w:rPr>
          <w:rFonts w:cs="Arial"/>
          <w:sz w:val="20"/>
          <w:lang w:val="ru-RU"/>
        </w:rPr>
        <w:t>фондовый индекс РТС варьировался в диапазоне от 1 445 до 791 пунктов;</w:t>
      </w:r>
    </w:p>
    <w:p w:rsidR="00323BC0" w:rsidRPr="00DB0AC3" w:rsidRDefault="00323BC0" w:rsidP="00092FBA">
      <w:pPr>
        <w:pStyle w:val="afa"/>
        <w:numPr>
          <w:ilvl w:val="0"/>
          <w:numId w:val="17"/>
        </w:numPr>
        <w:spacing w:after="120"/>
        <w:ind w:left="567" w:hanging="567"/>
        <w:contextualSpacing w:val="0"/>
        <w:jc w:val="both"/>
        <w:rPr>
          <w:rFonts w:cs="Arial"/>
          <w:sz w:val="20"/>
          <w:lang w:val="ru-RU"/>
        </w:rPr>
      </w:pPr>
      <w:r w:rsidRPr="00DB0AC3">
        <w:rPr>
          <w:rFonts w:cs="Arial"/>
          <w:sz w:val="20"/>
          <w:lang w:val="ru-RU"/>
        </w:rPr>
        <w:t>доступ некоторых компаний к международным финансовым рынкам с целью привлечения заемных средств был ограничен;</w:t>
      </w:r>
    </w:p>
    <w:p w:rsidR="00323BC0" w:rsidRPr="00DB0AC3" w:rsidRDefault="00323BC0" w:rsidP="00092FBA">
      <w:pPr>
        <w:pStyle w:val="afa"/>
        <w:numPr>
          <w:ilvl w:val="0"/>
          <w:numId w:val="17"/>
        </w:numPr>
        <w:spacing w:after="240"/>
        <w:ind w:left="567" w:hanging="567"/>
        <w:contextualSpacing w:val="0"/>
        <w:jc w:val="both"/>
        <w:rPr>
          <w:rFonts w:cs="Arial"/>
          <w:sz w:val="20"/>
          <w:lang w:val="ru-RU"/>
        </w:rPr>
      </w:pPr>
      <w:r w:rsidRPr="00DB0AC3">
        <w:rPr>
          <w:rFonts w:cs="Arial"/>
          <w:sz w:val="20"/>
          <w:lang w:val="ru-RU"/>
        </w:rPr>
        <w:t>увеличился отток капитала по сравнению с предыдущими годами.</w:t>
      </w:r>
    </w:p>
    <w:p w:rsidR="00323BC0" w:rsidRPr="00DB0AC3" w:rsidRDefault="00323BC0" w:rsidP="00323BC0">
      <w:pPr>
        <w:spacing w:after="240"/>
        <w:jc w:val="both"/>
        <w:rPr>
          <w:rFonts w:cs="Arial"/>
          <w:sz w:val="20"/>
          <w:lang w:val="ru-RU"/>
        </w:rPr>
      </w:pPr>
      <w:r w:rsidRPr="00DB0AC3">
        <w:rPr>
          <w:rFonts w:cs="Arial"/>
          <w:sz w:val="20"/>
          <w:lang w:val="ru-RU"/>
        </w:rPr>
        <w:t>Финансовые рынки по-прежнему характеризуются отсутствием стабильности, частыми и существенными изменениями цен, и увеличением спр</w:t>
      </w:r>
      <w:r w:rsidR="00FA6555">
        <w:rPr>
          <w:rFonts w:cs="Arial"/>
          <w:sz w:val="20"/>
          <w:lang w:val="ru-RU"/>
        </w:rPr>
        <w:t>э</w:t>
      </w:r>
      <w:r w:rsidRPr="00DB0AC3">
        <w:rPr>
          <w:rFonts w:cs="Arial"/>
          <w:sz w:val="20"/>
          <w:lang w:val="ru-RU"/>
        </w:rPr>
        <w:t>дов по торговым операциям. После 31 декабря 2014 г.:</w:t>
      </w:r>
    </w:p>
    <w:p w:rsidR="00323BC0" w:rsidRPr="00DB0AC3" w:rsidRDefault="00323BC0" w:rsidP="00092FBA">
      <w:pPr>
        <w:pStyle w:val="afa"/>
        <w:numPr>
          <w:ilvl w:val="0"/>
          <w:numId w:val="18"/>
        </w:numPr>
        <w:spacing w:after="120"/>
        <w:ind w:left="567" w:hanging="567"/>
        <w:contextualSpacing w:val="0"/>
        <w:jc w:val="both"/>
        <w:rPr>
          <w:rFonts w:cs="Arial"/>
          <w:sz w:val="20"/>
          <w:lang w:val="ru-RU"/>
        </w:rPr>
      </w:pPr>
      <w:r w:rsidRPr="00DB0AC3">
        <w:rPr>
          <w:rFonts w:cs="Arial"/>
          <w:sz w:val="20"/>
          <w:lang w:val="ru-RU"/>
        </w:rPr>
        <w:t xml:space="preserve">обменный курс </w:t>
      </w:r>
      <w:r w:rsidR="00FA6555">
        <w:rPr>
          <w:rFonts w:cs="Arial"/>
          <w:sz w:val="20"/>
          <w:lang w:val="ru-RU"/>
        </w:rPr>
        <w:t>Банка России</w:t>
      </w:r>
      <w:r w:rsidRPr="00DB0AC3">
        <w:rPr>
          <w:rFonts w:cs="Arial"/>
          <w:sz w:val="20"/>
          <w:lang w:val="ru-RU"/>
        </w:rPr>
        <w:t xml:space="preserve"> колебался в диапазоне от 56</w:t>
      </w:r>
      <w:r w:rsidR="004C1EF6" w:rsidRPr="00DB0AC3">
        <w:rPr>
          <w:rFonts w:cs="Arial"/>
          <w:sz w:val="20"/>
          <w:lang w:val="ru-RU"/>
        </w:rPr>
        <w:t>.</w:t>
      </w:r>
      <w:r w:rsidRPr="00DB0AC3">
        <w:rPr>
          <w:rFonts w:cs="Arial"/>
          <w:sz w:val="20"/>
          <w:lang w:val="ru-RU"/>
        </w:rPr>
        <w:t xml:space="preserve">2584 руб. до </w:t>
      </w:r>
      <w:r w:rsidR="004C1EF6" w:rsidRPr="00DB0AC3">
        <w:rPr>
          <w:rFonts w:cs="Arial"/>
          <w:sz w:val="20"/>
          <w:lang w:val="ru-RU"/>
        </w:rPr>
        <w:t>70.7865</w:t>
      </w:r>
      <w:r w:rsidR="005A4C4B">
        <w:rPr>
          <w:rFonts w:cs="Arial"/>
          <w:sz w:val="20"/>
          <w:lang w:val="ru-RU"/>
        </w:rPr>
        <w:t xml:space="preserve"> </w:t>
      </w:r>
      <w:r w:rsidRPr="00DB0AC3">
        <w:rPr>
          <w:rFonts w:cs="Arial"/>
          <w:sz w:val="20"/>
          <w:lang w:val="ru-RU"/>
        </w:rPr>
        <w:t>руб. за доллар США, от до 68</w:t>
      </w:r>
      <w:r w:rsidR="004C1EF6" w:rsidRPr="00DB0AC3">
        <w:rPr>
          <w:rFonts w:cs="Arial"/>
          <w:sz w:val="20"/>
          <w:lang w:val="ru-RU"/>
        </w:rPr>
        <w:t>.</w:t>
      </w:r>
      <w:r w:rsidRPr="00DB0AC3">
        <w:rPr>
          <w:rFonts w:cs="Arial"/>
          <w:sz w:val="20"/>
          <w:lang w:val="ru-RU"/>
        </w:rPr>
        <w:t xml:space="preserve">3427 руб. до </w:t>
      </w:r>
      <w:r w:rsidR="004C1EF6" w:rsidRPr="00DB0AC3">
        <w:rPr>
          <w:rFonts w:cs="Arial"/>
          <w:sz w:val="20"/>
          <w:lang w:val="ru-RU"/>
        </w:rPr>
        <w:t>77.6032</w:t>
      </w:r>
      <w:r w:rsidR="005A4C4B">
        <w:rPr>
          <w:rFonts w:cs="Arial"/>
          <w:sz w:val="20"/>
          <w:lang w:val="ru-RU"/>
        </w:rPr>
        <w:t xml:space="preserve"> </w:t>
      </w:r>
      <w:r w:rsidRPr="00DB0AC3">
        <w:rPr>
          <w:rFonts w:cs="Arial"/>
          <w:sz w:val="20"/>
          <w:lang w:val="ru-RU"/>
        </w:rPr>
        <w:t>руб. за Евро</w:t>
      </w:r>
      <w:r w:rsidRPr="00DB0AC3">
        <w:rPr>
          <w:rFonts w:cs="Arial"/>
          <w:lang w:val="ru-RU"/>
        </w:rPr>
        <w:t>;</w:t>
      </w:r>
    </w:p>
    <w:p w:rsidR="00323BC0" w:rsidRPr="00DB0AC3" w:rsidRDefault="00323BC0" w:rsidP="00092FBA">
      <w:pPr>
        <w:pStyle w:val="afa"/>
        <w:numPr>
          <w:ilvl w:val="0"/>
          <w:numId w:val="18"/>
        </w:numPr>
        <w:spacing w:after="120"/>
        <w:ind w:left="567" w:hanging="567"/>
        <w:contextualSpacing w:val="0"/>
        <w:jc w:val="both"/>
        <w:rPr>
          <w:rFonts w:cs="Arial"/>
          <w:sz w:val="20"/>
          <w:lang w:val="ru-RU"/>
        </w:rPr>
      </w:pPr>
      <w:r w:rsidRPr="00DB0AC3">
        <w:rPr>
          <w:rFonts w:cs="Arial"/>
          <w:sz w:val="20"/>
          <w:lang w:val="ru-RU"/>
        </w:rPr>
        <w:t xml:space="preserve">в январе 2015 г. кредитный рейтинг России был снижен агентством </w:t>
      </w:r>
      <w:r w:rsidRPr="00DB0AC3">
        <w:rPr>
          <w:rFonts w:cs="Arial"/>
          <w:sz w:val="20"/>
        </w:rPr>
        <w:t>FitchRatings</w:t>
      </w:r>
      <w:r w:rsidRPr="00DB0AC3">
        <w:rPr>
          <w:rFonts w:cs="Arial"/>
          <w:sz w:val="20"/>
          <w:lang w:val="ru-RU"/>
        </w:rPr>
        <w:t xml:space="preserve"> до отметки </w:t>
      </w:r>
      <w:r w:rsidRPr="00DB0AC3">
        <w:rPr>
          <w:rFonts w:cs="Arial"/>
          <w:sz w:val="20"/>
        </w:rPr>
        <w:t>BBB</w:t>
      </w:r>
      <w:r w:rsidRPr="00DB0AC3">
        <w:rPr>
          <w:rFonts w:cs="Arial"/>
          <w:sz w:val="20"/>
          <w:lang w:val="ru-RU"/>
        </w:rPr>
        <w:t xml:space="preserve">-, а агентство </w:t>
      </w:r>
      <w:r w:rsidRPr="00DB0AC3">
        <w:rPr>
          <w:rFonts w:cs="Arial"/>
          <w:sz w:val="20"/>
        </w:rPr>
        <w:t>Standard</w:t>
      </w:r>
      <w:r w:rsidRPr="00DB0AC3">
        <w:rPr>
          <w:rFonts w:cs="Arial"/>
          <w:sz w:val="20"/>
          <w:lang w:val="ru-RU"/>
        </w:rPr>
        <w:t>&amp;</w:t>
      </w:r>
      <w:r w:rsidRPr="00DB0AC3">
        <w:rPr>
          <w:rFonts w:cs="Arial"/>
          <w:sz w:val="20"/>
        </w:rPr>
        <w:t>Poor</w:t>
      </w:r>
      <w:r w:rsidRPr="00DB0AC3">
        <w:rPr>
          <w:rFonts w:cs="Arial"/>
          <w:sz w:val="20"/>
          <w:lang w:val="ru-RU"/>
        </w:rPr>
        <w:t>’</w:t>
      </w:r>
      <w:r w:rsidRPr="00DB0AC3">
        <w:rPr>
          <w:rFonts w:cs="Arial"/>
          <w:sz w:val="20"/>
        </w:rPr>
        <w:t>s</w:t>
      </w:r>
      <w:r w:rsidRPr="00DB0AC3">
        <w:rPr>
          <w:rFonts w:cs="Arial"/>
          <w:sz w:val="20"/>
          <w:lang w:val="ru-RU"/>
        </w:rPr>
        <w:t xml:space="preserve"> понизило его до отметки </w:t>
      </w:r>
      <w:r w:rsidRPr="00DB0AC3">
        <w:rPr>
          <w:rFonts w:cs="Arial"/>
          <w:sz w:val="20"/>
        </w:rPr>
        <w:t>BB</w:t>
      </w:r>
      <w:r w:rsidRPr="00DB0AC3">
        <w:rPr>
          <w:rFonts w:cs="Arial"/>
          <w:sz w:val="20"/>
          <w:lang w:val="ru-RU"/>
        </w:rPr>
        <w:t xml:space="preserve">+, т.е. ниже инвестиционного уровня впервые за десять лет. Рейтинг России агентств </w:t>
      </w:r>
      <w:r w:rsidR="00F3741F" w:rsidRPr="00AD3AD6">
        <w:rPr>
          <w:rFonts w:cs="Arial"/>
          <w:sz w:val="20"/>
        </w:rPr>
        <w:t>Moody</w:t>
      </w:r>
      <w:r w:rsidR="00F3741F" w:rsidRPr="00AD3AD6">
        <w:rPr>
          <w:rFonts w:cs="Arial"/>
          <w:sz w:val="20"/>
          <w:lang w:val="ru-RU"/>
        </w:rPr>
        <w:t>’</w:t>
      </w:r>
      <w:r w:rsidR="00F3741F" w:rsidRPr="00AD3AD6">
        <w:rPr>
          <w:rFonts w:cs="Arial"/>
          <w:sz w:val="20"/>
        </w:rPr>
        <w:t>s</w:t>
      </w:r>
      <w:r w:rsidR="00AD3AD6" w:rsidRPr="00AD3AD6">
        <w:rPr>
          <w:rFonts w:cs="Arial"/>
          <w:sz w:val="20"/>
          <w:lang w:val="ru-RU"/>
        </w:rPr>
        <w:t xml:space="preserve"> </w:t>
      </w:r>
      <w:r w:rsidR="00F3741F" w:rsidRPr="00AD3AD6">
        <w:rPr>
          <w:rFonts w:cs="Arial"/>
          <w:sz w:val="20"/>
        </w:rPr>
        <w:t>Investors</w:t>
      </w:r>
      <w:r w:rsidR="00AD3AD6" w:rsidRPr="00AD3AD6">
        <w:rPr>
          <w:rFonts w:cs="Arial"/>
          <w:sz w:val="20"/>
          <w:lang w:val="ru-RU"/>
        </w:rPr>
        <w:t xml:space="preserve"> </w:t>
      </w:r>
      <w:r w:rsidR="00F3741F" w:rsidRPr="00AD3AD6">
        <w:rPr>
          <w:rFonts w:cs="Arial"/>
          <w:sz w:val="20"/>
        </w:rPr>
        <w:t>Service</w:t>
      </w:r>
      <w:r w:rsidR="00F3741F" w:rsidRPr="00AD3AD6">
        <w:rPr>
          <w:rFonts w:cs="Arial"/>
          <w:sz w:val="20"/>
          <w:lang w:val="ru-RU"/>
        </w:rPr>
        <w:t xml:space="preserve"> и </w:t>
      </w:r>
      <w:r w:rsidR="00F3741F" w:rsidRPr="00AD3AD6">
        <w:rPr>
          <w:rFonts w:cs="Arial"/>
          <w:sz w:val="20"/>
        </w:rPr>
        <w:t>Fitch</w:t>
      </w:r>
      <w:r w:rsidR="00AD3AD6" w:rsidRPr="00AD3AD6">
        <w:rPr>
          <w:rFonts w:cs="Arial"/>
          <w:sz w:val="20"/>
          <w:lang w:val="ru-RU"/>
        </w:rPr>
        <w:t xml:space="preserve"> </w:t>
      </w:r>
      <w:r w:rsidR="00F3741F" w:rsidRPr="00AD3AD6">
        <w:rPr>
          <w:rFonts w:cs="Arial"/>
          <w:sz w:val="20"/>
        </w:rPr>
        <w:t>Ratings</w:t>
      </w:r>
      <w:r w:rsidRPr="00DB0AC3">
        <w:rPr>
          <w:rFonts w:cs="Arial"/>
          <w:sz w:val="20"/>
          <w:lang w:val="ru-RU"/>
        </w:rPr>
        <w:t xml:space="preserve"> по-прежнему соответствует инвестиционному уровню. Однако все эти рейтинговые агентства дали негативный прогноз на будущее, что означает, что кредитный рейтинг России может быть понижен в будущем; </w:t>
      </w:r>
    </w:p>
    <w:p w:rsidR="00323BC0" w:rsidRPr="00DB0AC3" w:rsidRDefault="00323BC0" w:rsidP="00C91E32">
      <w:pPr>
        <w:pStyle w:val="afa"/>
        <w:numPr>
          <w:ilvl w:val="0"/>
          <w:numId w:val="18"/>
        </w:numPr>
        <w:spacing w:after="120"/>
        <w:ind w:left="567" w:hanging="567"/>
        <w:contextualSpacing w:val="0"/>
        <w:jc w:val="both"/>
        <w:rPr>
          <w:rFonts w:cs="Arial"/>
          <w:sz w:val="20"/>
          <w:lang w:val="ru-RU"/>
        </w:rPr>
      </w:pPr>
      <w:r w:rsidRPr="00DB0AC3">
        <w:rPr>
          <w:rFonts w:cs="Arial"/>
          <w:sz w:val="20"/>
          <w:lang w:val="ru-RU"/>
        </w:rPr>
        <w:t>фондовый индекс РТС варьировался в диапазоне от</w:t>
      </w:r>
      <w:r w:rsidR="00221179">
        <w:rPr>
          <w:rFonts w:cs="Arial"/>
          <w:sz w:val="20"/>
          <w:lang w:val="ru-RU"/>
        </w:rPr>
        <w:t xml:space="preserve"> </w:t>
      </w:r>
      <w:r w:rsidR="008C1E70" w:rsidRPr="00DB0AC3">
        <w:rPr>
          <w:rFonts w:cs="Arial"/>
          <w:sz w:val="20"/>
          <w:lang w:val="ru-RU"/>
        </w:rPr>
        <w:t>756</w:t>
      </w:r>
      <w:r w:rsidRPr="00DB0AC3">
        <w:rPr>
          <w:rFonts w:cs="Arial"/>
          <w:sz w:val="20"/>
          <w:lang w:val="ru-RU"/>
        </w:rPr>
        <w:t xml:space="preserve"> до 881 пунктов;</w:t>
      </w:r>
    </w:p>
    <w:p w:rsidR="00BA7360" w:rsidRPr="00DB0AC3" w:rsidRDefault="00323BC0">
      <w:pPr>
        <w:pStyle w:val="afa"/>
        <w:numPr>
          <w:ilvl w:val="0"/>
          <w:numId w:val="18"/>
        </w:numPr>
        <w:spacing w:after="120"/>
        <w:ind w:left="567" w:hanging="567"/>
        <w:contextualSpacing w:val="0"/>
        <w:jc w:val="both"/>
        <w:rPr>
          <w:rFonts w:cs="Arial"/>
          <w:sz w:val="20"/>
          <w:lang w:val="ru-RU"/>
        </w:rPr>
      </w:pPr>
      <w:r w:rsidRPr="00DB0AC3">
        <w:rPr>
          <w:rFonts w:cs="Arial"/>
          <w:sz w:val="20"/>
          <w:lang w:val="ru-RU"/>
        </w:rPr>
        <w:t>объем банковских операций по кредитованию снизился в связи с тем, что банки осуществляют пересмотр бизнес-моделей своих заемщиков и их возможности погашения задолженности в связи с увеличением процентных ставок по кредитам и изменением обменных курсов валют;</w:t>
      </w:r>
    </w:p>
    <w:p w:rsidR="00BA7360" w:rsidRPr="00DB0AC3" w:rsidRDefault="00323BC0">
      <w:pPr>
        <w:pStyle w:val="afa"/>
        <w:numPr>
          <w:ilvl w:val="0"/>
          <w:numId w:val="18"/>
        </w:numPr>
        <w:ind w:left="567" w:hanging="567"/>
        <w:contextualSpacing w:val="0"/>
        <w:jc w:val="both"/>
        <w:rPr>
          <w:rFonts w:cs="Arial"/>
          <w:sz w:val="20"/>
          <w:lang w:val="ru-RU"/>
        </w:rPr>
      </w:pPr>
      <w:r w:rsidRPr="00DB0AC3">
        <w:rPr>
          <w:rFonts w:cs="Arial"/>
          <w:sz w:val="20"/>
          <w:lang w:val="ru-RU"/>
        </w:rPr>
        <w:t xml:space="preserve">ключевая ставка </w:t>
      </w:r>
      <w:r w:rsidR="00FA6555">
        <w:rPr>
          <w:rFonts w:cs="Arial"/>
          <w:sz w:val="20"/>
          <w:lang w:val="ru-RU"/>
        </w:rPr>
        <w:t xml:space="preserve">Банка России </w:t>
      </w:r>
      <w:r w:rsidRPr="00DB0AC3">
        <w:rPr>
          <w:rFonts w:cs="Arial"/>
          <w:sz w:val="20"/>
          <w:lang w:val="ru-RU"/>
        </w:rPr>
        <w:t>снизилась с 17</w:t>
      </w:r>
      <w:r w:rsidR="00B30D5A" w:rsidRPr="00DB0AC3">
        <w:rPr>
          <w:rFonts w:cs="Arial"/>
          <w:sz w:val="20"/>
          <w:lang w:val="ru-RU"/>
        </w:rPr>
        <w:t>.</w:t>
      </w:r>
      <w:r w:rsidRPr="00DB0AC3">
        <w:rPr>
          <w:rFonts w:cs="Arial"/>
          <w:sz w:val="20"/>
          <w:lang w:val="ru-RU"/>
        </w:rPr>
        <w:t xml:space="preserve">0% годовых до </w:t>
      </w:r>
      <w:r w:rsidR="00B30D5A" w:rsidRPr="00DB0AC3">
        <w:rPr>
          <w:rFonts w:cs="Arial"/>
          <w:sz w:val="20"/>
          <w:lang w:val="ru-RU"/>
        </w:rPr>
        <w:t>11.</w:t>
      </w:r>
      <w:r w:rsidR="001307DD" w:rsidRPr="00DB0AC3">
        <w:rPr>
          <w:rFonts w:cs="Arial"/>
          <w:sz w:val="20"/>
          <w:lang w:val="ru-RU"/>
        </w:rPr>
        <w:t>0</w:t>
      </w:r>
      <w:r w:rsidRPr="00DB0AC3">
        <w:rPr>
          <w:rFonts w:cs="Arial"/>
          <w:sz w:val="20"/>
          <w:lang w:val="ru-RU"/>
        </w:rPr>
        <w:t xml:space="preserve">% годовых. </w:t>
      </w:r>
    </w:p>
    <w:p w:rsidR="00323BC0" w:rsidRPr="00DB0AC3" w:rsidRDefault="00323BC0" w:rsidP="00323BC0">
      <w:pPr>
        <w:rPr>
          <w:rFonts w:cs="Arial"/>
          <w:sz w:val="20"/>
          <w:lang w:val="ru-RU"/>
        </w:rPr>
      </w:pPr>
    </w:p>
    <w:p w:rsidR="00323BC0" w:rsidRPr="00DB0AC3" w:rsidRDefault="00323BC0" w:rsidP="00323BC0">
      <w:pPr>
        <w:pStyle w:val="afa"/>
        <w:rPr>
          <w:rFonts w:cs="Arial"/>
          <w:sz w:val="20"/>
          <w:lang w:val="ru-RU"/>
        </w:rPr>
      </w:pPr>
    </w:p>
    <w:p w:rsidR="00323BC0" w:rsidRPr="00DB0AC3" w:rsidRDefault="00323BC0" w:rsidP="00323BC0">
      <w:pPr>
        <w:spacing w:after="240"/>
        <w:jc w:val="both"/>
        <w:rPr>
          <w:rFonts w:cs="Arial"/>
          <w:sz w:val="20"/>
          <w:lang w:val="ru-RU"/>
        </w:rPr>
      </w:pPr>
      <w:r w:rsidRPr="00DB0AC3">
        <w:rPr>
          <w:rFonts w:cs="Arial"/>
          <w:sz w:val="20"/>
          <w:lang w:val="ru-RU"/>
        </w:rPr>
        <w:t xml:space="preserve">Эти события могут оказать значительное влияние на деятельность и финансовое положение Банка в будущем, последствия </w:t>
      </w:r>
      <w:r w:rsidR="00FA6555" w:rsidRPr="00DB0AC3">
        <w:rPr>
          <w:rFonts w:cs="Arial"/>
          <w:sz w:val="20"/>
          <w:lang w:val="ru-RU"/>
        </w:rPr>
        <w:t>котор</w:t>
      </w:r>
      <w:r w:rsidR="00FA6555">
        <w:rPr>
          <w:rFonts w:cs="Arial"/>
          <w:sz w:val="20"/>
          <w:lang w:val="ru-RU"/>
        </w:rPr>
        <w:t>ых</w:t>
      </w:r>
      <w:r w:rsidR="005A4C4B">
        <w:rPr>
          <w:rFonts w:cs="Arial"/>
          <w:sz w:val="20"/>
          <w:lang w:val="ru-RU"/>
        </w:rPr>
        <w:t xml:space="preserve"> </w:t>
      </w:r>
      <w:r w:rsidRPr="00DB0AC3">
        <w:rPr>
          <w:rFonts w:cs="Arial"/>
          <w:sz w:val="20"/>
          <w:lang w:val="ru-RU"/>
        </w:rPr>
        <w:t>сложно прогнозировать. Будущая экономическая ситуация</w:t>
      </w:r>
      <w:r w:rsidR="00FA6555">
        <w:rPr>
          <w:rFonts w:cs="Arial"/>
          <w:sz w:val="20"/>
          <w:lang w:val="ru-RU"/>
        </w:rPr>
        <w:t>,</w:t>
      </w:r>
      <w:r w:rsidRPr="00DB0AC3">
        <w:rPr>
          <w:rFonts w:cs="Arial"/>
          <w:sz w:val="20"/>
          <w:lang w:val="ru-RU"/>
        </w:rPr>
        <w:t xml:space="preserve"> нормативно-правовая среда и </w:t>
      </w:r>
      <w:r w:rsidR="00FA6555">
        <w:rPr>
          <w:rFonts w:cs="Arial"/>
          <w:sz w:val="20"/>
          <w:lang w:val="ru-RU"/>
        </w:rPr>
        <w:t>их</w:t>
      </w:r>
      <w:r w:rsidR="005A4C4B">
        <w:rPr>
          <w:rFonts w:cs="Arial"/>
          <w:sz w:val="20"/>
          <w:lang w:val="ru-RU"/>
        </w:rPr>
        <w:t xml:space="preserve"> </w:t>
      </w:r>
      <w:r w:rsidRPr="00DB0AC3">
        <w:rPr>
          <w:rFonts w:cs="Arial"/>
          <w:sz w:val="20"/>
          <w:lang w:val="ru-RU"/>
        </w:rPr>
        <w:t xml:space="preserve">воздействие на деятельность Банка могут отличаться от текущих ожиданий руководства. </w:t>
      </w:r>
    </w:p>
    <w:p w:rsidR="00323BC0" w:rsidRPr="00DB0AC3" w:rsidRDefault="00323BC0" w:rsidP="00323BC0">
      <w:pPr>
        <w:pStyle w:val="ABC-paragrahinNotes"/>
        <w:spacing w:after="480"/>
        <w:rPr>
          <w:rFonts w:cs="Arial"/>
          <w:color w:val="000000" w:themeColor="text1"/>
          <w:lang w:val="ru-RU"/>
        </w:rPr>
      </w:pPr>
      <w:r w:rsidRPr="00DB0AC3">
        <w:rPr>
          <w:rFonts w:cs="Arial"/>
          <w:color w:val="000000" w:themeColor="text1"/>
          <w:lang w:val="ru-RU"/>
        </w:rPr>
        <w:lastRenderedPageBreak/>
        <w:t>Руководство определило уровень резервов под обесценение кредитов с использованием «модели понесенных убытков» в соответствии с требованиями применимых стандартов учета. Эти стандарты требуют признания убытков от обесценения, возникающих в результате прошлых событий, и запрещают признание убытков от обесценения, которые могут возникнуть в результате будущих событий, включая будущие изменения экономической среды, независимо от степени вероятности наступления таких событий. Таким образом, окончательные убытки от обесценения финансовых активов могут значительно отличаться от текущего уровня резервов</w:t>
      </w:r>
      <w:r w:rsidR="005A4C4B">
        <w:rPr>
          <w:rFonts w:cs="Arial"/>
          <w:color w:val="000000" w:themeColor="text1"/>
          <w:lang w:val="ru-RU"/>
        </w:rPr>
        <w:t xml:space="preserve"> </w:t>
      </w:r>
      <w:r w:rsidRPr="00DB0AC3">
        <w:rPr>
          <w:rFonts w:cs="Arial"/>
          <w:color w:val="000000" w:themeColor="text1"/>
          <w:lang w:val="ru-RU"/>
        </w:rPr>
        <w:t xml:space="preserve">(Примечание </w:t>
      </w:r>
      <w:hyperlink w:anchor="_Важные_оценки_и" w:history="1">
        <w:r w:rsidRPr="00DB0AC3">
          <w:rPr>
            <w:rFonts w:cs="Arial"/>
            <w:color w:val="000000" w:themeColor="text1"/>
            <w:lang w:val="ru-RU"/>
          </w:rPr>
          <w:t>4)</w:t>
        </w:r>
      </w:hyperlink>
      <w:r w:rsidRPr="00DB0AC3">
        <w:rPr>
          <w:rFonts w:cs="Arial"/>
          <w:color w:val="000000" w:themeColor="text1"/>
          <w:lang w:val="ru-RU"/>
        </w:rPr>
        <w:t>.</w:t>
      </w:r>
    </w:p>
    <w:p w:rsidR="00996C04" w:rsidRDefault="003E55F7" w:rsidP="00746B32">
      <w:pPr>
        <w:pStyle w:val="1"/>
        <w:keepNext w:val="0"/>
        <w:numPr>
          <w:ilvl w:val="0"/>
          <w:numId w:val="3"/>
        </w:numPr>
        <w:spacing w:before="0"/>
        <w:rPr>
          <w:rFonts w:cs="Arial"/>
          <w:szCs w:val="24"/>
          <w:lang w:val="en-US"/>
        </w:rPr>
      </w:pPr>
      <w:bookmarkStart w:id="8" w:name="_Toc441479790"/>
      <w:bookmarkEnd w:id="6"/>
      <w:bookmarkEnd w:id="7"/>
      <w:r w:rsidRPr="00DB0AC3">
        <w:rPr>
          <w:rFonts w:cs="Arial"/>
          <w:szCs w:val="24"/>
          <w:lang w:val="ru-RU"/>
        </w:rPr>
        <w:t>Основ</w:t>
      </w:r>
      <w:r>
        <w:rPr>
          <w:rFonts w:cs="Arial"/>
          <w:szCs w:val="24"/>
          <w:lang w:val="ru-RU"/>
        </w:rPr>
        <w:t>ы</w:t>
      </w:r>
      <w:r w:rsidR="00B92214">
        <w:rPr>
          <w:rFonts w:cs="Arial"/>
          <w:szCs w:val="24"/>
          <w:lang w:val="ru-RU"/>
        </w:rPr>
        <w:t xml:space="preserve"> </w:t>
      </w:r>
      <w:r w:rsidR="00996C04" w:rsidRPr="00DB0AC3">
        <w:rPr>
          <w:rFonts w:cs="Arial"/>
          <w:szCs w:val="24"/>
          <w:lang w:val="ru-RU"/>
        </w:rPr>
        <w:t>составления отчетности</w:t>
      </w:r>
      <w:bookmarkEnd w:id="8"/>
    </w:p>
    <w:p w:rsidR="00CC3C3A" w:rsidRDefault="0088640F" w:rsidP="00746B32">
      <w:pPr>
        <w:rPr>
          <w:rFonts w:cs="Arial"/>
          <w:b/>
          <w:i/>
          <w:sz w:val="20"/>
          <w:lang w:val="ru-RU"/>
        </w:rPr>
      </w:pPr>
      <w:r w:rsidRPr="0088640F">
        <w:rPr>
          <w:rFonts w:cs="Arial"/>
          <w:b/>
          <w:i/>
          <w:sz w:val="20"/>
          <w:lang w:val="ru-RU"/>
        </w:rPr>
        <w:t xml:space="preserve">Непрерывность деятельности </w:t>
      </w:r>
    </w:p>
    <w:p w:rsidR="006A4C42" w:rsidRPr="00B92214" w:rsidRDefault="006A4C42" w:rsidP="00746B32">
      <w:pPr>
        <w:rPr>
          <w:rFonts w:cs="Arial"/>
          <w:b/>
          <w:i/>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Настоящая  финансовая отчетность отражает текущую оценку руководством Банка тех воздействий, которые оказывает на деятельность и финансовое положение Банка экономическая ситуация в Российской Федерации. Будущее развитие экономики Российской Федерации зависит в значительной степени от эффективности мер, предпринимаемых Правительством РФ и иных факторов, включая законодательные и политические события, неподконтрольные Банку. Руководство Банка не в состоянии предсказать воздействие, которое указанные факторы могут оказать на финансовое состояние Банка в будущем.</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 xml:space="preserve">При подготовке настоящей финансовой отчетности руководство Банка исходило из допущения, что Банк будет непрерывно осуществлять свою деятельность в обозримом будущем и у него отсутствуют намерения и необходимость ликвидации или существенного сокращения деятельности, следовательно, обязательства будут погашаться в установленном порядке. </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В октябре 2014 года - феврале 2015 года Банком России был выявлен существенный объем резервов на возможные потери по ссудам, недосозданных в соответствии с требованиями российского законодательства</w:t>
      </w:r>
      <w:r w:rsidR="005A4C4B">
        <w:rPr>
          <w:rStyle w:val="ABC-paragrahinNotesChar"/>
          <w:rFonts w:cs="Arial"/>
          <w:sz w:val="20"/>
          <w:lang w:val="ru-RU"/>
        </w:rPr>
        <w:t xml:space="preserve"> </w:t>
      </w:r>
      <w:r w:rsidRPr="0088640F">
        <w:rPr>
          <w:rStyle w:val="ABC-paragrahinNotesChar"/>
          <w:rFonts w:cs="Arial"/>
          <w:sz w:val="20"/>
          <w:lang w:val="ru-RU"/>
        </w:rPr>
        <w:t xml:space="preserve"> (Положения Банка России от 26 марта 2004 года № 254-П «О порядке формирования кредитными организациями резервов на возможные потери по ссудам, по ссудной и приравненной к ней задолженности»). </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Более подробно данная ситуация описана в Примечании 36 «События после отчетной даты».</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В декабре 2014 года в деятельности Банка сложилась ситуация, в рамках которой платежеспособность Банка попала под угрозу. Данная ситуация могла привести к дальнейшему ухудшению финансового положения Банка и отзыву лицензии на осуществление банковских операций. Основной причиной, приведшей к потере платежеспособности Банка, стал дисбаланс пассивной базы и активных операций по срокам и концентрации. Позиция Банка по ликвидности, описанная в Примечании 33, свидетельствует о дефиците средств для покрытия текущих обязательств по всем срокам.</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Начиная с февраля 2015 года, государственная корпорация «Агентство по страхованию вкладов» (далее – АСВ, Агентство) совместно с Банком России начала осуществлять в отношении Банка мероприятия по предупреждению банкротства в соответствии с Федеральным законом от 26 октября 2002 года № 127-ФЗ «О несостоятельности (банкротстве)»</w:t>
      </w:r>
      <w:r w:rsidR="00FA6555">
        <w:rPr>
          <w:rStyle w:val="ABC-paragrahinNotesChar"/>
          <w:rFonts w:cs="Arial"/>
          <w:sz w:val="20"/>
          <w:lang w:val="ru-RU"/>
        </w:rPr>
        <w:t xml:space="preserve"> (далее</w:t>
      </w:r>
      <w:r w:rsidR="005A4C4B">
        <w:rPr>
          <w:rStyle w:val="ABC-paragrahinNotesChar"/>
          <w:rFonts w:cs="Arial"/>
          <w:sz w:val="20"/>
          <w:lang w:val="ru-RU"/>
        </w:rPr>
        <w:t xml:space="preserve"> </w:t>
      </w:r>
      <w:r w:rsidR="005A4C4B" w:rsidRPr="0088640F">
        <w:rPr>
          <w:rStyle w:val="ABC-paragrahinNotesChar"/>
          <w:rFonts w:cs="Arial"/>
          <w:sz w:val="20"/>
          <w:lang w:val="ru-RU"/>
        </w:rPr>
        <w:t>–</w:t>
      </w:r>
      <w:r w:rsidR="005A4C4B">
        <w:rPr>
          <w:rStyle w:val="ABC-paragrahinNotesChar"/>
          <w:rFonts w:cs="Arial"/>
          <w:sz w:val="20"/>
          <w:lang w:val="ru-RU"/>
        </w:rPr>
        <w:t xml:space="preserve"> </w:t>
      </w:r>
      <w:r w:rsidR="00FA6555">
        <w:rPr>
          <w:rStyle w:val="ABC-paragrahinNotesChar"/>
          <w:rFonts w:cs="Arial"/>
          <w:sz w:val="20"/>
          <w:lang w:val="ru-RU"/>
        </w:rPr>
        <w:t>ФЗ №127-ФЗ «О несостоятельности (банкротстве)»)</w:t>
      </w:r>
      <w:r w:rsidRPr="0088640F">
        <w:rPr>
          <w:rStyle w:val="ABC-paragrahinNotesChar"/>
          <w:rFonts w:cs="Arial"/>
          <w:sz w:val="20"/>
          <w:lang w:val="ru-RU"/>
        </w:rPr>
        <w:t xml:space="preserve">. </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 xml:space="preserve">В соответствии с пунктом 3 статьи 189.34 ФЗ № 127-ФЗ «О несостоятельности (банкротстве)» с 11 февраля 2015 года приостановлены права учредителей (участников), связанные с участием в уставном капитале Банка, предусмотренные учредительными документами Банка, и полномочия органов управления Банка. </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Для участия в предупреждении банкротства Банка  Агентство провело отбор инвестора. Инвестором был выбран ОАО АКБ «МЕЖДУНАРОДНЫЙ ФИНАНСОВЫЙ КЛУБ» (далее – Банк МФК), как кандидат, предложивший наиболее выгодные условия по финансированию мероприятий по предупреждению банкротства Банка.</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lastRenderedPageBreak/>
        <w:t xml:space="preserve">В целях устранения признаков неустойчивого финансового положения Банка Банком России и Агентством был разработан </w:t>
      </w:r>
      <w:r w:rsidR="003464BC" w:rsidRPr="003464BC">
        <w:rPr>
          <w:rStyle w:val="ABC-paragrahinNotesChar"/>
          <w:rFonts w:cs="Arial"/>
          <w:sz w:val="20"/>
          <w:lang w:val="ru-RU"/>
        </w:rPr>
        <w:t>План финансового оздоровления</w:t>
      </w:r>
      <w:r w:rsidRPr="0088640F">
        <w:rPr>
          <w:rStyle w:val="ABC-paragrahinNotesChar"/>
          <w:rFonts w:cs="Arial"/>
          <w:sz w:val="20"/>
          <w:lang w:val="ru-RU"/>
        </w:rPr>
        <w:t>, предусматривающий осуществление основных мер, содержание которых описано в Примечании 36 «События после отчетной даты».</w:t>
      </w:r>
    </w:p>
    <w:p w:rsidR="003464BC" w:rsidRDefault="003464BC" w:rsidP="00746B32">
      <w:pPr>
        <w:jc w:val="both"/>
        <w:rPr>
          <w:rStyle w:val="ABC-paragrahinNotesChar"/>
          <w:rFonts w:cs="Arial"/>
          <w:sz w:val="20"/>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 xml:space="preserve">В соответствии с </w:t>
      </w:r>
      <w:r w:rsidR="003464BC">
        <w:rPr>
          <w:rStyle w:val="ABC-paragrahinNotesChar"/>
          <w:rFonts w:cs="Arial"/>
          <w:sz w:val="20"/>
          <w:lang w:val="ru-RU"/>
        </w:rPr>
        <w:t xml:space="preserve">Генеральным соглашением от 08 апреля 2015 года № 2015-0240-3, </w:t>
      </w:r>
      <w:r w:rsidR="00EA35DE">
        <w:rPr>
          <w:rStyle w:val="ABC-paragrahinNotesChar"/>
          <w:rFonts w:cs="Arial"/>
          <w:sz w:val="20"/>
          <w:lang w:val="ru-RU"/>
        </w:rPr>
        <w:t xml:space="preserve">Дополнительным соглашением к указанному Генеральному соглашению и </w:t>
      </w:r>
      <w:r w:rsidRPr="0088640F">
        <w:rPr>
          <w:rStyle w:val="ABC-paragrahinNotesChar"/>
          <w:rFonts w:cs="Arial"/>
          <w:sz w:val="20"/>
          <w:lang w:val="ru-RU"/>
        </w:rPr>
        <w:t xml:space="preserve">Планом </w:t>
      </w:r>
      <w:r w:rsidR="003464BC" w:rsidRPr="003464BC">
        <w:rPr>
          <w:rStyle w:val="ABC-paragrahinNotesChar"/>
          <w:rFonts w:cs="Arial"/>
          <w:sz w:val="20"/>
          <w:lang w:val="ru-RU"/>
        </w:rPr>
        <w:t>финансового оздоровления</w:t>
      </w:r>
      <w:r w:rsidRPr="0088640F">
        <w:rPr>
          <w:rStyle w:val="ABC-paragrahinNotesChar"/>
          <w:rFonts w:cs="Arial"/>
          <w:sz w:val="20"/>
          <w:lang w:val="ru-RU"/>
        </w:rPr>
        <w:t xml:space="preserve"> Агентство предоставило за счет кредита Банка России финансовую помощь Банку в виде займа в размере 28 млрд. рублей сроком на 10 лет. При этом часть обязательств Банка перед крупнейшими кредиторами ОАО «Ленэнерго» и ОАО «МРСК Северо-Запада», выразившими заинтересованность в финансовом оздоровлении Банка, переоформлена в субординированные депозиты на общую сумму 12,7 млрд. рублей на срок 20 лет. </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 xml:space="preserve">Также </w:t>
      </w:r>
      <w:r w:rsidR="00FA6555">
        <w:rPr>
          <w:rStyle w:val="ABC-paragrahinNotesChar"/>
          <w:rFonts w:cs="Arial"/>
          <w:sz w:val="20"/>
          <w:lang w:val="ru-RU"/>
        </w:rPr>
        <w:t xml:space="preserve">в соответствии с </w:t>
      </w:r>
      <w:r w:rsidR="00EA35DE">
        <w:rPr>
          <w:rStyle w:val="ABC-paragrahinNotesChar"/>
          <w:rFonts w:cs="Arial"/>
          <w:sz w:val="20"/>
          <w:lang w:val="ru-RU"/>
        </w:rPr>
        <w:t xml:space="preserve">Генеральным соглашением от 08 апреля 2015 года № 2015-0240-3, Дополнительным соглашением к указанному Генеральному соглашению и </w:t>
      </w:r>
      <w:r w:rsidRPr="0088640F">
        <w:rPr>
          <w:rStyle w:val="ABC-paragrahinNotesChar"/>
          <w:rFonts w:cs="Arial"/>
          <w:sz w:val="20"/>
          <w:lang w:val="ru-RU"/>
        </w:rPr>
        <w:t xml:space="preserve">Планом </w:t>
      </w:r>
      <w:r w:rsidR="00EA35DE">
        <w:rPr>
          <w:rStyle w:val="ABC-paragrahinNotesChar"/>
          <w:rFonts w:cs="Arial"/>
          <w:sz w:val="20"/>
          <w:lang w:val="ru-RU"/>
        </w:rPr>
        <w:t>финансового оздоровления</w:t>
      </w:r>
      <w:r w:rsidR="00EA35DE" w:rsidRPr="0088640F">
        <w:rPr>
          <w:rStyle w:val="ABC-paragrahinNotesChar"/>
          <w:rFonts w:cs="Arial"/>
          <w:sz w:val="20"/>
          <w:lang w:val="ru-RU"/>
        </w:rPr>
        <w:t xml:space="preserve"> </w:t>
      </w:r>
      <w:r w:rsidR="00EA35DE">
        <w:rPr>
          <w:rStyle w:val="ABC-paragrahinNotesChar"/>
          <w:rFonts w:cs="Arial"/>
          <w:sz w:val="20"/>
          <w:lang w:val="ru-RU"/>
        </w:rPr>
        <w:t xml:space="preserve"> </w:t>
      </w:r>
      <w:r w:rsidR="00FA6555">
        <w:rPr>
          <w:rStyle w:val="ABC-paragrahinNotesChar"/>
          <w:rFonts w:cs="Arial"/>
          <w:sz w:val="20"/>
          <w:lang w:val="ru-RU"/>
        </w:rPr>
        <w:t xml:space="preserve">Агентством </w:t>
      </w:r>
      <w:r w:rsidRPr="0088640F">
        <w:rPr>
          <w:rStyle w:val="ABC-paragrahinNotesChar"/>
          <w:rFonts w:cs="Arial"/>
          <w:sz w:val="20"/>
          <w:lang w:val="ru-RU"/>
        </w:rPr>
        <w:t>проведено снижение уставного капитала Банка до 1 рубля и рекапитализация в пользу Банка МФК, что позволило Банку МФК стать основным акционером Банка</w:t>
      </w:r>
      <w:r w:rsidR="00FA6555">
        <w:rPr>
          <w:rStyle w:val="ABC-paragrahinNotesChar"/>
          <w:rFonts w:cs="Arial"/>
          <w:sz w:val="20"/>
          <w:lang w:val="ru-RU"/>
        </w:rPr>
        <w:t>.</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В срок до 1 июля 2022 года запланирована реорганизация Банка в форме его присоединения к Банку МФК.</w:t>
      </w:r>
    </w:p>
    <w:p w:rsidR="000C4520" w:rsidRPr="00B92214" w:rsidRDefault="000C4520" w:rsidP="00746B32">
      <w:pPr>
        <w:jc w:val="both"/>
        <w:rPr>
          <w:rStyle w:val="ABC-paragrahinNotesChar"/>
          <w:rFonts w:cs="Arial"/>
          <w:sz w:val="16"/>
          <w:szCs w:val="16"/>
          <w:lang w:val="ru-RU"/>
        </w:rPr>
      </w:pPr>
    </w:p>
    <w:p w:rsidR="00CC3C3A" w:rsidRDefault="0088640F" w:rsidP="00746B32">
      <w:pPr>
        <w:jc w:val="both"/>
        <w:rPr>
          <w:rStyle w:val="ABC-paragrahinNotesChar"/>
          <w:rFonts w:cs="Arial"/>
          <w:sz w:val="20"/>
          <w:lang w:val="ru-RU"/>
        </w:rPr>
      </w:pPr>
      <w:r w:rsidRPr="0088640F">
        <w:rPr>
          <w:rStyle w:val="ABC-paragrahinNotesChar"/>
          <w:rFonts w:cs="Arial"/>
          <w:sz w:val="20"/>
          <w:lang w:val="ru-RU"/>
        </w:rPr>
        <w:t>По результатам реализации решений</w:t>
      </w:r>
      <w:r w:rsidR="00FA6555">
        <w:rPr>
          <w:rStyle w:val="ABC-paragrahinNotesChar"/>
          <w:rFonts w:cs="Arial"/>
          <w:sz w:val="20"/>
          <w:lang w:val="ru-RU"/>
        </w:rPr>
        <w:t xml:space="preserve">, предусмотренных </w:t>
      </w:r>
      <w:r w:rsidRPr="0088640F">
        <w:rPr>
          <w:rStyle w:val="ABC-paragrahinNotesChar"/>
          <w:rFonts w:cs="Arial"/>
          <w:sz w:val="20"/>
          <w:lang w:val="ru-RU"/>
        </w:rPr>
        <w:t xml:space="preserve"> План</w:t>
      </w:r>
      <w:r w:rsidR="00FA6555">
        <w:rPr>
          <w:rStyle w:val="ABC-paragrahinNotesChar"/>
          <w:rFonts w:cs="Arial"/>
          <w:sz w:val="20"/>
          <w:lang w:val="ru-RU"/>
        </w:rPr>
        <w:t>ом</w:t>
      </w:r>
      <w:r w:rsidRPr="0088640F">
        <w:rPr>
          <w:rStyle w:val="ABC-paragrahinNotesChar"/>
          <w:rFonts w:cs="Arial"/>
          <w:sz w:val="20"/>
          <w:lang w:val="ru-RU"/>
        </w:rPr>
        <w:t xml:space="preserve"> </w:t>
      </w:r>
      <w:r w:rsidR="00EA35DE">
        <w:rPr>
          <w:rStyle w:val="ABC-paragrahinNotesChar"/>
          <w:rFonts w:cs="Arial"/>
          <w:sz w:val="20"/>
          <w:lang w:val="ru-RU"/>
        </w:rPr>
        <w:t>финансового оздоровления,</w:t>
      </w:r>
      <w:r w:rsidRPr="0088640F">
        <w:rPr>
          <w:rStyle w:val="ABC-paragrahinNotesChar"/>
          <w:rFonts w:cs="Arial"/>
          <w:sz w:val="20"/>
          <w:lang w:val="ru-RU"/>
        </w:rPr>
        <w:t xml:space="preserve"> Банк осуществляет  свою деятельность в обычном режиме, оказывая полный комплекс услуг своим клиентам. </w:t>
      </w:r>
    </w:p>
    <w:p w:rsidR="000C4520" w:rsidRPr="00B92214" w:rsidRDefault="000C4520" w:rsidP="00746B32">
      <w:pPr>
        <w:jc w:val="both"/>
        <w:rPr>
          <w:rStyle w:val="ABC-paragrahinNotesChar"/>
          <w:rFonts w:cs="Arial"/>
          <w:sz w:val="16"/>
          <w:szCs w:val="16"/>
          <w:lang w:val="ru-RU"/>
        </w:rPr>
      </w:pPr>
    </w:p>
    <w:p w:rsidR="00CC3C3A" w:rsidRPr="00F20F85" w:rsidRDefault="0088640F" w:rsidP="00746B32">
      <w:pPr>
        <w:jc w:val="both"/>
        <w:rPr>
          <w:rStyle w:val="ABC-paragrahinNotesChar"/>
          <w:rFonts w:cs="Arial"/>
          <w:sz w:val="20"/>
          <w:lang w:val="ru-RU"/>
        </w:rPr>
      </w:pPr>
      <w:r w:rsidRPr="0088640F">
        <w:rPr>
          <w:rStyle w:val="ABC-paragrahinNotesChar"/>
          <w:rFonts w:cs="Arial"/>
          <w:sz w:val="20"/>
          <w:lang w:val="ru-RU"/>
        </w:rPr>
        <w:t>В 2016 году Банк продолжит активную работу с проблемной задолженностью.</w:t>
      </w:r>
    </w:p>
    <w:p w:rsidR="00D71B06" w:rsidRPr="00DB0AC3" w:rsidRDefault="00D71B06" w:rsidP="00746B32">
      <w:pPr>
        <w:pStyle w:val="ABC-paragrahinNotes"/>
        <w:spacing w:before="240"/>
        <w:rPr>
          <w:rFonts w:cs="Arial"/>
          <w:szCs w:val="24"/>
          <w:lang w:val="ru-RU"/>
        </w:rPr>
      </w:pPr>
      <w:r w:rsidRPr="00DB0AC3">
        <w:rPr>
          <w:rFonts w:cs="Arial"/>
          <w:b/>
          <w:i/>
          <w:lang w:val="ru-RU"/>
        </w:rPr>
        <w:t>Основы составления отчетности</w:t>
      </w:r>
      <w:r w:rsidRPr="00DB0AC3">
        <w:rPr>
          <w:rFonts w:cs="Arial"/>
          <w:b/>
          <w:lang w:val="ru-RU"/>
        </w:rPr>
        <w:t>.</w:t>
      </w:r>
      <w:r w:rsidR="00C91E32" w:rsidRPr="00DB0AC3">
        <w:rPr>
          <w:rFonts w:cs="Arial"/>
          <w:b/>
          <w:lang w:val="ru-RU"/>
        </w:rPr>
        <w:t> </w:t>
      </w:r>
      <w:r w:rsidRPr="00DB0AC3">
        <w:rPr>
          <w:rStyle w:val="ABC-paragrahinNotesChar"/>
          <w:rFonts w:cs="Arial"/>
          <w:lang w:val="ru-RU"/>
        </w:rPr>
        <w:t xml:space="preserve">Данная финансовая отчетность подготовлена в соответствии с МСФО на основе правил учета по первоначальной стоимости, с поправкой на первоначальное признание финансовых инструментов по справедливой стоимости и переоценку финансовых активов, отражаемых по справедливой стоимости на счете прибылей и убытков, и финансовых активов, имеющихся в наличии для продажи. Принципы учетной политики, использованные при подготовке данной  финансовой отчетности, представлены ниже. </w:t>
      </w:r>
      <w:r w:rsidRPr="00DB0AC3">
        <w:rPr>
          <w:rFonts w:cs="Arial"/>
          <w:lang w:val="ru-RU"/>
        </w:rPr>
        <w:t xml:space="preserve">Данные принципы применялись последовательно в отношении всех периодов, представленных в отчетности, если </w:t>
      </w:r>
      <w:r w:rsidRPr="00DB0AC3">
        <w:rPr>
          <w:rFonts w:cs="Arial"/>
          <w:spacing w:val="-2"/>
          <w:lang w:val="ru-RU"/>
        </w:rPr>
        <w:t>не указано иное</w:t>
      </w:r>
      <w:r w:rsidR="00735867" w:rsidRPr="00DB0AC3">
        <w:rPr>
          <w:rFonts w:cs="Arial"/>
          <w:spacing w:val="-2"/>
          <w:lang w:val="ru-RU"/>
        </w:rPr>
        <w:t>.</w:t>
      </w:r>
    </w:p>
    <w:p w:rsidR="00D71B06" w:rsidRPr="00DB0AC3" w:rsidRDefault="00D71B06" w:rsidP="00746B32">
      <w:pPr>
        <w:pStyle w:val="ABC-paragrahinNotes"/>
        <w:spacing w:before="240" w:line="228" w:lineRule="auto"/>
        <w:rPr>
          <w:rFonts w:cs="Arial"/>
          <w:lang w:val="ru-RU"/>
        </w:rPr>
      </w:pPr>
      <w:r w:rsidRPr="00DB0AC3">
        <w:rPr>
          <w:rFonts w:cs="Arial"/>
          <w:b/>
          <w:i/>
          <w:lang w:val="ru-RU"/>
        </w:rPr>
        <w:t>Финансовые инструменты – основные подходы к оценке.</w:t>
      </w:r>
      <w:r w:rsidR="00C91E32" w:rsidRPr="00DB0AC3">
        <w:rPr>
          <w:rFonts w:cs="Arial"/>
          <w:b/>
          <w:i/>
          <w:lang w:val="ru-RU"/>
        </w:rPr>
        <w:t> </w:t>
      </w:r>
      <w:r w:rsidRPr="00DB0AC3">
        <w:rPr>
          <w:rFonts w:cs="Arial"/>
          <w:lang w:val="ru-RU"/>
        </w:rPr>
        <w:t xml:space="preserve">Финансовые инструменты отражаются по справедливой стоимости или </w:t>
      </w:r>
      <w:r w:rsidR="00FD11E5">
        <w:rPr>
          <w:rFonts w:cs="Arial"/>
          <w:lang w:val="ru-RU"/>
        </w:rPr>
        <w:t xml:space="preserve">по </w:t>
      </w:r>
      <w:r w:rsidRPr="00DB0AC3">
        <w:rPr>
          <w:rFonts w:cs="Arial"/>
          <w:lang w:val="ru-RU"/>
        </w:rPr>
        <w:t>амортизированной стоимости в зависимости от их классификации. Ниже представлено описание этих методов оценки.</w:t>
      </w:r>
    </w:p>
    <w:p w:rsidR="00D71B06" w:rsidRPr="00DB0AC3" w:rsidRDefault="00D71B06" w:rsidP="00746B32">
      <w:pPr>
        <w:pStyle w:val="ABC-paragrahinNotes"/>
        <w:spacing w:before="240" w:line="228" w:lineRule="auto"/>
        <w:rPr>
          <w:rFonts w:cs="Arial"/>
          <w:color w:val="000000"/>
          <w:lang w:val="ru-RU"/>
        </w:rPr>
      </w:pPr>
      <w:r w:rsidRPr="00DB0AC3">
        <w:rPr>
          <w:rFonts w:cs="Arial"/>
          <w:i/>
          <w:lang w:val="ru-RU"/>
        </w:rPr>
        <w:t xml:space="preserve">Справедливая стоимость – </w:t>
      </w:r>
      <w:r w:rsidRPr="00DB0AC3">
        <w:rPr>
          <w:rFonts w:cs="Arial"/>
          <w:lang w:val="ru-RU"/>
        </w:rPr>
        <w:t>это цена, которая может быть получена при продаже актива или уплачена при передаче обязательства при проведении операции на добровольной основе между участниками рынка на дату оценки.</w:t>
      </w:r>
      <w:r w:rsidRPr="00DB0AC3">
        <w:rPr>
          <w:rFonts w:cs="Arial"/>
          <w:color w:val="000000"/>
          <w:lang w:val="ru-RU"/>
        </w:rPr>
        <w:t xml:space="preserve"> Наилучшим подтверждением справедливой стоимости является котируемая цена на активном рынке. Активный рынок – это рынок, на котором операции с активом или обязательством проводятся с достаточной частотой и в достаточном объеме, позволяющем получать информацию об оценках на постоянной основе.</w:t>
      </w:r>
    </w:p>
    <w:p w:rsidR="00D71B06" w:rsidRPr="00DB0AC3" w:rsidRDefault="00D71B06" w:rsidP="00746B32">
      <w:pPr>
        <w:pStyle w:val="ABC-paragrahinNotes"/>
        <w:spacing w:before="240" w:line="228" w:lineRule="auto"/>
        <w:rPr>
          <w:rFonts w:cs="Arial"/>
          <w:color w:val="000000" w:themeColor="text1"/>
          <w:lang w:val="ru-RU"/>
        </w:rPr>
      </w:pPr>
      <w:r w:rsidRPr="00DB0AC3">
        <w:rPr>
          <w:rFonts w:cs="Arial"/>
          <w:color w:val="000000"/>
          <w:lang w:val="ru-RU"/>
        </w:rPr>
        <w:t xml:space="preserve">Справедливая стоимость финансовых инструментов, обращающихся на активном рынке, оценивается как сумма, полученная при умножении котируемой цены на отдельный актив или обязательство на их количество, удерживаемое </w:t>
      </w:r>
      <w:r w:rsidRPr="00DB0AC3">
        <w:rPr>
          <w:rFonts w:cs="Arial"/>
          <w:lang w:val="ru-RU"/>
        </w:rPr>
        <w:t>предприятием</w:t>
      </w:r>
      <w:r w:rsidRPr="00DB0AC3">
        <w:rPr>
          <w:rFonts w:cs="Arial"/>
          <w:color w:val="000000"/>
          <w:lang w:val="ru-RU"/>
        </w:rPr>
        <w:t xml:space="preserve">. Так обстоит дело даже в том случае, если обычный суточный торговый оборот рынка недостаточен для поглощения того количества активов и обязательств, которое имеется у предприятия, а размещение заказов на продажу позиций в отдельной операции может повлиять на котируемую цену. </w:t>
      </w:r>
    </w:p>
    <w:p w:rsidR="00D71B06" w:rsidRPr="00DB0AC3" w:rsidRDefault="00D71B06" w:rsidP="00746B32">
      <w:pPr>
        <w:pStyle w:val="ABC-paragrahinNotes"/>
        <w:spacing w:line="228" w:lineRule="auto"/>
        <w:rPr>
          <w:rFonts w:cs="Arial"/>
          <w:lang w:val="ru-RU"/>
        </w:rPr>
      </w:pPr>
      <w:r w:rsidRPr="00DB0AC3">
        <w:rPr>
          <w:rFonts w:cs="Arial"/>
          <w:lang w:val="ru-RU"/>
        </w:rPr>
        <w:t>Методы оценки, такие</w:t>
      </w:r>
      <w:r w:rsidR="00C91E32" w:rsidRPr="00DB0AC3">
        <w:rPr>
          <w:rFonts w:cs="Arial"/>
          <w:lang w:val="ru-RU"/>
        </w:rPr>
        <w:t>,</w:t>
      </w:r>
      <w:r w:rsidRPr="00DB0AC3">
        <w:rPr>
          <w:rFonts w:cs="Arial"/>
          <w:lang w:val="ru-RU"/>
        </w:rPr>
        <w:t xml:space="preserve"> как модель дисконтированных денежных потоков, а также модели, основанные на данных аналогичных операций, совершаемых на рыночных условиях, или на текущей стоимости объекта инвестиций, используются для определения справедливой стоимости финансовых инструментов, для которых недоступна рыночная информация о цене сделок. Результаты оценки справедливой стоимости анализируются и распределяются по уровням иерархии справедливой стоимости следующим образом: (</w:t>
      </w:r>
      <w:r w:rsidRPr="00DB0AC3">
        <w:rPr>
          <w:rFonts w:cs="Arial"/>
        </w:rPr>
        <w:t>i</w:t>
      </w:r>
      <w:r w:rsidRPr="00DB0AC3">
        <w:rPr>
          <w:rFonts w:cs="Arial"/>
          <w:lang w:val="ru-RU"/>
        </w:rPr>
        <w:t>) к 1 Уровню относятся оценки по котируемым ценам (некорректируемым) на активных рынках для идентичных активов или обязательств, (</w:t>
      </w:r>
      <w:r w:rsidRPr="00DB0AC3">
        <w:rPr>
          <w:rFonts w:cs="Arial"/>
        </w:rPr>
        <w:t>ii</w:t>
      </w:r>
      <w:r w:rsidRPr="00DB0AC3">
        <w:rPr>
          <w:rFonts w:cs="Arial"/>
          <w:lang w:val="ru-RU"/>
        </w:rPr>
        <w:t xml:space="preserve">) к 2 Уровню – полученные с помощью методов оценки, в которых все используемые существенные исходные данные, которые либо прямо (к примеру, цена), либо косвенно(к примеру, рассчитанных на базе </w:t>
      </w:r>
      <w:r w:rsidRPr="00DB0AC3">
        <w:rPr>
          <w:rFonts w:cs="Arial"/>
          <w:lang w:val="ru-RU"/>
        </w:rPr>
        <w:lastRenderedPageBreak/>
        <w:t>цены) являются наблюдаемыми для актива или обязательства (т.е., например, цены), и (</w:t>
      </w:r>
      <w:r w:rsidRPr="00DB0AC3">
        <w:rPr>
          <w:rFonts w:cs="Arial"/>
        </w:rPr>
        <w:t>iii</w:t>
      </w:r>
      <w:r w:rsidRPr="00DB0AC3">
        <w:rPr>
          <w:rFonts w:cs="Arial"/>
          <w:lang w:val="ru-RU"/>
        </w:rPr>
        <w:t xml:space="preserve">) оценки 3 Уровня, которые являются оценками, не основанными исключительно на наблюдаемых рыночных данных (т.е. для оценки требуется значительный объем ненаблюдаемых исходных данных). Переводы с уровня на уровень иерархии </w:t>
      </w:r>
      <w:r w:rsidRPr="00DB0AC3">
        <w:rPr>
          <w:rFonts w:cs="Arial"/>
          <w:spacing w:val="-2"/>
          <w:lang w:val="ru-RU"/>
        </w:rPr>
        <w:t>справедливой стоимости считаются имевшими место на конец отчетного периода (Примечани</w:t>
      </w:r>
      <w:r w:rsidR="00FD11E5">
        <w:rPr>
          <w:rFonts w:cs="Arial"/>
          <w:spacing w:val="-2"/>
          <w:lang w:val="ru-RU"/>
        </w:rPr>
        <w:t xml:space="preserve">я </w:t>
      </w:r>
      <w:r w:rsidR="00735867" w:rsidRPr="00DB0AC3">
        <w:rPr>
          <w:rFonts w:cs="Arial"/>
          <w:lang w:val="ru-RU"/>
        </w:rPr>
        <w:t>9</w:t>
      </w:r>
      <w:r w:rsidR="00FD11E5">
        <w:rPr>
          <w:rFonts w:cs="Arial"/>
          <w:lang w:val="ru-RU"/>
        </w:rPr>
        <w:t>, 32</w:t>
      </w:r>
      <w:r w:rsidRPr="00DB0AC3">
        <w:rPr>
          <w:rFonts w:cs="Arial"/>
          <w:lang w:val="ru-RU"/>
        </w:rPr>
        <w:t>).</w:t>
      </w:r>
    </w:p>
    <w:p w:rsidR="00D71B06" w:rsidRPr="00DB0AC3" w:rsidRDefault="00D71B06" w:rsidP="00746B32">
      <w:pPr>
        <w:pStyle w:val="ABC-paragrahinNotes"/>
        <w:spacing w:line="228" w:lineRule="auto"/>
        <w:rPr>
          <w:rFonts w:cs="Arial"/>
          <w:lang w:val="ru-RU"/>
        </w:rPr>
      </w:pPr>
      <w:r w:rsidRPr="00DB0AC3">
        <w:rPr>
          <w:rFonts w:cs="Arial"/>
          <w:i/>
          <w:lang w:val="ru-RU"/>
        </w:rPr>
        <w:t xml:space="preserve">Затраты по сделке </w:t>
      </w:r>
      <w:r w:rsidRPr="00DB0AC3">
        <w:rPr>
          <w:rFonts w:cs="Arial"/>
          <w:lang w:val="ru-RU"/>
        </w:rPr>
        <w:t>являются дополнительными</w:t>
      </w:r>
      <w:r w:rsidR="007A7C18">
        <w:rPr>
          <w:rFonts w:cs="Arial"/>
          <w:lang w:val="ru-RU"/>
        </w:rPr>
        <w:t xml:space="preserve"> </w:t>
      </w:r>
      <w:r w:rsidRPr="00DB0AC3">
        <w:rPr>
          <w:rFonts w:cs="Arial"/>
          <w:lang w:val="ru-RU"/>
        </w:rPr>
        <w:t>затратами и связаны непосредственно с приобретением, выпуском или выбытием финансового инструмента. Дополнительные затраты – это затраты, которые не были бы понесены, если бы сделка не состоялась. Затраты по сделке включают вознаграждение и комиссионные, уплаченные агентам (включая сотрудников, выступающих в качестве торговых агентов), консультантам, брокерам и дилерам, сборы, уплачиваемые регулирующим органам и фондовым биржам, а также налоги и сборы, взимаемые при передаче собственности. Затраты по сделке не включают премии или дисконты по долговым обязательствам, затраты на финансирование, внутренние административные расходы или затраты на хранение.</w:t>
      </w:r>
    </w:p>
    <w:p w:rsidR="00D71B06" w:rsidRPr="00DB0AC3" w:rsidRDefault="00D71B06" w:rsidP="00746B32">
      <w:pPr>
        <w:pStyle w:val="ABC-paragrahinNotes"/>
        <w:rPr>
          <w:rFonts w:cs="Arial"/>
          <w:lang w:val="ru-RU"/>
        </w:rPr>
      </w:pPr>
      <w:r w:rsidRPr="00DB0AC3">
        <w:rPr>
          <w:rFonts w:cs="Arial"/>
          <w:i/>
          <w:lang w:val="ru-RU"/>
        </w:rPr>
        <w:t xml:space="preserve">Амортизированная стоимость </w:t>
      </w:r>
      <w:r w:rsidRPr="00DB0AC3">
        <w:rPr>
          <w:rFonts w:cs="Arial"/>
          <w:lang w:val="ru-RU"/>
        </w:rPr>
        <w:t>представляет собой первоначальную стоимость актива за вычетом выплат основного долга, но включая наращенные проценты, а для финансовых активов – за вычетом любого списания понесенных убытков от обесценения. Наращенные проценты включают амортизацию отложенных при первоначальном признании затрат по сделке, а также любых премий или дисконта от суммы погашения с использованием метода эффективной процентной ставки. Наращенные процентные доходы и наращенные процентные расходы, включая наращенный купонный доход и амортизированный дисконт или премию (включая отложенную при предоставлении комиссию, при наличии таковой), не показываются отдельно, а включаются в балансовую стоимость соответствующих статей  отчета о финансовом положении.</w:t>
      </w:r>
    </w:p>
    <w:p w:rsidR="00D71B06" w:rsidRPr="00DB0AC3" w:rsidRDefault="00D71B06" w:rsidP="00746B32">
      <w:pPr>
        <w:pStyle w:val="ABC-paragrahinNotes"/>
        <w:spacing w:line="228" w:lineRule="auto"/>
        <w:rPr>
          <w:rFonts w:cs="Arial"/>
          <w:lang w:val="ru-RU"/>
        </w:rPr>
      </w:pPr>
      <w:r w:rsidRPr="00DB0AC3">
        <w:rPr>
          <w:rFonts w:cs="Arial"/>
          <w:i/>
          <w:lang w:val="ru-RU"/>
        </w:rPr>
        <w:t xml:space="preserve">Метод эффективной процентной ставки </w:t>
      </w:r>
      <w:r w:rsidRPr="00DB0AC3">
        <w:rPr>
          <w:rFonts w:cs="Arial"/>
          <w:lang w:val="ru-RU"/>
        </w:rPr>
        <w:t>– это метод признания процентных доходов или процентных расходов в течение соответствующего периода с целью обеспечения постоянной процентной ставки (эффективной процентной ставки) на балансовую стоимость инструмента. Эффективная процентная ставка – это точная ставка дисконтирования расчетных будущих денежных выплат или поступлений (не включая будущие убытки по кредитам) на ожидаемый срок действия финансового инструмента или, в соответствующих случаях, на более короткий срок до чистой балансовой стоимости финансового инструмента. Эффективная процентная ставка используется для дисконтирования денежных потоков по инструментам с плавающей ставкой до следующей даты изменения процента, за исключением премии или дисконта, которые отражают кредитный спр</w:t>
      </w:r>
      <w:r w:rsidR="004F4E24">
        <w:rPr>
          <w:rFonts w:cs="Arial"/>
          <w:lang w:val="ru-RU"/>
        </w:rPr>
        <w:t>э</w:t>
      </w:r>
      <w:r w:rsidRPr="00DB0AC3">
        <w:rPr>
          <w:rFonts w:cs="Arial"/>
          <w:lang w:val="ru-RU"/>
        </w:rPr>
        <w:t xml:space="preserve">д по плавающей ставке, указанной для данного инструмента, или по другим переменным факторам, не устанавливаемым в зависимости от рыночного значения. Такие премии или дисконты амортизируются на протяжении всего ожидаемого срока обращения инструмента. Расчет дисконтированной стоимости включает все комиссионные, выплаченные или полученные сторонами контракта, составляющие неотъемлемую часть эффективной процентной ставки. </w:t>
      </w:r>
    </w:p>
    <w:p w:rsidR="00D71B06" w:rsidRPr="00DB0AC3" w:rsidRDefault="00D71B06" w:rsidP="00D71B06">
      <w:pPr>
        <w:pStyle w:val="ABC-paragrahinNotes"/>
        <w:spacing w:line="228" w:lineRule="auto"/>
        <w:rPr>
          <w:rFonts w:cs="Arial"/>
          <w:lang w:val="ru-RU"/>
        </w:rPr>
      </w:pPr>
      <w:r w:rsidRPr="00DB0AC3">
        <w:rPr>
          <w:rFonts w:cs="Arial"/>
          <w:b/>
          <w:i/>
          <w:lang w:val="ru-RU"/>
        </w:rPr>
        <w:t>Первоначальное признание финансовых инструментов.</w:t>
      </w:r>
      <w:r w:rsidR="00C91E32" w:rsidRPr="00DB0AC3">
        <w:rPr>
          <w:rFonts w:cs="Arial"/>
          <w:b/>
          <w:i/>
          <w:lang w:val="ru-RU"/>
        </w:rPr>
        <w:t> </w:t>
      </w:r>
      <w:r w:rsidRPr="00DB0AC3">
        <w:rPr>
          <w:rFonts w:cs="Arial"/>
          <w:lang w:val="ru-RU"/>
        </w:rPr>
        <w:t>Финансовые активы или обязательства, оцениваемые по справедливой стоимости через прибыль или убыток, первоначально оцениваются по справедливой стоимости. Все прочие финансовые активы и обязательства, первоначально оцениваются по справедливой стоимости плюс или минус затраты по сделке, относимые напрямую к приобретению или выпуску финансового актива или обязательства. Прибыль или убыток при первоначальном признании учитываются только в том случае, если есть разница между справедливой стоимостью и ценой сделки, подтверждением которой могут служить другие наблюдаемые на рынке текущие сделки с тем же инструментом или метод оценки, который в качестве базовых данных использует только данные наблюдаемых рынков.</w:t>
      </w:r>
    </w:p>
    <w:p w:rsidR="00D71B06" w:rsidRPr="00DB0AC3" w:rsidRDefault="00D71B06" w:rsidP="00D71B06">
      <w:pPr>
        <w:pStyle w:val="ABC-paragrahinNotes"/>
        <w:spacing w:line="228" w:lineRule="auto"/>
        <w:rPr>
          <w:rFonts w:cs="Arial"/>
          <w:lang w:val="ru-RU"/>
        </w:rPr>
      </w:pPr>
      <w:r w:rsidRPr="00DB0AC3">
        <w:rPr>
          <w:rFonts w:cs="Arial"/>
          <w:lang w:val="ru-RU"/>
        </w:rPr>
        <w:t>Покупка и продажа финансовых активов, поставка которых должна производиться в сроки, установленные законодательством или обычаями делового оборота для данного рынка (покупка и продажа по «стандартным условиям»), отражаются на дату совершения сделки, то есть на дату, когда Банк обязуется купить или продать финансовый актив. Все другие операции по приобретению признаются, когда компания становится стороной договора в отношении данного финансового инструмента.</w:t>
      </w:r>
    </w:p>
    <w:p w:rsidR="00D71B06" w:rsidRPr="00DB0AC3" w:rsidRDefault="00D71B06" w:rsidP="00D71B06">
      <w:pPr>
        <w:pStyle w:val="ABC-paragrahinNotes"/>
        <w:spacing w:line="228" w:lineRule="auto"/>
        <w:rPr>
          <w:rFonts w:cs="Arial"/>
          <w:lang w:val="ru-RU"/>
        </w:rPr>
      </w:pPr>
      <w:r w:rsidRPr="00DB0AC3">
        <w:rPr>
          <w:rFonts w:cs="Arial"/>
          <w:b/>
          <w:i/>
          <w:lang w:val="ru-RU"/>
        </w:rPr>
        <w:t>Прекращение признания финансовых активов.</w:t>
      </w:r>
      <w:r w:rsidR="00C91E32" w:rsidRPr="00DB0AC3">
        <w:rPr>
          <w:rFonts w:cs="Arial"/>
          <w:b/>
          <w:i/>
          <w:lang w:val="ru-RU"/>
        </w:rPr>
        <w:t> </w:t>
      </w:r>
      <w:r w:rsidRPr="00DB0AC3">
        <w:rPr>
          <w:rFonts w:cs="Arial"/>
          <w:lang w:val="ru-RU"/>
        </w:rPr>
        <w:t xml:space="preserve">Банк прекращает признавать финансовые активы, когда </w:t>
      </w:r>
      <w:r w:rsidR="004F4E24" w:rsidRPr="00DB0AC3">
        <w:rPr>
          <w:rFonts w:cs="Arial"/>
          <w:lang w:val="ru-RU"/>
        </w:rPr>
        <w:t>(а) </w:t>
      </w:r>
      <w:r w:rsidRPr="00DB0AC3">
        <w:rPr>
          <w:rFonts w:cs="Arial"/>
          <w:lang w:val="ru-RU"/>
        </w:rPr>
        <w:t xml:space="preserve">эти активы погашены или права на денежные потоки, связанные с этими активами, истекли иным образом, или (b) Банк передал права на денежные потоки от финансовых активов или заключила соглашение о передаче, и при этом (i) также передал по существу, все риски и выгоды, </w:t>
      </w:r>
      <w:r w:rsidRPr="00DB0AC3">
        <w:rPr>
          <w:rFonts w:cs="Arial"/>
          <w:lang w:val="ru-RU"/>
        </w:rPr>
        <w:lastRenderedPageBreak/>
        <w:t>связанные с владением этими активами, или (ii) не передал и не сохранил, по существу, все риски и выгоды, связанные с владением этими активами, но утратил право контроля в отношении данных активов. Контроль сохраняется, если контрагент не имеет практической возможности полностью продать актив несвязанной третьей стороне без введения ограничений на продажу.</w:t>
      </w:r>
    </w:p>
    <w:p w:rsidR="00D71B06" w:rsidRPr="00DB0AC3" w:rsidRDefault="00D71B06" w:rsidP="00D71B06">
      <w:pPr>
        <w:pStyle w:val="ABC-paragrahinNotes"/>
        <w:spacing w:line="228" w:lineRule="auto"/>
        <w:rPr>
          <w:rFonts w:cs="Arial"/>
          <w:lang w:val="ru-RU"/>
        </w:rPr>
      </w:pPr>
      <w:r w:rsidRPr="00DB0AC3">
        <w:rPr>
          <w:rFonts w:cs="Arial"/>
          <w:b/>
          <w:i/>
          <w:lang w:val="ru-RU"/>
        </w:rPr>
        <w:t>Денежные средства и их эквиваленты.</w:t>
      </w:r>
      <w:r w:rsidRPr="00DB0AC3">
        <w:rPr>
          <w:rFonts w:cs="Arial"/>
          <w:lang w:val="ru-RU"/>
        </w:rPr>
        <w:t xml:space="preserve"> Денежные средства и их эквиваленты являются статьями, которые легко конвертируются в определенную сумму денежной наличности и подвержены незначительному изменению стоимости. Денежные средства и их эквиваленты включают все межбанковские депозиты с первоначальным сроком погашения менее трех месяцев. Средства, в отношении которых имеются ограничения по использованию на период более трех месяцев на момент предоставления, исключаются из состава денежных средств и их эквивалентов. </w:t>
      </w:r>
    </w:p>
    <w:p w:rsidR="00D71B06" w:rsidRPr="00DB0AC3" w:rsidRDefault="00D71B06" w:rsidP="00D71B06">
      <w:pPr>
        <w:pStyle w:val="ABC-paragrahinNotes"/>
        <w:spacing w:before="240"/>
        <w:rPr>
          <w:rFonts w:cs="Arial"/>
          <w:lang w:val="ru-RU"/>
        </w:rPr>
      </w:pPr>
      <w:r w:rsidRPr="00DB0AC3">
        <w:rPr>
          <w:rFonts w:cs="Arial"/>
          <w:b/>
          <w:i/>
          <w:lang w:val="ru-RU"/>
        </w:rPr>
        <w:t xml:space="preserve">Обязательные резервы на счетах в </w:t>
      </w:r>
      <w:r w:rsidR="004F4E24">
        <w:rPr>
          <w:rFonts w:cs="Arial"/>
          <w:b/>
          <w:i/>
          <w:lang w:val="ru-RU"/>
        </w:rPr>
        <w:t xml:space="preserve">Банке России </w:t>
      </w:r>
      <w:r w:rsidRPr="00DB0AC3">
        <w:rPr>
          <w:rFonts w:cs="Arial"/>
          <w:lang w:val="ru-RU"/>
        </w:rPr>
        <w:t xml:space="preserve">Обязательные резервы на счетах в </w:t>
      </w:r>
      <w:r w:rsidR="004F4E24">
        <w:rPr>
          <w:rFonts w:cs="Arial"/>
          <w:lang w:val="ru-RU"/>
        </w:rPr>
        <w:t>Банке России</w:t>
      </w:r>
      <w:r w:rsidR="007A7C18">
        <w:rPr>
          <w:rFonts w:cs="Arial"/>
          <w:lang w:val="ru-RU"/>
        </w:rPr>
        <w:t xml:space="preserve"> </w:t>
      </w:r>
      <w:r w:rsidRPr="00DB0AC3">
        <w:rPr>
          <w:rFonts w:cs="Arial"/>
          <w:lang w:val="ru-RU"/>
        </w:rPr>
        <w:t>отражаются по амортизированной стоимости и представляют собой средства, депонированные в</w:t>
      </w:r>
      <w:r w:rsidR="00AD3AD6">
        <w:rPr>
          <w:rFonts w:cs="Arial"/>
          <w:lang w:val="ru-RU"/>
        </w:rPr>
        <w:t xml:space="preserve"> </w:t>
      </w:r>
      <w:r w:rsidR="004F4E24">
        <w:rPr>
          <w:rFonts w:cs="Arial"/>
          <w:lang w:val="ru-RU"/>
        </w:rPr>
        <w:t>Банке России</w:t>
      </w:r>
      <w:r w:rsidRPr="00DB0AC3">
        <w:rPr>
          <w:rFonts w:cs="Arial"/>
          <w:lang w:val="ru-RU"/>
        </w:rPr>
        <w:t>, по которым не начисляются проценты и которые не предназначены для финансирования ежедневных операций Банка. Следовательно, они исключаются из состава денежных средств и их эквивалентов для целей составления  отчета о движении денежных средств.</w:t>
      </w:r>
    </w:p>
    <w:p w:rsidR="00D71B06" w:rsidRPr="00DB0AC3" w:rsidRDefault="00D71B06" w:rsidP="00D71B06">
      <w:pPr>
        <w:pStyle w:val="ABC-paragrahinNotes"/>
        <w:spacing w:before="240"/>
        <w:rPr>
          <w:rFonts w:cs="Arial"/>
          <w:b/>
          <w:i/>
          <w:lang w:val="ru-RU"/>
        </w:rPr>
      </w:pPr>
      <w:r w:rsidRPr="00DB0AC3">
        <w:rPr>
          <w:rFonts w:cs="Arial"/>
          <w:b/>
          <w:i/>
          <w:lang w:val="ru-RU"/>
        </w:rPr>
        <w:t>Средства в других банках.</w:t>
      </w:r>
      <w:r w:rsidRPr="00DB0AC3">
        <w:rPr>
          <w:rFonts w:cs="Arial"/>
          <w:lang w:val="ru-RU"/>
        </w:rPr>
        <w:t xml:space="preserve"> Средства в других банках учитываются, когда Банк предоставляет денежные средства банкам-контрагентам в виде авансовых платежей, подлежащих погашению на установленную или определяемую дату, при этом у Банка отсутствует намерение осуществлять торговые операции с возникающей дебиторской задолженностью, не связанной с производными финансовыми инструментами и не имеющей котировок на открытом рынке. Средства в других банках отражаются по амортизированной стоимости.</w:t>
      </w:r>
    </w:p>
    <w:p w:rsidR="00D71B06" w:rsidRPr="00DB0AC3" w:rsidRDefault="00D71B06" w:rsidP="00D71B06">
      <w:pPr>
        <w:pStyle w:val="ABC-paragrahinNotes"/>
        <w:spacing w:before="240"/>
        <w:rPr>
          <w:rFonts w:cs="Arial"/>
          <w:lang w:val="ru-RU"/>
        </w:rPr>
      </w:pPr>
      <w:r w:rsidRPr="00DB0AC3">
        <w:rPr>
          <w:rFonts w:cs="Arial"/>
          <w:b/>
          <w:i/>
          <w:spacing w:val="-2"/>
          <w:lang w:val="ru-RU"/>
        </w:rPr>
        <w:t>Финансовые активы, оцениваемые по справедливой стоимости через прибыль или убыток.</w:t>
      </w:r>
      <w:r w:rsidR="007A7C18">
        <w:rPr>
          <w:rFonts w:cs="Arial"/>
          <w:b/>
          <w:i/>
          <w:spacing w:val="-2"/>
          <w:lang w:val="ru-RU"/>
        </w:rPr>
        <w:t xml:space="preserve"> </w:t>
      </w:r>
      <w:r w:rsidRPr="00DB0AC3">
        <w:rPr>
          <w:rFonts w:cs="Arial"/>
          <w:spacing w:val="-2"/>
          <w:lang w:val="ru-RU"/>
        </w:rPr>
        <w:t xml:space="preserve">Финансовые активы, оцениваемые по справедливой стоимости, включают финансовые активы, которые при первоначальном признании были отнесены к этой категории. Финансовые активы, оцениваемые по справедливой стоимости через прибыль или убыток, учитываются по справедливой стоимости. Процентные доходы по финансовым активам, оцениваемым по справедливой стоимости, рассчитанные с использованием метода эффективной процентной ставки, отражаются как процентный доход в прибыли или убытке. Дивиденды отражаются как доход по дивидендам в момент установления права Банка на получение соответствующих выплат, </w:t>
      </w:r>
      <w:r w:rsidRPr="00DB0AC3">
        <w:rPr>
          <w:rFonts w:cs="Arial"/>
          <w:color w:val="000000"/>
          <w:spacing w:val="-2"/>
          <w:lang w:val="ru-RU"/>
        </w:rPr>
        <w:t>когда они представляют собой доходность инвестиций</w:t>
      </w:r>
      <w:r w:rsidRPr="00DB0AC3">
        <w:rPr>
          <w:rFonts w:cs="Arial"/>
          <w:spacing w:val="-2"/>
          <w:lang w:val="ru-RU"/>
        </w:rPr>
        <w:t>. Изменения справедливой стоимости долевых инструментов, оцениваемых по справедливой стоимости,</w:t>
      </w:r>
      <w:r w:rsidR="00AD3AD6">
        <w:rPr>
          <w:rFonts w:cs="Arial"/>
          <w:spacing w:val="-2"/>
          <w:lang w:val="ru-RU"/>
        </w:rPr>
        <w:t xml:space="preserve"> </w:t>
      </w:r>
      <w:r w:rsidRPr="00DB0AC3">
        <w:rPr>
          <w:rFonts w:cs="Arial"/>
          <w:spacing w:val="-2"/>
          <w:lang w:val="ru-RU"/>
        </w:rPr>
        <w:t>отражаются через счета прибылей и убытков. Все прочие компоненты изменения справедливой стоимости, а также доходы или расходы по прекращению признания отражаются в прибыли или убытке как доходы за вычетом расходов по операциям с финансовыми активами, оцениваемыми по справедливой стоимости, в том периоде, в котором они возникли.</w:t>
      </w:r>
    </w:p>
    <w:p w:rsidR="00D71B06" w:rsidRPr="00DB0AC3" w:rsidRDefault="00D71B06" w:rsidP="00D71B06">
      <w:pPr>
        <w:pStyle w:val="ABC-paragrahinNotes"/>
        <w:spacing w:before="240"/>
        <w:rPr>
          <w:rFonts w:cs="Arial"/>
          <w:lang w:val="ru-RU"/>
        </w:rPr>
      </w:pPr>
      <w:r w:rsidRPr="00DB0AC3">
        <w:rPr>
          <w:rFonts w:cs="Arial"/>
          <w:b/>
          <w:i/>
          <w:lang w:val="ru-RU"/>
        </w:rPr>
        <w:t xml:space="preserve">Кредиты и авансы клиентам. </w:t>
      </w:r>
      <w:r w:rsidRPr="00DB0AC3">
        <w:rPr>
          <w:rFonts w:cs="Arial"/>
          <w:lang w:val="ru-RU"/>
        </w:rPr>
        <w:t>Кредиты и авансы клиентам учитываются, когда Банк предоставляет денежные средства клиентам в виде авансовых платежей с целью приобретения или создания дебиторской задолженности, не связанной с производными финансовыми инструментами и не имеющей котировок на открытом рынке, подлежащей погашению на установленную или определяемую дату, и при этом у Банка отсутствует намерение осуществлять торговые операции с этой дебиторской задолженностью. Кредиты и авансы клиентам учитываются по амортизированной стоимости.</w:t>
      </w:r>
    </w:p>
    <w:p w:rsidR="00D71B06" w:rsidRPr="00DB0AC3" w:rsidRDefault="00D71B06" w:rsidP="00D71B06">
      <w:pPr>
        <w:pStyle w:val="ABC-paragrahinNotes"/>
        <w:spacing w:before="240"/>
        <w:rPr>
          <w:rFonts w:cs="Arial"/>
          <w:lang w:val="ru-RU"/>
        </w:rPr>
      </w:pPr>
      <w:r w:rsidRPr="00DB0AC3">
        <w:rPr>
          <w:rFonts w:cs="Arial"/>
          <w:b/>
          <w:i/>
          <w:lang w:val="ru-RU"/>
        </w:rPr>
        <w:t xml:space="preserve">Обесценение финансовых активов, отражаемых по амортизированной стоимости. </w:t>
      </w:r>
      <w:r w:rsidRPr="00DB0AC3">
        <w:rPr>
          <w:rFonts w:cs="Arial"/>
          <w:lang w:val="ru-RU"/>
        </w:rPr>
        <w:t xml:space="preserve">Убытки от обесценения признаются в прибыли и убытке за год по мере их понесения в результате одного или более событий («событий убытка»), произошедших после первоначального признания финансового актива и влияющих на величину или временные сроки расчетных будущих денежных потоков, которые связаны с финансовым активом или с </w:t>
      </w:r>
      <w:r w:rsidR="00D811E0">
        <w:rPr>
          <w:rFonts w:cs="Arial"/>
          <w:lang w:val="ru-RU"/>
        </w:rPr>
        <w:t xml:space="preserve">группой </w:t>
      </w:r>
      <w:r w:rsidRPr="00DB0AC3">
        <w:rPr>
          <w:rFonts w:cs="Arial"/>
          <w:lang w:val="ru-RU"/>
        </w:rPr>
        <w:t xml:space="preserve">финансовых активов, которые можно оценить с достаточной степенью надежности. В случае если у Банка отсутствуют объективные доказательства обесценения для индивидуально оцененного финансового актива (независимо от его существенности), этот актив включается в группу финансовых активов с аналогичными характеристиками кредитного риска и оценивается в совокупности с ними на предмет обесценения. </w:t>
      </w:r>
    </w:p>
    <w:p w:rsidR="00D71B06" w:rsidRPr="00DB0AC3" w:rsidRDefault="00D71B06" w:rsidP="00D71B06">
      <w:pPr>
        <w:pStyle w:val="ABC-paragrahinNotes"/>
        <w:spacing w:before="240"/>
        <w:rPr>
          <w:rFonts w:cs="Arial"/>
          <w:lang w:val="ru-RU"/>
        </w:rPr>
      </w:pPr>
      <w:r w:rsidRPr="00DB0AC3">
        <w:rPr>
          <w:rFonts w:cs="Arial"/>
          <w:lang w:val="ru-RU"/>
        </w:rPr>
        <w:lastRenderedPageBreak/>
        <w:t xml:space="preserve">Основными факторами, которые Банк принимает во внимание при рассмотрении вопроса об обесценении финансового актива, являются его просроченный статус и возможность реализации залогового обеспечения, при наличии такового. </w:t>
      </w:r>
    </w:p>
    <w:p w:rsidR="00D71B06" w:rsidRPr="00DB0AC3" w:rsidRDefault="00D71B06" w:rsidP="00D71B06">
      <w:pPr>
        <w:pStyle w:val="ABC-paragrahinNotes"/>
        <w:spacing w:before="240"/>
        <w:rPr>
          <w:rFonts w:cs="Arial"/>
          <w:lang w:val="ru-RU"/>
        </w:rPr>
      </w:pPr>
      <w:r w:rsidRPr="00DB0AC3">
        <w:rPr>
          <w:rFonts w:cs="Arial"/>
          <w:lang w:val="ru-RU"/>
        </w:rPr>
        <w:t>Ниже перечислены основные критерии, на основе которых определяется наличие объективных признаков убытка от обесценения:</w:t>
      </w:r>
    </w:p>
    <w:p w:rsidR="00D71B06" w:rsidRPr="00DB0AC3" w:rsidRDefault="00D71B06" w:rsidP="00092FBA">
      <w:pPr>
        <w:pStyle w:val="afa"/>
        <w:numPr>
          <w:ilvl w:val="0"/>
          <w:numId w:val="22"/>
        </w:numPr>
        <w:spacing w:after="120"/>
        <w:ind w:left="567" w:hanging="567"/>
        <w:contextualSpacing w:val="0"/>
        <w:jc w:val="both"/>
        <w:rPr>
          <w:rFonts w:cs="Arial"/>
          <w:lang w:val="ru-RU"/>
        </w:rPr>
      </w:pPr>
      <w:r w:rsidRPr="00DB0AC3">
        <w:rPr>
          <w:rFonts w:cs="Arial"/>
          <w:sz w:val="20"/>
          <w:lang w:val="ru-RU"/>
        </w:rPr>
        <w:t>просрочка любого очередного платежа</w:t>
      </w:r>
      <w:r w:rsidR="00D811E0">
        <w:rPr>
          <w:rFonts w:cs="Arial"/>
          <w:sz w:val="20"/>
          <w:lang w:val="ru-RU"/>
        </w:rPr>
        <w:t>,</w:t>
      </w:r>
      <w:r w:rsidRPr="00DB0AC3">
        <w:rPr>
          <w:rFonts w:cs="Arial"/>
          <w:sz w:val="20"/>
          <w:lang w:val="ru-RU"/>
        </w:rPr>
        <w:t xml:space="preserve"> и при этом несвоевременная оплата не может объясняться задержкой в работе расчетных систем;</w:t>
      </w:r>
    </w:p>
    <w:p w:rsidR="00D71B06" w:rsidRPr="00DB0AC3" w:rsidRDefault="00D71B06" w:rsidP="00092FBA">
      <w:pPr>
        <w:pStyle w:val="afa"/>
        <w:numPr>
          <w:ilvl w:val="0"/>
          <w:numId w:val="22"/>
        </w:numPr>
        <w:spacing w:after="120"/>
        <w:ind w:left="567" w:hanging="567"/>
        <w:contextualSpacing w:val="0"/>
        <w:jc w:val="both"/>
        <w:rPr>
          <w:rFonts w:cs="Arial"/>
          <w:lang w:val="ru-RU"/>
        </w:rPr>
      </w:pPr>
      <w:r w:rsidRPr="00DB0AC3">
        <w:rPr>
          <w:rFonts w:cs="Arial"/>
          <w:sz w:val="20"/>
          <w:lang w:val="ru-RU"/>
        </w:rPr>
        <w:t>заемщик испытывает существенные финансовые трудности, что подтверждается финансовой информацией о заемщике, находящейся в распоряжении Банка;</w:t>
      </w:r>
    </w:p>
    <w:p w:rsidR="00D71B06" w:rsidRPr="00DB0AC3" w:rsidRDefault="00D71B06" w:rsidP="00092FBA">
      <w:pPr>
        <w:pStyle w:val="afa"/>
        <w:numPr>
          <w:ilvl w:val="0"/>
          <w:numId w:val="22"/>
        </w:numPr>
        <w:spacing w:after="120"/>
        <w:ind w:left="567" w:hanging="567"/>
        <w:contextualSpacing w:val="0"/>
        <w:jc w:val="both"/>
        <w:rPr>
          <w:rFonts w:cs="Arial"/>
          <w:lang w:val="ru-RU"/>
        </w:rPr>
      </w:pPr>
      <w:r w:rsidRPr="00DB0AC3">
        <w:rPr>
          <w:rFonts w:cs="Arial"/>
          <w:sz w:val="20"/>
          <w:lang w:val="ru-RU"/>
        </w:rPr>
        <w:t>заемщику грозит банкротство или финансовая реорганизация;</w:t>
      </w:r>
    </w:p>
    <w:p w:rsidR="00D71B06" w:rsidRPr="00DB0AC3" w:rsidRDefault="00D71B06" w:rsidP="00092FBA">
      <w:pPr>
        <w:pStyle w:val="afa"/>
        <w:numPr>
          <w:ilvl w:val="0"/>
          <w:numId w:val="22"/>
        </w:numPr>
        <w:spacing w:after="120"/>
        <w:ind w:left="567" w:hanging="567"/>
        <w:contextualSpacing w:val="0"/>
        <w:jc w:val="both"/>
        <w:rPr>
          <w:rFonts w:cs="Arial"/>
          <w:lang w:val="ru-RU"/>
        </w:rPr>
      </w:pPr>
      <w:r w:rsidRPr="00DB0AC3">
        <w:rPr>
          <w:rFonts w:cs="Arial"/>
          <w:sz w:val="20"/>
          <w:lang w:val="ru-RU"/>
        </w:rPr>
        <w:t>существует негативное изменение платежного статуса заемщика, обусловленное изменениями национальных или местных экономических условий, оказывающих воздействие на заемщика; или</w:t>
      </w:r>
    </w:p>
    <w:p w:rsidR="00D71B06" w:rsidRPr="00DB0AC3" w:rsidRDefault="00D71B06" w:rsidP="00092FBA">
      <w:pPr>
        <w:pStyle w:val="afa"/>
        <w:numPr>
          <w:ilvl w:val="0"/>
          <w:numId w:val="22"/>
        </w:numPr>
        <w:spacing w:after="240"/>
        <w:ind w:left="567" w:hanging="567"/>
        <w:contextualSpacing w:val="0"/>
        <w:jc w:val="both"/>
        <w:rPr>
          <w:rFonts w:cs="Arial"/>
          <w:lang w:val="ru-RU"/>
        </w:rPr>
      </w:pPr>
      <w:r w:rsidRPr="00DB0AC3">
        <w:rPr>
          <w:rFonts w:cs="Arial"/>
          <w:sz w:val="20"/>
          <w:lang w:val="ru-RU"/>
        </w:rPr>
        <w:t>стоимость обеспечения существенно снижается в результате ухудшения ситуации на рынке.</w:t>
      </w:r>
    </w:p>
    <w:p w:rsidR="00D71B06" w:rsidRPr="00DB0AC3" w:rsidRDefault="00D71B06" w:rsidP="00D71B06">
      <w:pPr>
        <w:pStyle w:val="ABC-paragrahinNotes"/>
        <w:rPr>
          <w:rFonts w:cs="Arial"/>
          <w:lang w:val="ru-RU"/>
        </w:rPr>
      </w:pPr>
      <w:r w:rsidRPr="00DB0AC3">
        <w:rPr>
          <w:rFonts w:cs="Arial"/>
          <w:lang w:val="ru-RU"/>
        </w:rPr>
        <w:t>Если условия обесцененного финансового актива, отражаемого по амортизированной стоимости, пересматриваются или изменяются каким-либо иным образом в связи с финансовыми трудностями заемщика или эмитента, обесценение определяется с использованием первоначальной эффективной процентной ставки до изменения условий.</w:t>
      </w:r>
    </w:p>
    <w:p w:rsidR="00D71B06" w:rsidRPr="00DB0AC3" w:rsidRDefault="00D71B06" w:rsidP="00D71B06">
      <w:pPr>
        <w:pStyle w:val="ABC-paragrahinNotes"/>
        <w:rPr>
          <w:rFonts w:cs="Arial"/>
          <w:lang w:val="ru-RU"/>
        </w:rPr>
      </w:pPr>
      <w:r w:rsidRPr="00DB0AC3">
        <w:rPr>
          <w:rFonts w:cs="Arial"/>
          <w:lang w:val="ru-RU"/>
        </w:rPr>
        <w:t>Убытки от обесценения всегда признаются путем создания резерва в размере, необходимом для снижения балансовой стоимости актива до текущей стоимости ожидаемых денежных потоков (которая не включает в себя будущие убытки по кредиту, которые в настоящее время еще не были понесены), дисконтированных с использованием первоначальной эффективной процентной ставки по данному активу. Расчет дисконтированной стоимости ожидаемых денежных потоков обеспеченного финансового актива включает денежные потоки, которые могут возникнуть в результате вступления кредитора во владение имуществом должника, за вычетом затрат на получение и продажу обеспечения, независимо от степени вероятности вступления кредитора во владение имуществом должника. Если в последующем периоде сумма убытка от обесценения снижается, и это снижение может быть объективно отнесено к событию, наступившему после признания обесценения (как, например, повышение кредитного рейтинга дебитора), ранее отраженный убыток от обесценения восстанавливается посредством корректировки созданного резерва через прибыль и убыток за год.</w:t>
      </w:r>
    </w:p>
    <w:p w:rsidR="00D71B06" w:rsidRPr="00DB0AC3" w:rsidRDefault="00D71B06" w:rsidP="00D71B06">
      <w:pPr>
        <w:pStyle w:val="ABC-paragrahinNotes"/>
        <w:rPr>
          <w:rFonts w:cs="Arial"/>
          <w:lang w:val="ru-RU"/>
        </w:rPr>
      </w:pPr>
      <w:r w:rsidRPr="00DB0AC3">
        <w:rPr>
          <w:rFonts w:cs="Arial"/>
          <w:lang w:val="ru-RU"/>
        </w:rPr>
        <w:t>Активы, погашение которых невозможно, и в отношении которых завершены все необходимые процедуры с целью полного или частичного возмещения и определена окончательная сумма убытка, списываются за счет сформированного резерва под обесценение. Последующее восстановление ранее списанных сумм относится на счет потерь от обесценения в прибыли и убытке за год.</w:t>
      </w:r>
    </w:p>
    <w:p w:rsidR="00D71B06" w:rsidRPr="00DB0AC3" w:rsidRDefault="00D71B06" w:rsidP="00D71B06">
      <w:pPr>
        <w:pStyle w:val="ABC-paragrahinNotes"/>
        <w:rPr>
          <w:rFonts w:cs="Arial"/>
          <w:color w:val="FF0000"/>
          <w:lang w:val="ru-RU"/>
        </w:rPr>
      </w:pPr>
      <w:r w:rsidRPr="00DB0AC3">
        <w:rPr>
          <w:rFonts w:cs="Arial"/>
          <w:b/>
          <w:i/>
          <w:lang w:val="ru-RU"/>
        </w:rPr>
        <w:t>Обязательства кредитного характера.</w:t>
      </w:r>
      <w:r w:rsidR="0034616E" w:rsidRPr="00DB0AC3">
        <w:rPr>
          <w:rFonts w:cs="Arial"/>
          <w:b/>
          <w:i/>
          <w:lang w:val="ru-RU"/>
        </w:rPr>
        <w:t> </w:t>
      </w:r>
      <w:r w:rsidRPr="00DB0AC3">
        <w:rPr>
          <w:rFonts w:cs="Arial"/>
          <w:lang w:val="ru-RU"/>
        </w:rPr>
        <w:t xml:space="preserve">Банк принимает на себя обязательства кредитного характера, включая аккредитивы и финансовые гарантии. Финансовые гарантии представляют собой безотзывные обязательства осуществлять платежи в случае невыполнения клиентом своих обязательств перед третьими сторонами, и подвержены такому же кредитному риску, как и кредиты. </w:t>
      </w:r>
    </w:p>
    <w:p w:rsidR="00D71B06" w:rsidRPr="00DB0AC3" w:rsidRDefault="00D71B06" w:rsidP="00D71B06">
      <w:pPr>
        <w:pStyle w:val="ABC-paragrahinNotes"/>
        <w:rPr>
          <w:rFonts w:cs="Arial"/>
          <w:lang w:val="ru-RU"/>
        </w:rPr>
      </w:pPr>
      <w:r w:rsidRPr="00DB0AC3">
        <w:rPr>
          <w:rFonts w:cs="Arial"/>
          <w:b/>
          <w:i/>
          <w:lang w:val="ru-RU"/>
        </w:rPr>
        <w:t>Финансовые активы, имеющиеся в наличии для продажи.</w:t>
      </w:r>
      <w:r w:rsidR="0034616E" w:rsidRPr="00DB0AC3">
        <w:rPr>
          <w:rFonts w:cs="Arial"/>
          <w:b/>
          <w:i/>
          <w:lang w:val="ru-RU"/>
        </w:rPr>
        <w:t> </w:t>
      </w:r>
      <w:r w:rsidRPr="00DB0AC3">
        <w:rPr>
          <w:rFonts w:cs="Arial"/>
          <w:lang w:val="ru-RU"/>
        </w:rPr>
        <w:t xml:space="preserve">Данная категория финансовых активов включает активы, которые Банк намерен удерживать в течение неопределенного периода времени, и которые могут быть проданы в зависимости от требований по поддержанию ликвидности или в результате изменения процентных ставок, обменных курсов или цен на акции. </w:t>
      </w:r>
    </w:p>
    <w:p w:rsidR="00D71B06" w:rsidRPr="00DB0AC3" w:rsidRDefault="00D71B06" w:rsidP="00D71B06">
      <w:pPr>
        <w:autoSpaceDE w:val="0"/>
        <w:autoSpaceDN w:val="0"/>
        <w:adjustRightInd w:val="0"/>
        <w:spacing w:after="240"/>
        <w:jc w:val="both"/>
        <w:rPr>
          <w:rFonts w:cs="Arial"/>
          <w:sz w:val="20"/>
          <w:lang w:val="ru-RU"/>
        </w:rPr>
      </w:pPr>
      <w:r w:rsidRPr="00DB0AC3">
        <w:rPr>
          <w:rFonts w:cs="Arial"/>
          <w:sz w:val="20"/>
          <w:lang w:val="ru-RU"/>
        </w:rPr>
        <w:t xml:space="preserve">Финансовые активы, имеющиеся в наличии для продажи, учитываются по справедливой стоимости. Процентный доход по долговым инструментам, имеющимся в наличии для продажи, рассчитывается на основе метода эффективной процентной ставки и отражается в прибыли или убытке за год. Дивиденды по долевым инструментам, имеющимся в наличии для продажи, отражаются в прибыли или убытке за год в момент установления права Банка на получение выплаты и при условии существования вероятности получения дивидендов. Все остальные компоненты изменения </w:t>
      </w:r>
      <w:r w:rsidRPr="00DB0AC3">
        <w:rPr>
          <w:rFonts w:cs="Arial"/>
          <w:sz w:val="20"/>
          <w:lang w:val="ru-RU"/>
        </w:rPr>
        <w:lastRenderedPageBreak/>
        <w:t xml:space="preserve">справедливой стоимости отражаются в составе прочего совокупного дохода до момента прекращения признания инструмента или его обесценения, при этом накопленная прибыль или убыток переносятся из категории прочего совокупного дохода в прибыль или убыток за год. </w:t>
      </w:r>
    </w:p>
    <w:p w:rsidR="00D71B06" w:rsidRPr="00DB0AC3" w:rsidRDefault="00D71B06" w:rsidP="00D71B06">
      <w:pPr>
        <w:autoSpaceDE w:val="0"/>
        <w:autoSpaceDN w:val="0"/>
        <w:adjustRightInd w:val="0"/>
        <w:spacing w:after="240"/>
        <w:jc w:val="both"/>
        <w:rPr>
          <w:rFonts w:cs="Arial"/>
          <w:sz w:val="20"/>
          <w:lang w:val="ru-RU"/>
        </w:rPr>
      </w:pPr>
      <w:r w:rsidRPr="00DB0AC3">
        <w:rPr>
          <w:rFonts w:cs="Arial"/>
          <w:sz w:val="20"/>
          <w:lang w:val="ru-RU"/>
        </w:rPr>
        <w:t>Убытки от обесценения признаются в прибыли или убытке за год по мере их понесения в результате одного или более событий («событий убытка»), произошедших после первоначального признания финансовых активов, имеющихся в наличии для продажи. Существенное или длительное снижение справедливой стоимости долевых инструментов ниже стоимости их приобретения является признаком возможного обесценения.</w:t>
      </w:r>
    </w:p>
    <w:p w:rsidR="00D71B06" w:rsidRPr="00DB0AC3" w:rsidRDefault="00D71B06" w:rsidP="00D71B06">
      <w:pPr>
        <w:autoSpaceDE w:val="0"/>
        <w:autoSpaceDN w:val="0"/>
        <w:adjustRightInd w:val="0"/>
        <w:spacing w:after="240"/>
        <w:jc w:val="both"/>
        <w:rPr>
          <w:rFonts w:cs="Arial"/>
          <w:sz w:val="20"/>
          <w:lang w:val="ru-RU"/>
        </w:rPr>
      </w:pPr>
      <w:r w:rsidRPr="00DB0AC3">
        <w:rPr>
          <w:rFonts w:cs="Arial"/>
          <w:sz w:val="20"/>
          <w:lang w:val="ru-RU"/>
        </w:rPr>
        <w:t>Накопленный убыток от обесценения, определенный как разница между стоимостью приобретения и текущей справедливой стоимостью за вычетом убытка от обесценения данного актива, который был первоначально признан в прибыли и убытке, переносится из категории прочего совокупного дохода в прибыль или убыток за год. Убытки от обесценения долевых инструментов не восстанавливаются, а последующие доходы отражаются в составе прочего совокупного дохода. Если в последующем отчетном периоде справедливая стоимость долгового инструмента, отнесенного к категории «финансовые активы, имеющиеся в наличии для продажи», увеличивается, и такое увеличение может быть объективно отнесено к событию, произошедшему после признания убытка от обесценения в прибыли или убытке, то убыток от обесценения восстанавливается через прибыль или убыток за год.</w:t>
      </w:r>
    </w:p>
    <w:p w:rsidR="00D71B06" w:rsidRPr="00DB0AC3" w:rsidRDefault="00D71B06" w:rsidP="00D71B06">
      <w:pPr>
        <w:pStyle w:val="ABC-paragrahinNotes"/>
        <w:autoSpaceDE w:val="0"/>
        <w:autoSpaceDN w:val="0"/>
        <w:adjustRightInd w:val="0"/>
        <w:rPr>
          <w:rFonts w:cs="Arial"/>
          <w:lang w:val="ru-RU"/>
        </w:rPr>
      </w:pPr>
      <w:r w:rsidRPr="00DB0AC3">
        <w:rPr>
          <w:rFonts w:cs="Arial"/>
          <w:b/>
          <w:i/>
          <w:lang w:val="ru-RU"/>
        </w:rPr>
        <w:t xml:space="preserve">Сделки по договорам продажи и обратного выкупа, займы ценных бумаг. </w:t>
      </w:r>
      <w:r w:rsidRPr="00DB0AC3">
        <w:rPr>
          <w:rFonts w:cs="Arial"/>
          <w:lang w:val="ru-RU"/>
        </w:rPr>
        <w:t xml:space="preserve">Сделки по договорам продажи и обратного выкупа (договоры «репо»), которые фактически обеспечивают контрагенту доходность кредитора, рассматриваются как операции привлечения средств под обеспечение ценных бумаг. Признание ценных бумаг, проданных по договорам продажи и обратного выкупа, не прекращается. Реклассификация ценных бумаг в другую статью отчета о финансовом положении не производится, кроме случаев, когда приобретающее лицо имеет право по контракту или в соответствии со сложившейся практикой продать или перезаложить ценные бумаги. В таких случаях они классифицируются как «Дебиторская задолженность по сделкам репо». Соответствующие обязательства отражаются по строке «Средства других банков» или «Прочие заемные средства». </w:t>
      </w:r>
    </w:p>
    <w:p w:rsidR="00D71B06" w:rsidRPr="00DB0AC3" w:rsidRDefault="00D71B06" w:rsidP="00D71B06">
      <w:pPr>
        <w:pStyle w:val="ABC-paragrahinNotes"/>
        <w:spacing w:line="228" w:lineRule="auto"/>
        <w:rPr>
          <w:rFonts w:cs="Arial"/>
          <w:lang w:val="ru-RU"/>
        </w:rPr>
      </w:pPr>
      <w:r w:rsidRPr="00DB0AC3">
        <w:rPr>
          <w:rFonts w:cs="Arial"/>
          <w:lang w:val="ru-RU"/>
        </w:rPr>
        <w:t>Ценные бумаги, приобретенные по сделкам по договорам с обязательством обратной продажи («обратное</w:t>
      </w:r>
      <w:r w:rsidR="00AD3AD6">
        <w:rPr>
          <w:rFonts w:cs="Arial"/>
          <w:lang w:val="ru-RU"/>
        </w:rPr>
        <w:t xml:space="preserve"> </w:t>
      </w:r>
      <w:r w:rsidRPr="00DB0AC3">
        <w:rPr>
          <w:rFonts w:cs="Arial"/>
          <w:lang w:val="ru-RU"/>
        </w:rPr>
        <w:t>репо»), которые фактически обеспечивают Банку доходность кредитора, отражаются как «Средства в других банках» или «Кредиты и авансы клиентам» в зависимости от контрагента. Разница между ценой продажи и ценой обратного выкупа признается как процентный доход и начисляется на протяжении всего срока действия договора репо по методу эффективной процентной ставки.</w:t>
      </w:r>
    </w:p>
    <w:p w:rsidR="00D71B06" w:rsidRPr="00DB0AC3" w:rsidRDefault="00D71B06" w:rsidP="00D71B06">
      <w:pPr>
        <w:pStyle w:val="ABC-paragrahinNotes"/>
        <w:autoSpaceDE w:val="0"/>
        <w:autoSpaceDN w:val="0"/>
        <w:adjustRightInd w:val="0"/>
        <w:rPr>
          <w:rFonts w:cs="Arial"/>
          <w:lang w:val="ru-RU"/>
        </w:rPr>
      </w:pPr>
      <w:r w:rsidRPr="00DB0AC3">
        <w:rPr>
          <w:rFonts w:cs="Arial"/>
          <w:lang w:val="ru-RU"/>
        </w:rPr>
        <w:t>Ценные бумаги, предоставленные контрагентам в качестве займа за фиксированное вознаграждение, продолжают отражаться в  финансовой отчетности в исходной статье  отчета о финансовом положении, кроме случаев, когда контрагент имеет право по контракту или в соответствии со сложившейся практикой продать или перезаложить данные ценные бумаги. В таких случаях производится их реклассификация в отдельную балансовую статью. Ценные бумаги, полученные в качестве займа за фиксированное вознаграждение, не отражаются в  финансовой отчетности, кроме случаев, когда они реализуются третьим сторонам. В таких случаях финансовый результат от приобретения и продажи этих финансовых активов отражается в прибыли или убытке за год по строке «Доходы за вычетом расходов по операциям с ценными бумагами, оцениваемым по справедливой стоимости через прибыль и убыток». Обязательство по возврату ценных бумаг отражается по справедливой стоимости в составе строки «Прочие заемные средства».</w:t>
      </w:r>
    </w:p>
    <w:p w:rsidR="00D71B06" w:rsidRPr="00DB0AC3" w:rsidRDefault="00D71B06" w:rsidP="00D71B06">
      <w:pPr>
        <w:pStyle w:val="ABC-paragrahinNotes"/>
        <w:autoSpaceDE w:val="0"/>
        <w:autoSpaceDN w:val="0"/>
        <w:adjustRightInd w:val="0"/>
        <w:spacing w:line="228" w:lineRule="auto"/>
        <w:rPr>
          <w:rFonts w:cs="Arial"/>
          <w:lang w:val="ru-RU"/>
        </w:rPr>
      </w:pPr>
      <w:r w:rsidRPr="00DB0AC3">
        <w:rPr>
          <w:rFonts w:cs="Arial"/>
          <w:b/>
          <w:i/>
          <w:lang w:val="ru-RU"/>
        </w:rPr>
        <w:t>Финансовые активы, удерживаемые до погашения.</w:t>
      </w:r>
      <w:r w:rsidRPr="00DB0AC3">
        <w:rPr>
          <w:rFonts w:cs="Arial"/>
          <w:lang w:val="ru-RU"/>
        </w:rPr>
        <w:t xml:space="preserve"> В эту группу включаются непроизводные финансовые активы с фиксированными или определяемыми выплатами и фиксированным сроком погашения, которые в соответствии с твердым намерением и возможностью руководства Банка будут удерживаться до погашения. Финансовые активы не классифицируются как удерживаемые до погашения, если Банк имеет право потребовать от эмитента погашения или выкупа этого активы до наступления срока погашения, так как право досрочного выкупа противоречит  намерени</w:t>
      </w:r>
      <w:r w:rsidR="00D811E0">
        <w:rPr>
          <w:rFonts w:cs="Arial"/>
          <w:lang w:val="ru-RU"/>
        </w:rPr>
        <w:t>ю</w:t>
      </w:r>
      <w:r w:rsidRPr="00DB0AC3">
        <w:rPr>
          <w:rFonts w:cs="Arial"/>
          <w:lang w:val="ru-RU"/>
        </w:rPr>
        <w:t xml:space="preserve"> удерживать актив до погашения. Руководство классифицирует финансовые активы, удерживаемые до погашения, в момент первоначального признания и пересматривает эту классификацию на конец </w:t>
      </w:r>
      <w:r w:rsidRPr="00DB0AC3">
        <w:rPr>
          <w:rFonts w:cs="Arial"/>
          <w:lang w:val="ru-RU"/>
        </w:rPr>
        <w:lastRenderedPageBreak/>
        <w:t xml:space="preserve">каждого отчетного периода. Финансовые активы, удерживаемые до погашения, отражаются по амортизированной стоимости. </w:t>
      </w:r>
    </w:p>
    <w:p w:rsidR="00D71B06" w:rsidRPr="00DB0AC3" w:rsidRDefault="00D71B06" w:rsidP="00D71B06">
      <w:pPr>
        <w:pStyle w:val="ABC-paragrahinNotes"/>
        <w:autoSpaceDE w:val="0"/>
        <w:autoSpaceDN w:val="0"/>
        <w:adjustRightInd w:val="0"/>
        <w:spacing w:line="228" w:lineRule="auto"/>
        <w:rPr>
          <w:rFonts w:cs="Arial"/>
          <w:lang w:val="ru-RU"/>
        </w:rPr>
      </w:pPr>
      <w:r w:rsidRPr="00DB0AC3">
        <w:rPr>
          <w:rFonts w:cs="Arial"/>
          <w:b/>
          <w:i/>
          <w:lang w:val="ru-RU"/>
        </w:rPr>
        <w:t xml:space="preserve">Приобретенные векселя. </w:t>
      </w:r>
      <w:r w:rsidRPr="00DB0AC3">
        <w:rPr>
          <w:rStyle w:val="ABC-subheadinNotes"/>
          <w:rFonts w:cs="Arial"/>
          <w:b w:val="0"/>
          <w:i w:val="0"/>
          <w:lang w:val="ru-RU"/>
        </w:rPr>
        <w:t>Приобретенные в</w:t>
      </w:r>
      <w:r w:rsidRPr="00DB0AC3">
        <w:rPr>
          <w:rFonts w:cs="Arial"/>
          <w:lang w:val="ru-RU"/>
        </w:rPr>
        <w:t>екселя включаются в «</w:t>
      </w:r>
      <w:r w:rsidR="00D811E0">
        <w:rPr>
          <w:rFonts w:cs="Arial"/>
          <w:lang w:val="ru-RU"/>
        </w:rPr>
        <w:t>Ф</w:t>
      </w:r>
      <w:r w:rsidRPr="00DB0AC3">
        <w:rPr>
          <w:rFonts w:cs="Arial"/>
          <w:lang w:val="ru-RU"/>
        </w:rPr>
        <w:t>инансовые активы, оцениваемые по справедливой стоимости через прибыль или убыток», «Средства в других банках» или «Кредиты и авансы клиентам» в зависимости от их экономического содержания и отражаются, впоследствии переоцениваются и учитываются в соответствии с учетной политикой, представленной выше для этих категорий активов.</w:t>
      </w:r>
    </w:p>
    <w:p w:rsidR="00D71B06" w:rsidRPr="00DB0AC3" w:rsidRDefault="00D71B06" w:rsidP="00D71B06">
      <w:pPr>
        <w:pStyle w:val="Style96"/>
        <w:widowControl/>
        <w:spacing w:after="240" w:line="228" w:lineRule="auto"/>
        <w:rPr>
          <w:rFonts w:ascii="Arial" w:eastAsia="Times New Roman" w:hAnsi="Arial" w:cs="Arial"/>
          <w:sz w:val="20"/>
          <w:szCs w:val="20"/>
        </w:rPr>
      </w:pPr>
      <w:r w:rsidRPr="00DB0AC3">
        <w:rPr>
          <w:rFonts w:ascii="Arial" w:eastAsia="Times New Roman" w:hAnsi="Arial" w:cs="Arial"/>
          <w:b/>
          <w:i/>
          <w:sz w:val="20"/>
          <w:szCs w:val="20"/>
        </w:rPr>
        <w:t>Основные средства.</w:t>
      </w:r>
      <w:r w:rsidRPr="00DB0AC3">
        <w:rPr>
          <w:rFonts w:ascii="Arial" w:eastAsia="Times New Roman" w:hAnsi="Arial" w:cs="Arial"/>
          <w:sz w:val="20"/>
          <w:szCs w:val="20"/>
        </w:rPr>
        <w:t xml:space="preserve"> Основные средства отражаются по стоимости приобретения за вычетом накопленного износа и резерва под обесценение (там, где это необходимо). </w:t>
      </w:r>
    </w:p>
    <w:p w:rsidR="00D71B06" w:rsidRPr="00DB0AC3" w:rsidRDefault="00D71B06" w:rsidP="00D71B06">
      <w:pPr>
        <w:pStyle w:val="ABC-paragrahinNotes"/>
        <w:spacing w:line="228" w:lineRule="auto"/>
        <w:rPr>
          <w:rFonts w:cs="Arial"/>
          <w:lang w:val="ru-RU"/>
        </w:rPr>
      </w:pPr>
      <w:r w:rsidRPr="00DB0AC3">
        <w:rPr>
          <w:rFonts w:cs="Arial"/>
          <w:lang w:val="ru-RU"/>
        </w:rPr>
        <w:t xml:space="preserve">Расходы по незначительному ремонту и техническому обслуживанию учитываются по мере их возникновения. Расходы по замене крупных компонентов основных средств капитализируются с последующим списанием замененного компонента. В конце каждого отчетного периода руководство определяет наличие признаков обесценения основных средств. При наличии признаков обесценения руководство производит оценку возмещаемой стоимости, которая определяется как наибольшая из справедливой стоимости актива за вычетом затрат на продажу и стоимости, получаемой в результате его использования. Прибыль и убытки от выбытия, определяемые путем сравнения суммы выручки с балансовой стоимостью, отражаются (в составе прочих операционных расходов) в прибыли и убытке за год. </w:t>
      </w:r>
    </w:p>
    <w:p w:rsidR="00D71B06" w:rsidRPr="00DB0AC3" w:rsidRDefault="00D71B06" w:rsidP="00D71B06">
      <w:pPr>
        <w:pStyle w:val="ABC-paragrahinNotes"/>
        <w:spacing w:line="228" w:lineRule="auto"/>
        <w:rPr>
          <w:rFonts w:cs="Arial"/>
          <w:lang w:val="ru-RU"/>
        </w:rPr>
      </w:pPr>
      <w:r w:rsidRPr="00DB0AC3">
        <w:rPr>
          <w:rFonts w:cs="Arial"/>
          <w:b/>
          <w:i/>
          <w:lang w:val="ru-RU"/>
        </w:rPr>
        <w:t xml:space="preserve">Амортизация. </w:t>
      </w:r>
      <w:r w:rsidRPr="00DB0AC3">
        <w:rPr>
          <w:rFonts w:cs="Arial"/>
          <w:lang w:val="ru-RU"/>
        </w:rPr>
        <w:t xml:space="preserve">Амортизация по основным средствам рассчитывается с использованием линейного метода, то есть равномерным снижением первоначальной стоимости до остаточной стоимости в течение следующих расчетных сроков полезного использования активов: </w:t>
      </w:r>
    </w:p>
    <w:tbl>
      <w:tblPr>
        <w:tblW w:w="0" w:type="auto"/>
        <w:tblInd w:w="107" w:type="dxa"/>
        <w:tblLayout w:type="fixed"/>
        <w:tblCellMar>
          <w:left w:w="107" w:type="dxa"/>
          <w:right w:w="107" w:type="dxa"/>
        </w:tblCellMar>
        <w:tblLook w:val="0000"/>
      </w:tblPr>
      <w:tblGrid>
        <w:gridCol w:w="5670"/>
        <w:gridCol w:w="3686"/>
      </w:tblGrid>
      <w:tr w:rsidR="00D71B06" w:rsidRPr="00DB0AC3" w:rsidTr="00D71B06">
        <w:tc>
          <w:tcPr>
            <w:tcW w:w="5670" w:type="dxa"/>
            <w:tcBorders>
              <w:bottom w:val="single" w:sz="4" w:space="0" w:color="auto"/>
            </w:tcBorders>
            <w:vAlign w:val="bottom"/>
          </w:tcPr>
          <w:p w:rsidR="00D71B06" w:rsidRPr="00DB0AC3" w:rsidRDefault="00D71B06" w:rsidP="00D71B06">
            <w:pPr>
              <w:ind w:left="88" w:hanging="88"/>
              <w:rPr>
                <w:rFonts w:cs="Arial"/>
                <w:szCs w:val="18"/>
                <w:lang w:val="ru-RU"/>
              </w:rPr>
            </w:pPr>
            <w:r w:rsidRPr="00DB0AC3">
              <w:rPr>
                <w:rFonts w:cs="Arial"/>
                <w:szCs w:val="18"/>
                <w:lang w:val="en-US"/>
              </w:rPr>
              <w:t> </w:t>
            </w:r>
          </w:p>
        </w:tc>
        <w:tc>
          <w:tcPr>
            <w:tcW w:w="3686" w:type="dxa"/>
            <w:tcBorders>
              <w:bottom w:val="single" w:sz="4" w:space="0" w:color="auto"/>
            </w:tcBorders>
          </w:tcPr>
          <w:p w:rsidR="00D71B06" w:rsidRPr="00DB0AC3" w:rsidRDefault="00D71B06" w:rsidP="00D71B06">
            <w:pPr>
              <w:jc w:val="right"/>
              <w:rPr>
                <w:rFonts w:cs="Arial"/>
                <w:b/>
                <w:szCs w:val="18"/>
                <w:lang w:val="ru-RU"/>
              </w:rPr>
            </w:pPr>
            <w:r w:rsidRPr="00DB0AC3">
              <w:rPr>
                <w:rFonts w:cs="Arial"/>
                <w:b/>
                <w:szCs w:val="18"/>
                <w:lang w:val="ru-RU"/>
              </w:rPr>
              <w:t>Срок полезного использования, лет</w:t>
            </w:r>
          </w:p>
        </w:tc>
      </w:tr>
      <w:tr w:rsidR="00D71B06" w:rsidRPr="00DB0AC3" w:rsidTr="00D71B06">
        <w:tc>
          <w:tcPr>
            <w:tcW w:w="5670" w:type="dxa"/>
            <w:tcBorders>
              <w:top w:val="single" w:sz="4" w:space="0" w:color="auto"/>
            </w:tcBorders>
            <w:vAlign w:val="bottom"/>
          </w:tcPr>
          <w:p w:rsidR="00D71B06" w:rsidRPr="00DB0AC3" w:rsidRDefault="00DA2245" w:rsidP="00D71B06">
            <w:pPr>
              <w:ind w:left="88" w:hanging="88"/>
              <w:rPr>
                <w:rFonts w:cs="Arial"/>
                <w:color w:val="000000" w:themeColor="text1"/>
                <w:szCs w:val="14"/>
                <w:lang w:val="ru-RU"/>
              </w:rPr>
            </w:pPr>
            <w:r w:rsidRPr="00DB0AC3">
              <w:rPr>
                <w:rFonts w:cs="Arial"/>
                <w:color w:val="000000" w:themeColor="text1"/>
                <w:szCs w:val="18"/>
                <w:lang w:val="ru-RU"/>
              </w:rPr>
              <w:t>Здания</w:t>
            </w:r>
          </w:p>
        </w:tc>
        <w:tc>
          <w:tcPr>
            <w:tcW w:w="3686" w:type="dxa"/>
            <w:tcBorders>
              <w:top w:val="single" w:sz="4" w:space="0" w:color="auto"/>
            </w:tcBorders>
            <w:vAlign w:val="bottom"/>
          </w:tcPr>
          <w:p w:rsidR="00D71B06" w:rsidRPr="00DB0AC3" w:rsidRDefault="00DA2245" w:rsidP="00D71B06">
            <w:pPr>
              <w:jc w:val="right"/>
              <w:rPr>
                <w:rFonts w:cs="Arial"/>
                <w:color w:val="000000" w:themeColor="text1"/>
                <w:szCs w:val="14"/>
                <w:lang w:val="ru-RU"/>
              </w:rPr>
            </w:pPr>
            <w:r w:rsidRPr="00DB0AC3">
              <w:rPr>
                <w:rFonts w:cs="Arial"/>
                <w:color w:val="000000" w:themeColor="text1"/>
                <w:szCs w:val="14"/>
                <w:lang w:val="ru-RU"/>
              </w:rPr>
              <w:t>50</w:t>
            </w:r>
          </w:p>
        </w:tc>
      </w:tr>
      <w:tr w:rsidR="00D71B06" w:rsidRPr="00DB0AC3" w:rsidTr="00D71B06">
        <w:tc>
          <w:tcPr>
            <w:tcW w:w="5670" w:type="dxa"/>
            <w:vAlign w:val="bottom"/>
          </w:tcPr>
          <w:p w:rsidR="00D71B06" w:rsidRPr="00DB0AC3" w:rsidRDefault="00DA2245" w:rsidP="00B454C2">
            <w:pPr>
              <w:ind w:left="88" w:hanging="88"/>
              <w:rPr>
                <w:rFonts w:cs="Arial"/>
                <w:color w:val="000000" w:themeColor="text1"/>
                <w:szCs w:val="18"/>
                <w:lang w:val="ru-RU"/>
              </w:rPr>
            </w:pPr>
            <w:r w:rsidRPr="00DB0AC3">
              <w:rPr>
                <w:rFonts w:cs="Arial"/>
                <w:color w:val="000000" w:themeColor="text1"/>
                <w:szCs w:val="18"/>
                <w:lang w:val="ru-RU"/>
              </w:rPr>
              <w:t>Транспортные средства</w:t>
            </w:r>
          </w:p>
        </w:tc>
        <w:tc>
          <w:tcPr>
            <w:tcW w:w="3686" w:type="dxa"/>
            <w:vAlign w:val="bottom"/>
          </w:tcPr>
          <w:p w:rsidR="00D71B06" w:rsidRPr="00DB0AC3" w:rsidRDefault="00DA2245" w:rsidP="00D71B06">
            <w:pPr>
              <w:jc w:val="right"/>
              <w:rPr>
                <w:rFonts w:cs="Arial"/>
                <w:color w:val="000000" w:themeColor="text1"/>
                <w:szCs w:val="18"/>
                <w:lang w:val="ru-RU"/>
              </w:rPr>
            </w:pPr>
            <w:r w:rsidRPr="00DB0AC3">
              <w:rPr>
                <w:rFonts w:cs="Arial"/>
                <w:color w:val="000000" w:themeColor="text1"/>
                <w:szCs w:val="18"/>
                <w:lang w:val="ru-RU"/>
              </w:rPr>
              <w:t>5</w:t>
            </w:r>
          </w:p>
        </w:tc>
      </w:tr>
      <w:tr w:rsidR="00D71B06" w:rsidRPr="00DB0AC3" w:rsidTr="00D71B06">
        <w:tc>
          <w:tcPr>
            <w:tcW w:w="5670" w:type="dxa"/>
            <w:vAlign w:val="bottom"/>
          </w:tcPr>
          <w:p w:rsidR="00D71B06" w:rsidRPr="00DB0AC3" w:rsidRDefault="00DA2245" w:rsidP="00B454C2">
            <w:pPr>
              <w:ind w:left="88" w:hanging="88"/>
              <w:rPr>
                <w:rFonts w:cs="Arial"/>
                <w:color w:val="000000" w:themeColor="text1"/>
                <w:szCs w:val="18"/>
                <w:lang w:val="ru-RU"/>
              </w:rPr>
            </w:pPr>
            <w:r w:rsidRPr="00DB0AC3">
              <w:rPr>
                <w:rFonts w:cs="Arial"/>
                <w:color w:val="000000" w:themeColor="text1"/>
                <w:szCs w:val="18"/>
                <w:lang w:val="ru-RU"/>
              </w:rPr>
              <w:t>Офисное и компьютерное оборудование</w:t>
            </w:r>
          </w:p>
        </w:tc>
        <w:tc>
          <w:tcPr>
            <w:tcW w:w="3686" w:type="dxa"/>
            <w:vAlign w:val="bottom"/>
          </w:tcPr>
          <w:p w:rsidR="00D71B06" w:rsidRPr="00DB0AC3" w:rsidRDefault="00DA2245" w:rsidP="00D71B06">
            <w:pPr>
              <w:jc w:val="right"/>
              <w:rPr>
                <w:rFonts w:cs="Arial"/>
                <w:color w:val="000000" w:themeColor="text1"/>
                <w:szCs w:val="18"/>
                <w:lang w:val="ru-RU"/>
              </w:rPr>
            </w:pPr>
            <w:r w:rsidRPr="00DB0AC3">
              <w:rPr>
                <w:rFonts w:cs="Arial"/>
                <w:color w:val="000000" w:themeColor="text1"/>
                <w:szCs w:val="18"/>
                <w:lang w:val="ru-RU"/>
              </w:rPr>
              <w:t>3-6</w:t>
            </w:r>
          </w:p>
        </w:tc>
      </w:tr>
      <w:tr w:rsidR="00D71B06" w:rsidRPr="00DB0AC3" w:rsidTr="00D71B06">
        <w:tc>
          <w:tcPr>
            <w:tcW w:w="5670" w:type="dxa"/>
            <w:vAlign w:val="bottom"/>
          </w:tcPr>
          <w:p w:rsidR="00D71B06" w:rsidRPr="00DB0AC3" w:rsidRDefault="00DA2245" w:rsidP="00B454C2">
            <w:pPr>
              <w:ind w:left="88" w:hanging="88"/>
              <w:rPr>
                <w:rFonts w:cs="Arial"/>
                <w:color w:val="000000" w:themeColor="text1"/>
                <w:szCs w:val="18"/>
                <w:lang w:val="ru-RU"/>
              </w:rPr>
            </w:pPr>
            <w:r w:rsidRPr="00DB0AC3">
              <w:rPr>
                <w:rFonts w:cs="Arial"/>
                <w:color w:val="000000" w:themeColor="text1"/>
                <w:szCs w:val="18"/>
                <w:lang w:val="ru-RU"/>
              </w:rPr>
              <w:t>Капитальные вложения в арендованное имущество</w:t>
            </w:r>
          </w:p>
        </w:tc>
        <w:tc>
          <w:tcPr>
            <w:tcW w:w="3686" w:type="dxa"/>
            <w:vAlign w:val="bottom"/>
          </w:tcPr>
          <w:p w:rsidR="00D71B06" w:rsidRPr="00DB0AC3" w:rsidRDefault="00DA2245" w:rsidP="00D71B06">
            <w:pPr>
              <w:jc w:val="right"/>
              <w:rPr>
                <w:rFonts w:cs="Arial"/>
                <w:color w:val="000000" w:themeColor="text1"/>
                <w:szCs w:val="18"/>
                <w:lang w:val="ru-RU"/>
              </w:rPr>
            </w:pPr>
            <w:r w:rsidRPr="00DB0AC3">
              <w:rPr>
                <w:rFonts w:cs="Arial"/>
                <w:color w:val="000000" w:themeColor="text1"/>
                <w:szCs w:val="18"/>
                <w:lang w:val="ru-RU"/>
              </w:rPr>
              <w:t xml:space="preserve">20  </w:t>
            </w:r>
          </w:p>
        </w:tc>
      </w:tr>
      <w:tr w:rsidR="00D71B06" w:rsidRPr="00DB0AC3" w:rsidTr="00D71B06">
        <w:tc>
          <w:tcPr>
            <w:tcW w:w="5670" w:type="dxa"/>
            <w:tcBorders>
              <w:bottom w:val="single" w:sz="12" w:space="0" w:color="auto"/>
            </w:tcBorders>
            <w:vAlign w:val="bottom"/>
          </w:tcPr>
          <w:p w:rsidR="00D71B06" w:rsidRPr="00DB0AC3" w:rsidRDefault="00DA2245" w:rsidP="00B454C2">
            <w:pPr>
              <w:ind w:left="88" w:hanging="88"/>
              <w:rPr>
                <w:rFonts w:cs="Arial"/>
                <w:color w:val="000000" w:themeColor="text1"/>
                <w:szCs w:val="14"/>
                <w:lang w:val="ru-RU"/>
              </w:rPr>
            </w:pPr>
            <w:r w:rsidRPr="00DB0AC3">
              <w:rPr>
                <w:rFonts w:cs="Arial"/>
                <w:color w:val="000000" w:themeColor="text1"/>
                <w:szCs w:val="18"/>
                <w:lang w:val="ru-RU"/>
              </w:rPr>
              <w:t>Прочее</w:t>
            </w:r>
          </w:p>
        </w:tc>
        <w:tc>
          <w:tcPr>
            <w:tcW w:w="3686" w:type="dxa"/>
            <w:tcBorders>
              <w:bottom w:val="single" w:sz="12" w:space="0" w:color="auto"/>
            </w:tcBorders>
            <w:vAlign w:val="bottom"/>
          </w:tcPr>
          <w:p w:rsidR="00D71B06" w:rsidRPr="00DB0AC3" w:rsidRDefault="00DA2245" w:rsidP="00D71B06">
            <w:pPr>
              <w:jc w:val="right"/>
              <w:rPr>
                <w:rFonts w:cs="Arial"/>
                <w:color w:val="000000" w:themeColor="text1"/>
                <w:szCs w:val="14"/>
                <w:lang w:val="ru-RU"/>
              </w:rPr>
            </w:pPr>
            <w:r w:rsidRPr="00DB0AC3">
              <w:rPr>
                <w:rFonts w:cs="Arial"/>
                <w:color w:val="000000" w:themeColor="text1"/>
                <w:szCs w:val="14"/>
                <w:lang w:val="ru-RU"/>
              </w:rPr>
              <w:t>7</w:t>
            </w:r>
          </w:p>
        </w:tc>
      </w:tr>
    </w:tbl>
    <w:p w:rsidR="00D71B06" w:rsidRPr="00DB0AC3" w:rsidRDefault="00D71B06" w:rsidP="00D71B06">
      <w:pPr>
        <w:pStyle w:val="ABC-paragrahinNotes"/>
        <w:spacing w:before="240"/>
        <w:rPr>
          <w:rFonts w:cs="Arial"/>
          <w:szCs w:val="24"/>
          <w:lang w:val="ru-RU"/>
        </w:rPr>
      </w:pPr>
      <w:r w:rsidRPr="00DB0AC3">
        <w:rPr>
          <w:rFonts w:cs="Arial"/>
          <w:szCs w:val="24"/>
          <w:lang w:val="ru-RU"/>
        </w:rPr>
        <w:t>Остаточная стоимость актива представляет собой оценочную сумму, которую Банк</w:t>
      </w:r>
      <w:r w:rsidR="00AD3AD6">
        <w:rPr>
          <w:rFonts w:cs="Arial"/>
          <w:szCs w:val="24"/>
          <w:lang w:val="ru-RU"/>
        </w:rPr>
        <w:t xml:space="preserve"> </w:t>
      </w:r>
      <w:r w:rsidRPr="00DB0AC3">
        <w:rPr>
          <w:rFonts w:cs="Arial"/>
          <w:szCs w:val="24"/>
          <w:lang w:val="ru-RU"/>
        </w:rPr>
        <w:t xml:space="preserve">получил бы в настоящий момент в случае продажи этого актива, за вычетом оценочных затрат по выбытию, если бы состояние и возраст данного актива соответствовали возрасту и состоянию, которые данный актив будет иметь в конце срока полезного использования. Остаточная стоимость активов и срок их полезного использования пересматриваются и, если необходимо, корректируются в конце отчетного периода. </w:t>
      </w:r>
    </w:p>
    <w:p w:rsidR="00D71B06" w:rsidRPr="00DB0AC3" w:rsidRDefault="00D71B06" w:rsidP="00D71B06">
      <w:pPr>
        <w:pStyle w:val="ABC-paragrahinNotes"/>
        <w:spacing w:before="240"/>
        <w:rPr>
          <w:rFonts w:cs="Arial"/>
          <w:szCs w:val="24"/>
          <w:lang w:val="ru-RU"/>
        </w:rPr>
      </w:pPr>
      <w:r w:rsidRPr="00DB0AC3">
        <w:rPr>
          <w:rFonts w:cs="Arial"/>
          <w:b/>
          <w:i/>
          <w:szCs w:val="24"/>
          <w:lang w:val="ru-RU"/>
        </w:rPr>
        <w:t xml:space="preserve">Нематериальные активы. </w:t>
      </w:r>
      <w:r w:rsidRPr="00DB0AC3">
        <w:rPr>
          <w:rFonts w:cs="Arial"/>
          <w:szCs w:val="24"/>
          <w:lang w:val="ru-RU"/>
        </w:rPr>
        <w:t>Нематериальные активы Банка имеют определенный срок полезного использования и, в основном, включают капитализированные расходы на лицензии на компьютерное программное обеспечение.</w:t>
      </w:r>
    </w:p>
    <w:p w:rsidR="00D71B06" w:rsidRPr="00DB0AC3" w:rsidRDefault="00D71B06" w:rsidP="00D71B06">
      <w:pPr>
        <w:pStyle w:val="ABC-paragrahinNotes"/>
        <w:rPr>
          <w:rFonts w:cs="Arial"/>
          <w:szCs w:val="24"/>
          <w:lang w:val="ru-RU"/>
        </w:rPr>
      </w:pPr>
      <w:r w:rsidRPr="00DB0AC3">
        <w:rPr>
          <w:rFonts w:cs="Arial"/>
          <w:szCs w:val="24"/>
          <w:lang w:val="ru-RU"/>
        </w:rPr>
        <w:t>Приобретенные лицензии на компьютерное программное обеспечение капитализируются на основе затрат, понесенных на приобретение и внедрение данного программного обеспечения. Все прочие затраты, связанные с программным обеспечением (например, его обслуживанием), учитываются по мере их понесения. Капитализированное программное обеспечение амортизируется линейным методом в течение ожидаемого срока полезного использования, который составляет от 1 до 10 лет.</w:t>
      </w:r>
    </w:p>
    <w:p w:rsidR="00D71B06" w:rsidRPr="00DB0AC3" w:rsidRDefault="00D71B06" w:rsidP="00D71B06">
      <w:pPr>
        <w:pStyle w:val="ABC-paragrahinNotes"/>
        <w:rPr>
          <w:rFonts w:cs="Arial"/>
          <w:szCs w:val="24"/>
          <w:lang w:val="ru-RU"/>
        </w:rPr>
      </w:pPr>
      <w:r w:rsidRPr="00DB0AC3">
        <w:rPr>
          <w:rFonts w:cs="Arial"/>
          <w:b/>
          <w:i/>
          <w:szCs w:val="24"/>
          <w:lang w:val="ru-RU"/>
        </w:rPr>
        <w:t>Операционная аренда.</w:t>
      </w:r>
      <w:r w:rsidRPr="00DB0AC3">
        <w:rPr>
          <w:rFonts w:cs="Arial"/>
          <w:szCs w:val="24"/>
          <w:lang w:val="ru-RU"/>
        </w:rPr>
        <w:t xml:space="preserve"> Когда Банк выступает в роли арендатора, и риски и доходы от владения объектами аренды не передаются арендодателем Банку, общая сумма платежей по договорам операционной аренды отражается на прибыли или убытке за год (как расходы по аренде) с использованием метода равномерного списания в течение срока аренды.</w:t>
      </w:r>
    </w:p>
    <w:p w:rsidR="00D71B06" w:rsidRPr="00DB0AC3" w:rsidRDefault="00D71B06" w:rsidP="00D71B06">
      <w:pPr>
        <w:pStyle w:val="ABC-paragrahinNotes"/>
        <w:rPr>
          <w:rFonts w:cs="Arial"/>
          <w:lang w:val="ru-RU"/>
        </w:rPr>
      </w:pPr>
      <w:r w:rsidRPr="00DB0AC3">
        <w:rPr>
          <w:rFonts w:cs="Arial"/>
          <w:b/>
          <w:i/>
          <w:lang w:val="ru-RU"/>
        </w:rPr>
        <w:t xml:space="preserve">Долгосрочные активы, предназначенные для продажи. </w:t>
      </w:r>
      <w:r w:rsidRPr="00DB0AC3">
        <w:rPr>
          <w:rFonts w:cs="Arial"/>
          <w:lang w:val="ru-RU"/>
        </w:rPr>
        <w:t xml:space="preserve">Долгосрочные активы и выбывающие активы Банка, которые могут включать долгосрочные и краткосрочные активы, отражаются в отчете о финансовом положении как «Долгосрочные активы, предназначенные для продажи», если их балансовая стоимость будет возмещена, главным образом, посредством продажи (включая утрату </w:t>
      </w:r>
      <w:r w:rsidRPr="00DB0AC3">
        <w:rPr>
          <w:rFonts w:cs="Arial"/>
          <w:lang w:val="ru-RU"/>
        </w:rPr>
        <w:lastRenderedPageBreak/>
        <w:t>контроля над дочерним предприятием, удерживающим эти активы) в течение 12</w:t>
      </w:r>
      <w:r w:rsidRPr="00DB0AC3">
        <w:rPr>
          <w:rFonts w:cs="Arial"/>
        </w:rPr>
        <w:t> </w:t>
      </w:r>
      <w:r w:rsidRPr="00DB0AC3">
        <w:rPr>
          <w:rFonts w:cs="Arial"/>
          <w:lang w:val="ru-RU"/>
        </w:rPr>
        <w:t>месяцев после окончания отчетного периода.</w:t>
      </w:r>
    </w:p>
    <w:p w:rsidR="00D71B06" w:rsidRPr="00DB0AC3" w:rsidRDefault="00D71B06" w:rsidP="00D71B06">
      <w:pPr>
        <w:pStyle w:val="ABC-paragrahinNotes"/>
        <w:rPr>
          <w:rFonts w:cs="Arial"/>
          <w:lang w:val="ru-RU"/>
        </w:rPr>
      </w:pPr>
      <w:r w:rsidRPr="00DB0AC3">
        <w:rPr>
          <w:rFonts w:cs="Arial"/>
          <w:lang w:val="ru-RU"/>
        </w:rPr>
        <w:t>Реклассификация активов требует соблюдения всех следующих критериев: (а)</w:t>
      </w:r>
      <w:r w:rsidRPr="00DB0AC3">
        <w:rPr>
          <w:rFonts w:cs="Arial"/>
        </w:rPr>
        <w:t> </w:t>
      </w:r>
      <w:r w:rsidRPr="00DB0AC3">
        <w:rPr>
          <w:rFonts w:cs="Arial"/>
          <w:lang w:val="ru-RU"/>
        </w:rPr>
        <w:t>активы готовы к немедленной продаже в их текущем состоянии; (б)</w:t>
      </w:r>
      <w:r w:rsidRPr="00DB0AC3">
        <w:rPr>
          <w:rFonts w:cs="Arial"/>
        </w:rPr>
        <w:t> </w:t>
      </w:r>
      <w:r w:rsidRPr="00DB0AC3">
        <w:rPr>
          <w:rFonts w:cs="Arial"/>
          <w:lang w:val="ru-RU"/>
        </w:rPr>
        <w:t>руководство Банка утвердило действующую программу по поиску покупателя и приступило к ее реализации; (в)</w:t>
      </w:r>
      <w:r w:rsidRPr="00DB0AC3">
        <w:rPr>
          <w:rFonts w:cs="Arial"/>
        </w:rPr>
        <w:t> </w:t>
      </w:r>
      <w:r w:rsidRPr="00DB0AC3">
        <w:rPr>
          <w:rFonts w:cs="Arial"/>
          <w:lang w:val="ru-RU"/>
        </w:rPr>
        <w:t>проводится активный маркетинг для продажи активов по адекватной стоимости; (г)</w:t>
      </w:r>
      <w:r w:rsidRPr="00DB0AC3">
        <w:rPr>
          <w:rFonts w:cs="Arial"/>
        </w:rPr>
        <w:t> </w:t>
      </w:r>
      <w:r w:rsidRPr="00DB0AC3">
        <w:rPr>
          <w:rFonts w:cs="Arial"/>
          <w:lang w:val="ru-RU"/>
        </w:rPr>
        <w:t>ожидается, что продажа будет осуществлена в течение одного года, и (д)</w:t>
      </w:r>
      <w:r w:rsidRPr="00DB0AC3">
        <w:rPr>
          <w:rFonts w:cs="Arial"/>
        </w:rPr>
        <w:t> </w:t>
      </w:r>
      <w:r w:rsidRPr="00DB0AC3">
        <w:rPr>
          <w:rFonts w:cs="Arial"/>
          <w:lang w:val="ru-RU"/>
        </w:rPr>
        <w:t>не ожидается существенного изменения плана продаж или его отмен</w:t>
      </w:r>
      <w:r w:rsidR="00D811E0">
        <w:rPr>
          <w:rFonts w:cs="Arial"/>
          <w:lang w:val="ru-RU"/>
        </w:rPr>
        <w:t>ы</w:t>
      </w:r>
      <w:r w:rsidRPr="00DB0AC3">
        <w:rPr>
          <w:rFonts w:cs="Arial"/>
          <w:lang w:val="ru-RU"/>
        </w:rPr>
        <w:t xml:space="preserve">. Долгосрочные активы или выбывающие </w:t>
      </w:r>
      <w:r w:rsidR="00D811E0">
        <w:rPr>
          <w:rFonts w:cs="Arial"/>
          <w:lang w:val="ru-RU"/>
        </w:rPr>
        <w:t>группы активов</w:t>
      </w:r>
      <w:r w:rsidRPr="00DB0AC3">
        <w:rPr>
          <w:rFonts w:cs="Arial"/>
          <w:lang w:val="ru-RU"/>
        </w:rPr>
        <w:t>, классифицированные в отчете о финансовом положении за текущий отчетный период как предназначенные для продажи, не реклассифицируются и не меняют форму представления в сравнительных данных отчета о финансовом положении для приведения в соответствие с классификацией на конец текущего отчетного периода.</w:t>
      </w:r>
    </w:p>
    <w:p w:rsidR="00D71B06" w:rsidRPr="00DB0AC3" w:rsidRDefault="00D71B06" w:rsidP="00D71B06">
      <w:pPr>
        <w:pStyle w:val="ABC-paragrahinNotes"/>
        <w:rPr>
          <w:rFonts w:cs="Arial"/>
          <w:szCs w:val="24"/>
          <w:lang w:val="ru-RU"/>
        </w:rPr>
      </w:pPr>
      <w:r w:rsidRPr="00DB0AC3">
        <w:rPr>
          <w:rFonts w:cs="Arial"/>
          <w:b/>
          <w:i/>
          <w:szCs w:val="24"/>
          <w:lang w:val="ru-RU"/>
        </w:rPr>
        <w:t>Средства других банков.</w:t>
      </w:r>
      <w:r w:rsidRPr="00DB0AC3">
        <w:rPr>
          <w:rFonts w:cs="Arial"/>
          <w:szCs w:val="24"/>
          <w:lang w:val="ru-RU"/>
        </w:rPr>
        <w:t xml:space="preserve"> Средства других банков отражаются, начиная с момента предоставления Банку денежных средств или прочих активов банками-контрагентами. Непроизводные финансовые обязательства отражаются по амортизированной стоимости. Если Банк приобретает собственную задолженность, это обязательство исключается из  отчета о финансовом положении, а разница между балансовой стоимостью обязательства и уплаченной суммой включается в состав доходов или расходов от досрочного урегулирования задолженности.</w:t>
      </w:r>
    </w:p>
    <w:p w:rsidR="00D71B06" w:rsidRPr="00DB0AC3" w:rsidRDefault="00D71B06" w:rsidP="00D71B06">
      <w:pPr>
        <w:pStyle w:val="ABC-paragrahinNotes"/>
        <w:rPr>
          <w:rFonts w:cs="Arial"/>
          <w:szCs w:val="24"/>
          <w:lang w:val="ru-RU"/>
        </w:rPr>
      </w:pPr>
      <w:r w:rsidRPr="00DB0AC3">
        <w:rPr>
          <w:rFonts w:cs="Arial"/>
          <w:b/>
          <w:i/>
          <w:szCs w:val="24"/>
          <w:lang w:val="ru-RU"/>
        </w:rPr>
        <w:t>Средства клиентов.</w:t>
      </w:r>
      <w:r w:rsidRPr="00DB0AC3">
        <w:rPr>
          <w:rFonts w:cs="Arial"/>
          <w:szCs w:val="24"/>
          <w:lang w:val="ru-RU"/>
        </w:rPr>
        <w:t xml:space="preserve"> Средства клиентов представляют собой непроизводные финансовые обязательства перед физическими лицами, государственными или корпоративными клиентами и отражаются по амортизированной стоимости. </w:t>
      </w:r>
    </w:p>
    <w:p w:rsidR="00D71B06" w:rsidRPr="00DB0AC3" w:rsidRDefault="00D71B06" w:rsidP="00D71B06">
      <w:pPr>
        <w:pStyle w:val="ABC-paragrahinNotes"/>
        <w:rPr>
          <w:rFonts w:cs="Arial"/>
          <w:szCs w:val="24"/>
          <w:lang w:val="ru-RU"/>
        </w:rPr>
      </w:pPr>
      <w:r w:rsidRPr="00DB0AC3">
        <w:rPr>
          <w:rFonts w:cs="Arial"/>
          <w:b/>
          <w:i/>
          <w:szCs w:val="24"/>
          <w:lang w:val="ru-RU"/>
        </w:rPr>
        <w:t>Выпущенные долговые ценные бумаги</w:t>
      </w:r>
      <w:r w:rsidRPr="00DB0AC3">
        <w:rPr>
          <w:rFonts w:cs="Arial"/>
          <w:szCs w:val="24"/>
          <w:lang w:val="ru-RU"/>
        </w:rPr>
        <w:t>. Выпущенные долговые ценные бумаги включают векселя и депозитные сертификаты, выпущенные Банком. Долговые ценные бумаги отражаются по амортизированной стоимости. Если Банк приобретает собственные выпущенные долговые ценные бумаги, они исключаются из  отчета о финансовом положении, а разница между балансовой стоимостью обязательства и уплаченной суммой включается в состав доходов от досрочного урегулирования задолженности.</w:t>
      </w:r>
    </w:p>
    <w:p w:rsidR="00D71B06" w:rsidRPr="00DB0AC3" w:rsidRDefault="00D71B06" w:rsidP="00D71B06">
      <w:pPr>
        <w:spacing w:after="240"/>
        <w:jc w:val="both"/>
        <w:rPr>
          <w:rFonts w:cs="Arial"/>
          <w:sz w:val="20"/>
          <w:szCs w:val="24"/>
          <w:lang w:val="ru-RU"/>
        </w:rPr>
      </w:pPr>
      <w:r w:rsidRPr="00DB0AC3">
        <w:rPr>
          <w:rFonts w:cs="Arial"/>
          <w:b/>
          <w:i/>
          <w:sz w:val="20"/>
          <w:lang w:val="ru-RU"/>
        </w:rPr>
        <w:t xml:space="preserve">Субординированный долг. </w:t>
      </w:r>
      <w:r w:rsidRPr="00DB0AC3">
        <w:rPr>
          <w:rFonts w:cs="Arial"/>
          <w:sz w:val="20"/>
          <w:lang w:val="ru-RU"/>
        </w:rPr>
        <w:t>Субординированный</w:t>
      </w:r>
      <w:r w:rsidRPr="00DB0AC3">
        <w:rPr>
          <w:rFonts w:cs="Arial"/>
          <w:sz w:val="20"/>
          <w:szCs w:val="24"/>
          <w:lang w:val="ru-RU"/>
        </w:rPr>
        <w:t xml:space="preserve"> долг является долгосрочным непроизводным финансовым обязательством с особыми условиями. В частности, такой договор содержит положение о том, что в случае банкротства заемщика требования по этому договору удовлетворяются после удовлетворения требований всех иных кредиторов. Субординированный долг отражается по амортизированной стоимости. </w:t>
      </w:r>
    </w:p>
    <w:p w:rsidR="00D71B06" w:rsidRPr="00DB0AC3" w:rsidRDefault="00D71B06" w:rsidP="00D71B06">
      <w:pPr>
        <w:spacing w:after="240"/>
        <w:jc w:val="both"/>
        <w:rPr>
          <w:rFonts w:cs="Arial"/>
          <w:sz w:val="20"/>
          <w:szCs w:val="24"/>
          <w:lang w:val="ru-RU"/>
        </w:rPr>
      </w:pPr>
      <w:r w:rsidRPr="00DB0AC3">
        <w:rPr>
          <w:rFonts w:cs="Arial"/>
          <w:b/>
          <w:i/>
          <w:sz w:val="20"/>
          <w:szCs w:val="24"/>
          <w:lang w:val="ru-RU"/>
        </w:rPr>
        <w:t>Производные финансовые инструменты.</w:t>
      </w:r>
      <w:r w:rsidRPr="00DB0AC3">
        <w:rPr>
          <w:rFonts w:cs="Arial"/>
          <w:sz w:val="20"/>
          <w:szCs w:val="24"/>
          <w:lang w:val="ru-RU"/>
        </w:rPr>
        <w:t xml:space="preserve"> Производные финансовые инструменты, включая валютообменные контракты, отражаются по справедливой стоимости. </w:t>
      </w:r>
    </w:p>
    <w:p w:rsidR="00D71B06" w:rsidRPr="00DB0AC3" w:rsidRDefault="00D71B06" w:rsidP="00D71B06">
      <w:pPr>
        <w:pStyle w:val="ABC-paragrahinNotes"/>
        <w:rPr>
          <w:rFonts w:cs="Arial"/>
          <w:szCs w:val="24"/>
          <w:lang w:val="ru-RU"/>
        </w:rPr>
      </w:pPr>
      <w:r w:rsidRPr="00DB0AC3">
        <w:rPr>
          <w:rFonts w:cs="Arial"/>
          <w:szCs w:val="24"/>
          <w:lang w:val="ru-RU"/>
        </w:rPr>
        <w:t xml:space="preserve">Все производные </w:t>
      </w:r>
      <w:r w:rsidR="00D811E0">
        <w:rPr>
          <w:rFonts w:cs="Arial"/>
          <w:szCs w:val="24"/>
          <w:lang w:val="ru-RU"/>
        </w:rPr>
        <w:t xml:space="preserve">финансовые </w:t>
      </w:r>
      <w:r w:rsidRPr="00DB0AC3">
        <w:rPr>
          <w:rFonts w:cs="Arial"/>
          <w:szCs w:val="24"/>
          <w:lang w:val="ru-RU"/>
        </w:rPr>
        <w:t>инструменты учитываются как активы, если справедливая стоимость данных инструментов является положительной, и как обязательства, если их справедливая стоимость является отрицательной.</w:t>
      </w:r>
      <w:r w:rsidR="002F7DB8" w:rsidRPr="00DB0AC3">
        <w:rPr>
          <w:rFonts w:cs="Arial"/>
          <w:szCs w:val="24"/>
          <w:lang w:val="ru-RU"/>
        </w:rPr>
        <w:t> </w:t>
      </w:r>
      <w:r w:rsidRPr="00DB0AC3">
        <w:rPr>
          <w:rFonts w:cs="Arial"/>
          <w:szCs w:val="24"/>
          <w:lang w:val="ru-RU"/>
        </w:rPr>
        <w:t xml:space="preserve">Изменения справедливой стоимости производных </w:t>
      </w:r>
      <w:r w:rsidR="00D811E0">
        <w:rPr>
          <w:rFonts w:cs="Arial"/>
          <w:szCs w:val="24"/>
          <w:lang w:val="ru-RU"/>
        </w:rPr>
        <w:t xml:space="preserve">финансовых </w:t>
      </w:r>
      <w:r w:rsidRPr="00DB0AC3">
        <w:rPr>
          <w:rFonts w:cs="Arial"/>
          <w:szCs w:val="24"/>
          <w:lang w:val="ru-RU"/>
        </w:rPr>
        <w:t>инструментов включаются в прибыль или убыток за год (доходы за вычетом расходов по производным финансовым инструментам). Банк не применяет учет хеджирования.</w:t>
      </w:r>
    </w:p>
    <w:p w:rsidR="00D71B06" w:rsidRPr="00DB0AC3" w:rsidRDefault="00D71B06" w:rsidP="00D71B06">
      <w:pPr>
        <w:pStyle w:val="ABC-paragrahinNotes"/>
        <w:rPr>
          <w:rFonts w:cs="Arial"/>
          <w:szCs w:val="24"/>
          <w:lang w:val="ru-RU"/>
        </w:rPr>
      </w:pPr>
      <w:r w:rsidRPr="00DB0AC3">
        <w:rPr>
          <w:rFonts w:cs="Arial"/>
          <w:b/>
          <w:i/>
          <w:szCs w:val="24"/>
          <w:lang w:val="ru-RU"/>
        </w:rPr>
        <w:t xml:space="preserve">Налоги на прибыль. </w:t>
      </w:r>
      <w:r w:rsidRPr="00DB0AC3">
        <w:rPr>
          <w:rFonts w:cs="Arial"/>
          <w:szCs w:val="24"/>
          <w:lang w:val="ru-RU"/>
        </w:rPr>
        <w:t xml:space="preserve">В финансовой отчетности отражены расходы по налогообложению в соответствии с требованиями законодательства, с использованием налоговых ставок и законодательных норм, которые действуют или по существу вступили в силу на конец отчетного периода. Расходы по налогу на прибыль включают текущие налоговые платежи и отложенное налогообложение и отражаются в прибыли или убытке за год, если они не должны быть отражены в составе прочего совокупного дохода или непосредственно в составе собственных средств в связи с тем, что относятся к операциям, которые также отражены в составе прочего совокупного дохода или непосредственно в составе собственных средств. </w:t>
      </w:r>
    </w:p>
    <w:p w:rsidR="00D71B06" w:rsidRPr="00DB0AC3" w:rsidRDefault="00D71B06" w:rsidP="00D71B06">
      <w:pPr>
        <w:pStyle w:val="ABC-paragrahinNotes"/>
        <w:rPr>
          <w:rFonts w:cs="Arial"/>
          <w:szCs w:val="24"/>
          <w:lang w:val="ru-RU"/>
        </w:rPr>
      </w:pPr>
      <w:r w:rsidRPr="00DB0AC3">
        <w:rPr>
          <w:rFonts w:cs="Arial"/>
          <w:szCs w:val="24"/>
          <w:lang w:val="ru-RU"/>
        </w:rPr>
        <w:t xml:space="preserve">Текущее налогообложение рассчитывается на основе сумм, ожидаемых к уплате налоговым органам или возмещению налоговыми органами в отношении налогооблагаемой прибыли или убытков за </w:t>
      </w:r>
      <w:r w:rsidRPr="00DB0AC3">
        <w:rPr>
          <w:rFonts w:cs="Arial"/>
          <w:szCs w:val="24"/>
          <w:lang w:val="ru-RU"/>
        </w:rPr>
        <w:lastRenderedPageBreak/>
        <w:t>текущий и предшествующие периоды. Налогооблагаемые прибыли или убытки базируются на оценочных показателях, если  финансовая отчетность утверждается до подачи соответствующих налоговых деклараций. Прочие расходы по налогам, за исключением налога на прибыль, отражаются в составе административных и прочих операционных расходов.</w:t>
      </w:r>
    </w:p>
    <w:p w:rsidR="00D71B06" w:rsidRPr="00DB0AC3" w:rsidRDefault="00D71B06" w:rsidP="00D71B06">
      <w:pPr>
        <w:pStyle w:val="ABC-paragrahinNotes"/>
        <w:rPr>
          <w:rFonts w:cs="Arial"/>
          <w:szCs w:val="24"/>
          <w:lang w:val="ru-RU"/>
        </w:rPr>
      </w:pPr>
      <w:r w:rsidRPr="00DB0AC3">
        <w:rPr>
          <w:rFonts w:cs="Arial"/>
          <w:szCs w:val="24"/>
          <w:lang w:val="ru-RU"/>
        </w:rPr>
        <w:t>Отложенный налог на прибыль рассчитывается по методу балансовых обязательств в отношении отложенных налоговых убытков и временных разниц между налогооблагаемой базой активов и обязательств и их балансовой стоимостью в соответствии с финансовой отчетностью. Отложенный налог не учитывается в отношении временных разниц, возникающих при первоначальном признании актива или обязательства, если эта сделка при первоначальном признании не влияет ни на бухгалтерскую, ни на налогооблагаемую прибыль, кроме случаев первоначального признания, возникающего в результате объединения бизнеса.</w:t>
      </w:r>
    </w:p>
    <w:p w:rsidR="00D71B06" w:rsidRPr="00DB0AC3" w:rsidRDefault="00D71B06" w:rsidP="00D71B06">
      <w:pPr>
        <w:pStyle w:val="ABC-paragrahinNotes"/>
        <w:rPr>
          <w:rFonts w:cs="Arial"/>
          <w:szCs w:val="24"/>
          <w:lang w:val="ru-RU"/>
        </w:rPr>
      </w:pPr>
      <w:r w:rsidRPr="00DB0AC3">
        <w:rPr>
          <w:rFonts w:cs="Arial"/>
          <w:szCs w:val="24"/>
          <w:lang w:val="ru-RU"/>
        </w:rPr>
        <w:t xml:space="preserve">Активы и обязательства по отложенному налогообложению определяются с использованием ставок налогообложения, которые действуют или по существу вступили в силу на конец отчетного периода и которые, как ожидается, будут применяться в период, когда временные разницы или отложенные налоговые убытки будут реализованы. </w:t>
      </w:r>
    </w:p>
    <w:p w:rsidR="00D71B06" w:rsidRPr="00DB0AC3" w:rsidRDefault="00D71B06" w:rsidP="00D71B06">
      <w:pPr>
        <w:pStyle w:val="ABC-paragrahinNotes"/>
        <w:rPr>
          <w:rFonts w:cs="Arial"/>
          <w:szCs w:val="24"/>
          <w:lang w:val="ru-RU"/>
        </w:rPr>
      </w:pPr>
      <w:r w:rsidRPr="00DB0AC3">
        <w:rPr>
          <w:rFonts w:cs="Arial"/>
          <w:szCs w:val="24"/>
          <w:lang w:val="ru-RU"/>
        </w:rPr>
        <w:t xml:space="preserve">Отложенные налоговые активы по временным разницам, уменьшающим налогооблагаемую базу, и отложенные налоговые убытки отражаются только в той степени, в какой существует вероятность получения налогооблагаемой прибыли, против которой могут быть использованы временные разницы. </w:t>
      </w:r>
    </w:p>
    <w:p w:rsidR="00D71B06" w:rsidRPr="00DB0AC3" w:rsidRDefault="00D71B06" w:rsidP="00D71B06">
      <w:pPr>
        <w:pStyle w:val="ABC-paragrahinNotes"/>
        <w:rPr>
          <w:rFonts w:cs="Arial"/>
          <w:szCs w:val="24"/>
          <w:lang w:val="ru-RU"/>
        </w:rPr>
      </w:pPr>
      <w:r w:rsidRPr="00DB0AC3">
        <w:rPr>
          <w:rFonts w:cs="Arial"/>
          <w:b/>
          <w:i/>
          <w:szCs w:val="24"/>
          <w:lang w:val="ru-RU"/>
        </w:rPr>
        <w:t>Неопределенные налоговые позиции.</w:t>
      </w:r>
      <w:r w:rsidRPr="00DB0AC3">
        <w:rPr>
          <w:rFonts w:cs="Arial"/>
          <w:szCs w:val="24"/>
          <w:lang w:val="ru-RU"/>
        </w:rPr>
        <w:t xml:space="preserve"> Неопределенные налоговые позиции Банка оцениваются руководством в конце каждого отчетного периода. Обязательства, отражающиеся в отношении налогов, учитываются в тех случаях, когда руководство считает, что вероятно возникновение дополнительных налоговых обязательств, если налоговая позиция Банка будет оспорена налоговыми органами. Такая оценка выполняется на основании толкования налогового законодательства, действовавшего или по существу вступившего в силу на конец отчетного периода, и любого известного постановления суда или иного решения по подобным вопросам. Обязательства по штрафам, пеням и налогам, за исключением налога на прибыль, отражаются на основе наилучшей оценки руководством расходов, необходимых для урегулирования обязательств на конец отчетного периода. </w:t>
      </w:r>
    </w:p>
    <w:p w:rsidR="00D71B06" w:rsidRPr="00DB0AC3" w:rsidRDefault="00D71B06" w:rsidP="00D71B06">
      <w:pPr>
        <w:pStyle w:val="ABC-paragrahinNotes"/>
        <w:rPr>
          <w:rFonts w:cs="Arial"/>
          <w:szCs w:val="24"/>
          <w:lang w:val="ru-RU"/>
        </w:rPr>
      </w:pPr>
      <w:r w:rsidRPr="00DB0AC3">
        <w:rPr>
          <w:rFonts w:cs="Arial"/>
          <w:b/>
          <w:i/>
          <w:szCs w:val="24"/>
          <w:lang w:val="ru-RU"/>
        </w:rPr>
        <w:t>Расчеты с поставщиками и прочая кредиторская задолженность.</w:t>
      </w:r>
      <w:r w:rsidR="002F7DB8" w:rsidRPr="00DB0AC3">
        <w:rPr>
          <w:rFonts w:cs="Arial"/>
          <w:szCs w:val="24"/>
          <w:lang w:val="ru-RU"/>
        </w:rPr>
        <w:t> </w:t>
      </w:r>
      <w:r w:rsidRPr="00DB0AC3">
        <w:rPr>
          <w:rFonts w:cs="Arial"/>
          <w:szCs w:val="24"/>
          <w:lang w:val="ru-RU"/>
        </w:rPr>
        <w:t xml:space="preserve">Кредиторская задолженность признается при выполнении контрагентом своих обязательств и отражается по амортизированной стоимости. </w:t>
      </w:r>
    </w:p>
    <w:p w:rsidR="00D71B06" w:rsidRPr="00DB0AC3" w:rsidRDefault="00D71B06" w:rsidP="00D71B06">
      <w:pPr>
        <w:pStyle w:val="ABC-paragrahinNotes"/>
        <w:rPr>
          <w:rFonts w:cs="Arial"/>
          <w:szCs w:val="24"/>
          <w:lang w:val="ru-RU"/>
        </w:rPr>
      </w:pPr>
      <w:r w:rsidRPr="00DB0AC3">
        <w:rPr>
          <w:rFonts w:cs="Arial"/>
          <w:b/>
          <w:i/>
          <w:szCs w:val="24"/>
          <w:lang w:val="ru-RU"/>
        </w:rPr>
        <w:t xml:space="preserve">Уставный капитал. </w:t>
      </w:r>
      <w:r w:rsidRPr="00DB0AC3">
        <w:rPr>
          <w:rFonts w:cs="Arial"/>
          <w:szCs w:val="24"/>
          <w:lang w:val="ru-RU"/>
        </w:rPr>
        <w:t>Обыкновенные акции отражаются как собственные средства. Дополнительные затраты, непосредственно относящиеся к эмиссии новых акций, отражаются в составе собственных средств как уменьшение выручки (без учета налога). Сумма, на которую справедливая стоимость полученных средств превышает номинальную стоимость выпущенных акций, отражается как эмиссионный доход в составе добавочного капитала в собственных средствах.</w:t>
      </w:r>
    </w:p>
    <w:p w:rsidR="00D71B06" w:rsidRPr="00DB0AC3" w:rsidRDefault="00D71B06" w:rsidP="00D71B06">
      <w:pPr>
        <w:pStyle w:val="ABC-paragrahinNotes"/>
        <w:rPr>
          <w:rFonts w:cs="Arial"/>
          <w:spacing w:val="-4"/>
          <w:szCs w:val="24"/>
          <w:lang w:val="ru-RU"/>
        </w:rPr>
      </w:pPr>
      <w:r w:rsidRPr="00DB0AC3">
        <w:rPr>
          <w:rFonts w:cs="Arial"/>
          <w:b/>
          <w:i/>
          <w:spacing w:val="-4"/>
          <w:szCs w:val="24"/>
          <w:lang w:val="ru-RU"/>
        </w:rPr>
        <w:t xml:space="preserve">Отражение доходов и расходов. </w:t>
      </w:r>
      <w:r w:rsidRPr="00DB0AC3">
        <w:rPr>
          <w:rFonts w:cs="Arial"/>
          <w:spacing w:val="-4"/>
          <w:szCs w:val="24"/>
          <w:lang w:val="ru-RU"/>
        </w:rPr>
        <w:t xml:space="preserve">Процентные доходы и расходы по всем долговым инструментам отражаются по методу начисления с использованием метода эффективной ставки процента. Такой расчет включает в процентные доходы и расходы все комиссии и сборы, уплаченные и полученные сторонами договора и составляющие неотъемлемую часть эффективной ставки процента, затраты по сделке, а также все прочие премии или дисконты. </w:t>
      </w:r>
    </w:p>
    <w:p w:rsidR="00D71B06" w:rsidRPr="00DB0AC3" w:rsidRDefault="00D71B06" w:rsidP="00D71B06">
      <w:pPr>
        <w:pStyle w:val="ABC-paragrahinNotes"/>
        <w:rPr>
          <w:rFonts w:cs="Arial"/>
          <w:b/>
          <w:bCs/>
          <w:spacing w:val="-4"/>
          <w:szCs w:val="24"/>
          <w:lang w:val="ru-RU"/>
        </w:rPr>
      </w:pPr>
      <w:r w:rsidRPr="00DB0AC3">
        <w:rPr>
          <w:rFonts w:cs="Arial"/>
          <w:spacing w:val="-4"/>
          <w:szCs w:val="24"/>
          <w:lang w:val="ru-RU"/>
        </w:rPr>
        <w:t xml:space="preserve">Комиссии, относящиеся к эффективной ставке процента, включают комиссии, полученные или уплаченные в связи с формированием или приобретением финансового актива или выпуском финансового обязательства (например, комиссионные за оценку кредитоспособности, оценку или учет гарантий или обеспечения, за урегулирование условий предоставления инструмента и за обработку документов по сделке). Комиссии, полученные Банком за выпуск обязательства по предоставлению кредита по рыночным ставкам, являются неотъемлемой частью эффективной ставки процента, если существует вероятность того, что Банк заключит конкретное кредитное соглашение и не будет планировать продажу кредита в течение короткого периода после его предоставления. Банк не </w:t>
      </w:r>
      <w:r w:rsidRPr="00DB0AC3">
        <w:rPr>
          <w:rFonts w:cs="Arial"/>
          <w:spacing w:val="-4"/>
          <w:szCs w:val="24"/>
          <w:lang w:val="ru-RU"/>
        </w:rPr>
        <w:lastRenderedPageBreak/>
        <w:t>классифицирует обязательство по предоставлению кредита как финансовое обязательство, оцениваемое по справедливой стоимости, изменения которой отражаются в составе прибыли или убытка</w:t>
      </w:r>
      <w:r w:rsidRPr="00DB0AC3">
        <w:rPr>
          <w:rFonts w:cs="Arial"/>
          <w:b/>
          <w:bCs/>
          <w:spacing w:val="-4"/>
          <w:szCs w:val="24"/>
          <w:lang w:val="ru-RU"/>
        </w:rPr>
        <w:t>.</w:t>
      </w:r>
    </w:p>
    <w:p w:rsidR="008E3EDA" w:rsidRPr="00DB0AC3" w:rsidRDefault="00D71B06">
      <w:pPr>
        <w:pStyle w:val="210"/>
        <w:shd w:val="clear" w:color="auto" w:fill="auto"/>
        <w:spacing w:line="230" w:lineRule="exact"/>
        <w:ind w:firstLine="0"/>
        <w:jc w:val="both"/>
        <w:rPr>
          <w:b w:val="0"/>
          <w:bCs w:val="0"/>
          <w:spacing w:val="-4"/>
          <w:sz w:val="20"/>
          <w:szCs w:val="24"/>
        </w:rPr>
      </w:pPr>
      <w:r w:rsidRPr="00DB0AC3">
        <w:rPr>
          <w:b w:val="0"/>
          <w:bCs w:val="0"/>
          <w:spacing w:val="-4"/>
          <w:sz w:val="20"/>
          <w:szCs w:val="24"/>
        </w:rPr>
        <w:t>В случае если возникает сомнение в своевременном погашении выданных кредитов и прочих долговых инструментов, они списываются до возмещаемой стоимости с последующим отражением процентного дохода на основе эффективной ставки процента, которая использовалась для дисконтирования будущих денежных потоков с целью определения суммы обесценения.</w:t>
      </w:r>
    </w:p>
    <w:p w:rsidR="008E3EDA" w:rsidRPr="00DB0AC3" w:rsidRDefault="00D71B06">
      <w:pPr>
        <w:pStyle w:val="210"/>
        <w:shd w:val="clear" w:color="auto" w:fill="auto"/>
        <w:spacing w:line="230" w:lineRule="exact"/>
        <w:ind w:firstLine="0"/>
        <w:jc w:val="both"/>
        <w:rPr>
          <w:b w:val="0"/>
          <w:bCs w:val="0"/>
          <w:spacing w:val="-4"/>
          <w:sz w:val="20"/>
          <w:szCs w:val="24"/>
        </w:rPr>
      </w:pPr>
      <w:r w:rsidRPr="00DB0AC3">
        <w:rPr>
          <w:b w:val="0"/>
          <w:bCs w:val="0"/>
          <w:spacing w:val="-4"/>
          <w:sz w:val="20"/>
          <w:szCs w:val="24"/>
        </w:rPr>
        <w:t>Все прочие комиссионные доходы, прочие доходы и прочие расходы, как правило, отражаются по методу начисления в зависимости от степени завершенности конкретной сделки, определяемой как доля фактически</w:t>
      </w:r>
      <w:r w:rsidR="00AD3AD6">
        <w:rPr>
          <w:b w:val="0"/>
          <w:bCs w:val="0"/>
          <w:spacing w:val="-4"/>
          <w:sz w:val="20"/>
          <w:szCs w:val="24"/>
        </w:rPr>
        <w:t xml:space="preserve"> </w:t>
      </w:r>
      <w:r w:rsidRPr="00DB0AC3">
        <w:rPr>
          <w:b w:val="0"/>
          <w:bCs w:val="0"/>
          <w:spacing w:val="-4"/>
          <w:sz w:val="20"/>
          <w:szCs w:val="24"/>
        </w:rPr>
        <w:t>оказанной услуги в общем объеме услуг, которые должны быть предоставлены.</w:t>
      </w:r>
    </w:p>
    <w:p w:rsidR="00E6513B" w:rsidRPr="00DB0AC3" w:rsidRDefault="00E6513B" w:rsidP="00D71B06">
      <w:pPr>
        <w:pStyle w:val="210"/>
        <w:shd w:val="clear" w:color="auto" w:fill="auto"/>
        <w:spacing w:line="230" w:lineRule="exact"/>
        <w:ind w:firstLine="0"/>
        <w:rPr>
          <w:b w:val="0"/>
          <w:bCs w:val="0"/>
          <w:spacing w:val="-4"/>
          <w:sz w:val="20"/>
          <w:szCs w:val="24"/>
        </w:rPr>
      </w:pPr>
    </w:p>
    <w:p w:rsidR="00D71B06" w:rsidRPr="00DB0AC3" w:rsidRDefault="00D71B06" w:rsidP="00D71B06">
      <w:pPr>
        <w:pStyle w:val="ABC-paragrahinNotes"/>
        <w:rPr>
          <w:rFonts w:cs="Arial"/>
          <w:szCs w:val="24"/>
          <w:lang w:val="ru-RU"/>
        </w:rPr>
      </w:pPr>
      <w:r w:rsidRPr="00DB0AC3">
        <w:rPr>
          <w:rFonts w:cs="Arial"/>
          <w:b/>
          <w:i/>
          <w:szCs w:val="24"/>
          <w:lang w:val="ru-RU"/>
        </w:rPr>
        <w:t xml:space="preserve">Переоценка иностранной валюты. </w:t>
      </w:r>
      <w:r w:rsidRPr="00DB0AC3">
        <w:rPr>
          <w:rFonts w:cs="Arial"/>
          <w:szCs w:val="24"/>
          <w:lang w:val="ru-RU"/>
        </w:rPr>
        <w:t xml:space="preserve">Функциональной валютой Банка и валютой представления отчетности Банка является национальная валюта Российской Федерации, российский рубль. На 31 декабря 2014 года официальный обменный курс, использованный для переоценки остатков по счетам в иностранной валюте, составлял </w:t>
      </w:r>
      <w:r w:rsidRPr="00DB0AC3">
        <w:rPr>
          <w:rFonts w:cs="Arial"/>
          <w:lang w:val="ru-RU"/>
        </w:rPr>
        <w:t>56,2584</w:t>
      </w:r>
      <w:r w:rsidRPr="00DB0AC3">
        <w:rPr>
          <w:rFonts w:cs="Arial"/>
          <w:szCs w:val="24"/>
          <w:lang w:val="ru-RU"/>
        </w:rPr>
        <w:t> рубля за 1 доллар США (</w:t>
      </w:r>
      <w:r w:rsidR="00965E6B">
        <w:rPr>
          <w:rFonts w:cs="Arial"/>
          <w:szCs w:val="24"/>
          <w:lang w:val="ru-RU"/>
        </w:rPr>
        <w:t>31 декбря</w:t>
      </w:r>
      <w:r w:rsidRPr="00DB0AC3">
        <w:rPr>
          <w:rFonts w:cs="Arial"/>
          <w:szCs w:val="24"/>
          <w:lang w:val="ru-RU"/>
        </w:rPr>
        <w:t xml:space="preserve">2013 г.: </w:t>
      </w:r>
      <w:r w:rsidRPr="00DB0AC3">
        <w:rPr>
          <w:rFonts w:cs="Arial"/>
          <w:lang w:val="ru-RU"/>
        </w:rPr>
        <w:t>32,7292</w:t>
      </w:r>
      <w:r w:rsidRPr="00DB0AC3">
        <w:rPr>
          <w:rFonts w:cs="Arial"/>
          <w:szCs w:val="24"/>
          <w:lang w:val="ru-RU"/>
        </w:rPr>
        <w:t> рубля за 1 доллар США), 68,3427 рубля за 1 Евро (31 декабря 2013 г.: 44,9699 рубля за 1 Евро).</w:t>
      </w:r>
    </w:p>
    <w:p w:rsidR="00D71B06" w:rsidRPr="00DB0AC3" w:rsidRDefault="00D71B06" w:rsidP="00D71B06">
      <w:pPr>
        <w:pStyle w:val="ABC-paragrahinNotes"/>
        <w:rPr>
          <w:rFonts w:cs="Arial"/>
          <w:szCs w:val="24"/>
          <w:lang w:val="ru-RU"/>
        </w:rPr>
      </w:pPr>
      <w:r w:rsidRPr="00DB0AC3">
        <w:rPr>
          <w:rFonts w:cs="Arial"/>
          <w:b/>
          <w:i/>
          <w:szCs w:val="24"/>
          <w:lang w:val="ru-RU"/>
        </w:rPr>
        <w:t>Активы, находящиеся на хранении.</w:t>
      </w:r>
      <w:r w:rsidRPr="00DB0AC3">
        <w:rPr>
          <w:rFonts w:cs="Arial"/>
          <w:szCs w:val="24"/>
          <w:lang w:val="ru-RU"/>
        </w:rPr>
        <w:t xml:space="preserve"> Активы, удерживаемые Банком от своего имени, но по поручению и за счет третьих лиц, не учитываются в  отчете о финансовом положении. Комиссии, получаемые по таким операциям, представлены в составе комиссионных доходов.</w:t>
      </w:r>
    </w:p>
    <w:p w:rsidR="00D71B06" w:rsidRPr="00DB0AC3" w:rsidRDefault="00D71B06" w:rsidP="00D71B06">
      <w:pPr>
        <w:pStyle w:val="ABC-paragrahinNotes"/>
        <w:rPr>
          <w:rFonts w:cs="Arial"/>
          <w:szCs w:val="24"/>
          <w:lang w:val="ru-RU"/>
        </w:rPr>
      </w:pPr>
      <w:r w:rsidRPr="00DB0AC3">
        <w:rPr>
          <w:rFonts w:cs="Arial"/>
          <w:b/>
          <w:i/>
          <w:szCs w:val="24"/>
          <w:lang w:val="ru-RU"/>
        </w:rPr>
        <w:t>Взаимозачет.</w:t>
      </w:r>
      <w:r w:rsidRPr="00DB0AC3">
        <w:rPr>
          <w:rFonts w:cs="Arial"/>
          <w:szCs w:val="24"/>
          <w:lang w:val="ru-RU"/>
        </w:rPr>
        <w:t xml:space="preserve"> Финансовые активы и обязательства взаимозачитываются и в  отчете о финансовом положении отражается чистая величина только в тех случаях, когда существует законодательно установленное право произвести взаимозачет отраженных сумм, а также намерение либо произвести взаимозачет, либо одновременно реализовать актив и урегулировать обязательство.</w:t>
      </w:r>
    </w:p>
    <w:p w:rsidR="00D71B06" w:rsidRPr="00DB0AC3" w:rsidRDefault="00D71B06" w:rsidP="00D71B06">
      <w:pPr>
        <w:pStyle w:val="ABC-paragrahinNotes"/>
        <w:rPr>
          <w:rFonts w:cs="Arial"/>
          <w:szCs w:val="24"/>
          <w:lang w:val="ru-RU"/>
        </w:rPr>
      </w:pPr>
      <w:r w:rsidRPr="00DB0AC3">
        <w:rPr>
          <w:rFonts w:cs="Arial"/>
          <w:b/>
          <w:i/>
          <w:szCs w:val="24"/>
          <w:lang w:val="ru-RU"/>
        </w:rPr>
        <w:t xml:space="preserve">Расходы на содержание персонала и связанные с ними отчисления. </w:t>
      </w:r>
      <w:r w:rsidRPr="00DB0AC3">
        <w:rPr>
          <w:rFonts w:cs="Arial"/>
          <w:szCs w:val="24"/>
          <w:lang w:val="ru-RU"/>
        </w:rPr>
        <w:t xml:space="preserve">Расходы на заработную плату, взносы в государственный пенсионный фонд, фонд социального страхования, фонд обязательного медицинского страхования, оплаченные ежегодные отпуска и больничные, премии и неденежные льготы начисляются по мере оказания соответствующих услуг сотрудниками Банка. Банк не имеет каких-либо правовых или вытекающих из сложившейся деловой практики обязательств по выплате пенсий или аналогичных выплат, сверх страховых взносов во внебюджетные фонды. </w:t>
      </w:r>
    </w:p>
    <w:p w:rsidR="00D71B06" w:rsidRPr="00DB0AC3" w:rsidRDefault="00D71B06" w:rsidP="00D71B06">
      <w:pPr>
        <w:pStyle w:val="ABC-paragrahinNotes"/>
        <w:rPr>
          <w:rFonts w:cs="Arial"/>
          <w:lang w:val="ru-RU"/>
        </w:rPr>
      </w:pPr>
      <w:r w:rsidRPr="00DB0AC3">
        <w:rPr>
          <w:rFonts w:cs="Arial"/>
          <w:b/>
          <w:i/>
          <w:lang w:val="ru-RU"/>
        </w:rPr>
        <w:t>Отчетность по сегментам.</w:t>
      </w:r>
      <w:r w:rsidR="002F7DB8" w:rsidRPr="00DB0AC3">
        <w:rPr>
          <w:rFonts w:cs="Arial"/>
          <w:b/>
          <w:i/>
          <w:lang w:val="ru-RU"/>
        </w:rPr>
        <w:t> </w:t>
      </w:r>
      <w:r w:rsidRPr="00DB0AC3">
        <w:rPr>
          <w:rFonts w:cs="Arial"/>
          <w:lang w:val="ru-RU"/>
        </w:rPr>
        <w:t>Отчетность по сегментам составляется в соответствии с внутренней отчетностью, представляемой руководителю Банка, принимающему операционные решения. Сегмент подлежит отдельному раскрытию, если его доходы, финансовый результат или активы составляют не менее десяти процентов от общих доходов, общего финансового результата или суммарных активов всех сегментов (Примечание 30).</w:t>
      </w:r>
    </w:p>
    <w:p w:rsidR="00D71B06" w:rsidRPr="00DB0AC3" w:rsidRDefault="00D71B06" w:rsidP="00D71B06">
      <w:pPr>
        <w:pStyle w:val="ABC-paragrahinNotes"/>
        <w:rPr>
          <w:rFonts w:cs="Arial"/>
          <w:color w:val="FF0000"/>
          <w:lang w:val="ru-RU"/>
        </w:rPr>
      </w:pPr>
      <w:r w:rsidRPr="00DB0AC3">
        <w:rPr>
          <w:rFonts w:cs="Arial"/>
          <w:b/>
          <w:i/>
          <w:lang w:val="ru-RU"/>
        </w:rPr>
        <w:t xml:space="preserve">Представление статей отчета о финансовом положении в порядке ликвидности. </w:t>
      </w:r>
      <w:r w:rsidRPr="00DB0AC3">
        <w:rPr>
          <w:rFonts w:cs="Arial"/>
          <w:lang w:val="ru-RU"/>
        </w:rPr>
        <w:t>У Банка нет четко определяемого операционного цикла, и поэтому Банк не представляет отдельно краткосрочные и долгосрочные активы и обязательства в отчете о финансовом положении</w:t>
      </w:r>
      <w:r w:rsidRPr="00DB0AC3">
        <w:rPr>
          <w:rFonts w:cs="Arial"/>
          <w:color w:val="FF0000"/>
          <w:lang w:val="ru-RU"/>
        </w:rPr>
        <w:t xml:space="preserve">. </w:t>
      </w:r>
    </w:p>
    <w:p w:rsidR="00735867" w:rsidRPr="00DB0AC3" w:rsidRDefault="00735867" w:rsidP="00D71B06">
      <w:pPr>
        <w:pStyle w:val="ABC-paragrahinNotes"/>
        <w:rPr>
          <w:rFonts w:cs="Arial"/>
          <w:lang w:val="ru-RU"/>
        </w:rPr>
      </w:pPr>
      <w:r w:rsidRPr="00DB0AC3">
        <w:rPr>
          <w:rFonts w:cs="Arial"/>
          <w:b/>
          <w:i/>
          <w:lang w:val="ru-RU"/>
        </w:rPr>
        <w:t>Изменения в предоставлении отчетности прошлых лет.</w:t>
      </w:r>
      <w:r w:rsidR="002F7DB8" w:rsidRPr="00DB0AC3">
        <w:rPr>
          <w:rFonts w:cs="Arial"/>
          <w:b/>
          <w:i/>
          <w:lang w:val="ru-RU"/>
        </w:rPr>
        <w:t> </w:t>
      </w:r>
      <w:r w:rsidRPr="00DB0AC3">
        <w:rPr>
          <w:rFonts w:cs="Arial"/>
          <w:lang w:val="ru-RU"/>
        </w:rPr>
        <w:t>Там, где это необходимо, сравнительные данные были скорректированы для приведения в соответствие с представлением результатов текущего года.</w:t>
      </w:r>
    </w:p>
    <w:p w:rsidR="00735867" w:rsidRPr="00DB0AC3" w:rsidRDefault="00735867" w:rsidP="00D71B06">
      <w:pPr>
        <w:pStyle w:val="ABC-paragrahinNotes"/>
        <w:rPr>
          <w:rFonts w:cs="Arial"/>
          <w:lang w:val="ru-RU"/>
        </w:rPr>
      </w:pPr>
      <w:r w:rsidRPr="00DB0AC3">
        <w:rPr>
          <w:rFonts w:cs="Arial"/>
          <w:lang w:val="ru-RU"/>
        </w:rPr>
        <w:t>Руководство осуществило указанные изменения в классификации показателей предыдущего года с целью предоставления более качественной информации пользователям финансовой отчетности. Ниже представлено воздействие классификации информации за 2013 и 2012 годы для целей составления финансовой отчетности:</w:t>
      </w:r>
    </w:p>
    <w:tbl>
      <w:tblPr>
        <w:tblW w:w="5000" w:type="pct"/>
        <w:tblLook w:val="04A0"/>
      </w:tblPr>
      <w:tblGrid>
        <w:gridCol w:w="2982"/>
        <w:gridCol w:w="2263"/>
        <w:gridCol w:w="2246"/>
        <w:gridCol w:w="2332"/>
      </w:tblGrid>
      <w:tr w:rsidR="00744F72" w:rsidRPr="00AA7529" w:rsidTr="00744F72">
        <w:trPr>
          <w:trHeight w:val="966"/>
        </w:trPr>
        <w:tc>
          <w:tcPr>
            <w:tcW w:w="1518" w:type="pct"/>
            <w:tcBorders>
              <w:top w:val="nil"/>
              <w:left w:val="nil"/>
              <w:bottom w:val="single" w:sz="4" w:space="0" w:color="auto"/>
              <w:right w:val="nil"/>
            </w:tcBorders>
            <w:shd w:val="clear" w:color="auto" w:fill="auto"/>
            <w:noWrap/>
            <w:vAlign w:val="bottom"/>
            <w:hideMark/>
          </w:tcPr>
          <w:p w:rsidR="00744F72" w:rsidRPr="00AA7529" w:rsidRDefault="00744F72" w:rsidP="00744F72">
            <w:pPr>
              <w:rPr>
                <w:rFonts w:cs="Arial"/>
                <w:b/>
                <w:bCs/>
                <w:i/>
                <w:iCs/>
                <w:color w:val="000000"/>
                <w:sz w:val="20"/>
                <w:lang w:val="ru-RU"/>
              </w:rPr>
            </w:pPr>
            <w:r w:rsidRPr="00AA7529">
              <w:rPr>
                <w:rFonts w:cs="Arial"/>
                <w:b/>
                <w:bCs/>
                <w:i/>
                <w:iCs/>
                <w:color w:val="000000"/>
                <w:sz w:val="20"/>
                <w:lang w:val="ru-RU"/>
              </w:rPr>
              <w:t>(в тысячах рублей)</w:t>
            </w:r>
          </w:p>
        </w:tc>
        <w:tc>
          <w:tcPr>
            <w:tcW w:w="1152" w:type="pct"/>
            <w:tcBorders>
              <w:top w:val="nil"/>
              <w:left w:val="nil"/>
              <w:bottom w:val="single" w:sz="4" w:space="0" w:color="auto"/>
              <w:right w:val="nil"/>
            </w:tcBorders>
            <w:shd w:val="clear" w:color="auto" w:fill="auto"/>
            <w:vAlign w:val="bottom"/>
            <w:hideMark/>
          </w:tcPr>
          <w:p w:rsidR="00744F72" w:rsidRPr="00AA7529" w:rsidRDefault="00744F72" w:rsidP="00744F72">
            <w:pPr>
              <w:jc w:val="center"/>
              <w:rPr>
                <w:rFonts w:cs="Arial"/>
                <w:b/>
                <w:bCs/>
                <w:color w:val="000000"/>
                <w:sz w:val="20"/>
                <w:lang w:val="ru-RU"/>
              </w:rPr>
            </w:pPr>
            <w:r w:rsidRPr="00AA7529">
              <w:rPr>
                <w:rFonts w:cs="Arial"/>
                <w:b/>
                <w:bCs/>
                <w:color w:val="000000"/>
                <w:sz w:val="20"/>
                <w:lang w:val="ru-RU"/>
              </w:rPr>
              <w:t>31 декабря 2013  до реклассификации</w:t>
            </w:r>
          </w:p>
        </w:tc>
        <w:tc>
          <w:tcPr>
            <w:tcW w:w="1143" w:type="pct"/>
            <w:tcBorders>
              <w:top w:val="nil"/>
              <w:left w:val="nil"/>
              <w:bottom w:val="single" w:sz="4" w:space="0" w:color="auto"/>
              <w:right w:val="nil"/>
            </w:tcBorders>
            <w:shd w:val="clear" w:color="auto" w:fill="auto"/>
            <w:vAlign w:val="bottom"/>
            <w:hideMark/>
          </w:tcPr>
          <w:p w:rsidR="00744F72" w:rsidRPr="00AA7529" w:rsidRDefault="00744F72" w:rsidP="00744F72">
            <w:pPr>
              <w:jc w:val="center"/>
              <w:rPr>
                <w:rFonts w:cs="Arial"/>
                <w:b/>
                <w:bCs/>
                <w:color w:val="000000"/>
                <w:sz w:val="20"/>
                <w:lang w:val="ru-RU"/>
              </w:rPr>
            </w:pPr>
            <w:r w:rsidRPr="00AA7529">
              <w:rPr>
                <w:rFonts w:cs="Arial"/>
                <w:b/>
                <w:bCs/>
                <w:color w:val="000000"/>
                <w:sz w:val="20"/>
                <w:lang w:val="ru-RU"/>
              </w:rPr>
              <w:t>Реклассификация</w:t>
            </w:r>
          </w:p>
        </w:tc>
        <w:tc>
          <w:tcPr>
            <w:tcW w:w="1187" w:type="pct"/>
            <w:tcBorders>
              <w:top w:val="nil"/>
              <w:left w:val="nil"/>
              <w:bottom w:val="single" w:sz="4" w:space="0" w:color="auto"/>
              <w:right w:val="nil"/>
            </w:tcBorders>
            <w:shd w:val="clear" w:color="auto" w:fill="auto"/>
            <w:vAlign w:val="bottom"/>
            <w:hideMark/>
          </w:tcPr>
          <w:p w:rsidR="00744F72" w:rsidRPr="00AA7529" w:rsidRDefault="00744F72" w:rsidP="00744F72">
            <w:pPr>
              <w:jc w:val="center"/>
              <w:rPr>
                <w:rFonts w:cs="Arial"/>
                <w:b/>
                <w:bCs/>
                <w:color w:val="000000"/>
                <w:sz w:val="20"/>
                <w:lang w:val="ru-RU"/>
              </w:rPr>
            </w:pPr>
            <w:r w:rsidRPr="00AA7529">
              <w:rPr>
                <w:rFonts w:cs="Arial"/>
                <w:b/>
                <w:bCs/>
                <w:color w:val="000000"/>
                <w:sz w:val="20"/>
                <w:lang w:val="ru-RU"/>
              </w:rPr>
              <w:t>31 декабря 2013 после реклассификации</w:t>
            </w:r>
          </w:p>
        </w:tc>
      </w:tr>
      <w:tr w:rsidR="00744F72" w:rsidRPr="00AA7529" w:rsidTr="00744F72">
        <w:trPr>
          <w:trHeight w:val="300"/>
        </w:trPr>
        <w:tc>
          <w:tcPr>
            <w:tcW w:w="1518" w:type="pct"/>
            <w:tcBorders>
              <w:top w:val="nil"/>
              <w:left w:val="nil"/>
              <w:bottom w:val="nil"/>
              <w:right w:val="nil"/>
            </w:tcBorders>
            <w:shd w:val="clear" w:color="auto" w:fill="auto"/>
            <w:noWrap/>
            <w:vAlign w:val="bottom"/>
            <w:hideMark/>
          </w:tcPr>
          <w:p w:rsidR="00744F72" w:rsidRPr="00AA7529" w:rsidRDefault="00744F72" w:rsidP="00744F72">
            <w:pPr>
              <w:rPr>
                <w:rFonts w:cs="Arial"/>
                <w:b/>
                <w:bCs/>
                <w:color w:val="000000"/>
                <w:sz w:val="20"/>
                <w:lang w:val="ru-RU"/>
              </w:rPr>
            </w:pPr>
            <w:r w:rsidRPr="00AA7529">
              <w:rPr>
                <w:rFonts w:cs="Arial"/>
                <w:b/>
                <w:bCs/>
                <w:color w:val="000000"/>
                <w:sz w:val="20"/>
                <w:lang w:val="ru-RU"/>
              </w:rPr>
              <w:t>Обязательства</w:t>
            </w:r>
          </w:p>
        </w:tc>
        <w:tc>
          <w:tcPr>
            <w:tcW w:w="1152"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p>
        </w:tc>
        <w:tc>
          <w:tcPr>
            <w:tcW w:w="1143"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p>
        </w:tc>
        <w:tc>
          <w:tcPr>
            <w:tcW w:w="1187"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p>
        </w:tc>
      </w:tr>
      <w:tr w:rsidR="00744F72" w:rsidRPr="00AA7529" w:rsidTr="00744F72">
        <w:trPr>
          <w:trHeight w:val="300"/>
        </w:trPr>
        <w:tc>
          <w:tcPr>
            <w:tcW w:w="1518" w:type="pct"/>
            <w:tcBorders>
              <w:top w:val="nil"/>
              <w:left w:val="nil"/>
              <w:bottom w:val="nil"/>
              <w:right w:val="nil"/>
            </w:tcBorders>
            <w:shd w:val="clear" w:color="auto" w:fill="auto"/>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lastRenderedPageBreak/>
              <w:t>Средства других банков</w:t>
            </w:r>
          </w:p>
        </w:tc>
        <w:tc>
          <w:tcPr>
            <w:tcW w:w="1152"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3 393 208</w:t>
            </w:r>
          </w:p>
        </w:tc>
        <w:tc>
          <w:tcPr>
            <w:tcW w:w="1143"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 xml:space="preserve">                     (527 339)</w:t>
            </w:r>
          </w:p>
        </w:tc>
        <w:tc>
          <w:tcPr>
            <w:tcW w:w="1187"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2 865 869</w:t>
            </w:r>
          </w:p>
        </w:tc>
      </w:tr>
      <w:tr w:rsidR="00744F72" w:rsidRPr="00AA7529" w:rsidTr="00744F72">
        <w:trPr>
          <w:trHeight w:val="600"/>
        </w:trPr>
        <w:tc>
          <w:tcPr>
            <w:tcW w:w="1518" w:type="pct"/>
            <w:tcBorders>
              <w:top w:val="nil"/>
              <w:left w:val="nil"/>
              <w:bottom w:val="nil"/>
              <w:right w:val="nil"/>
            </w:tcBorders>
            <w:shd w:val="clear" w:color="auto" w:fill="auto"/>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Субординированные займы</w:t>
            </w:r>
          </w:p>
        </w:tc>
        <w:tc>
          <w:tcPr>
            <w:tcW w:w="1152"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1 124 549</w:t>
            </w:r>
          </w:p>
        </w:tc>
        <w:tc>
          <w:tcPr>
            <w:tcW w:w="1143"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 xml:space="preserve">                       527 339 </w:t>
            </w:r>
          </w:p>
        </w:tc>
        <w:tc>
          <w:tcPr>
            <w:tcW w:w="1187"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1 651 888</w:t>
            </w:r>
          </w:p>
        </w:tc>
      </w:tr>
    </w:tbl>
    <w:p w:rsidR="00735867" w:rsidRPr="00AA7529" w:rsidRDefault="00735867" w:rsidP="00D71B06">
      <w:pPr>
        <w:pStyle w:val="ABC-paragrahinNotes"/>
        <w:rPr>
          <w:rFonts w:cs="Arial"/>
          <w:lang w:val="ru-RU"/>
        </w:rPr>
      </w:pPr>
    </w:p>
    <w:tbl>
      <w:tblPr>
        <w:tblW w:w="5000" w:type="pct"/>
        <w:tblLook w:val="04A0"/>
      </w:tblPr>
      <w:tblGrid>
        <w:gridCol w:w="2982"/>
        <w:gridCol w:w="2263"/>
        <w:gridCol w:w="2246"/>
        <w:gridCol w:w="2332"/>
      </w:tblGrid>
      <w:tr w:rsidR="00744F72" w:rsidRPr="00AA7529" w:rsidTr="00744F72">
        <w:trPr>
          <w:trHeight w:val="885"/>
        </w:trPr>
        <w:tc>
          <w:tcPr>
            <w:tcW w:w="1518" w:type="pct"/>
            <w:tcBorders>
              <w:top w:val="nil"/>
              <w:left w:val="nil"/>
              <w:bottom w:val="single" w:sz="4" w:space="0" w:color="auto"/>
              <w:right w:val="nil"/>
            </w:tcBorders>
            <w:shd w:val="clear" w:color="auto" w:fill="auto"/>
            <w:noWrap/>
            <w:vAlign w:val="bottom"/>
            <w:hideMark/>
          </w:tcPr>
          <w:p w:rsidR="00744F72" w:rsidRPr="00AA7529" w:rsidRDefault="00744F72" w:rsidP="00744F72">
            <w:pPr>
              <w:rPr>
                <w:rFonts w:cs="Arial"/>
                <w:b/>
                <w:bCs/>
                <w:i/>
                <w:iCs/>
                <w:color w:val="000000"/>
                <w:sz w:val="20"/>
                <w:lang w:val="ru-RU"/>
              </w:rPr>
            </w:pPr>
            <w:r w:rsidRPr="00AA7529">
              <w:rPr>
                <w:rFonts w:cs="Arial"/>
                <w:b/>
                <w:bCs/>
                <w:i/>
                <w:iCs/>
                <w:color w:val="000000"/>
                <w:sz w:val="20"/>
                <w:lang w:val="ru-RU"/>
              </w:rPr>
              <w:t>(в тысячах рублей)</w:t>
            </w:r>
          </w:p>
        </w:tc>
        <w:tc>
          <w:tcPr>
            <w:tcW w:w="1152" w:type="pct"/>
            <w:tcBorders>
              <w:top w:val="nil"/>
              <w:left w:val="nil"/>
              <w:bottom w:val="single" w:sz="4" w:space="0" w:color="auto"/>
              <w:right w:val="nil"/>
            </w:tcBorders>
            <w:shd w:val="clear" w:color="auto" w:fill="auto"/>
            <w:vAlign w:val="bottom"/>
            <w:hideMark/>
          </w:tcPr>
          <w:p w:rsidR="00744F72" w:rsidRPr="00AA7529" w:rsidRDefault="00744F72" w:rsidP="00744F72">
            <w:pPr>
              <w:jc w:val="center"/>
              <w:rPr>
                <w:rFonts w:cs="Arial"/>
                <w:b/>
                <w:bCs/>
                <w:color w:val="000000"/>
                <w:sz w:val="20"/>
                <w:lang w:val="ru-RU"/>
              </w:rPr>
            </w:pPr>
            <w:r w:rsidRPr="00AA7529">
              <w:rPr>
                <w:rFonts w:cs="Arial"/>
                <w:b/>
                <w:bCs/>
                <w:color w:val="000000"/>
                <w:sz w:val="20"/>
                <w:lang w:val="ru-RU"/>
              </w:rPr>
              <w:t>31 декабря 2012  до реклассификации</w:t>
            </w:r>
          </w:p>
        </w:tc>
        <w:tc>
          <w:tcPr>
            <w:tcW w:w="1143" w:type="pct"/>
            <w:tcBorders>
              <w:top w:val="nil"/>
              <w:left w:val="nil"/>
              <w:bottom w:val="single" w:sz="4" w:space="0" w:color="auto"/>
              <w:right w:val="nil"/>
            </w:tcBorders>
            <w:shd w:val="clear" w:color="auto" w:fill="auto"/>
            <w:vAlign w:val="bottom"/>
            <w:hideMark/>
          </w:tcPr>
          <w:p w:rsidR="00744F72" w:rsidRPr="00AA7529" w:rsidRDefault="00744F72" w:rsidP="00744F72">
            <w:pPr>
              <w:jc w:val="center"/>
              <w:rPr>
                <w:rFonts w:cs="Arial"/>
                <w:b/>
                <w:bCs/>
                <w:color w:val="000000"/>
                <w:sz w:val="20"/>
                <w:lang w:val="ru-RU"/>
              </w:rPr>
            </w:pPr>
            <w:r w:rsidRPr="00AA7529">
              <w:rPr>
                <w:rFonts w:cs="Arial"/>
                <w:b/>
                <w:bCs/>
                <w:color w:val="000000"/>
                <w:sz w:val="20"/>
                <w:lang w:val="ru-RU"/>
              </w:rPr>
              <w:t>Реклассификация</w:t>
            </w:r>
          </w:p>
        </w:tc>
        <w:tc>
          <w:tcPr>
            <w:tcW w:w="1187" w:type="pct"/>
            <w:tcBorders>
              <w:top w:val="nil"/>
              <w:left w:val="nil"/>
              <w:bottom w:val="single" w:sz="4" w:space="0" w:color="auto"/>
              <w:right w:val="nil"/>
            </w:tcBorders>
            <w:shd w:val="clear" w:color="auto" w:fill="auto"/>
            <w:vAlign w:val="bottom"/>
            <w:hideMark/>
          </w:tcPr>
          <w:p w:rsidR="00744F72" w:rsidRPr="00AA7529" w:rsidRDefault="00744F72" w:rsidP="00744F72">
            <w:pPr>
              <w:jc w:val="center"/>
              <w:rPr>
                <w:rFonts w:cs="Arial"/>
                <w:b/>
                <w:bCs/>
                <w:color w:val="000000"/>
                <w:sz w:val="20"/>
                <w:lang w:val="ru-RU"/>
              </w:rPr>
            </w:pPr>
            <w:r w:rsidRPr="00AA7529">
              <w:rPr>
                <w:rFonts w:cs="Arial"/>
                <w:b/>
                <w:bCs/>
                <w:color w:val="000000"/>
                <w:sz w:val="20"/>
                <w:lang w:val="ru-RU"/>
              </w:rPr>
              <w:t>31 декабря 2012 после реклассификации</w:t>
            </w:r>
          </w:p>
        </w:tc>
      </w:tr>
      <w:tr w:rsidR="00744F72" w:rsidRPr="00AA7529" w:rsidTr="00744F72">
        <w:trPr>
          <w:trHeight w:val="300"/>
        </w:trPr>
        <w:tc>
          <w:tcPr>
            <w:tcW w:w="1518" w:type="pct"/>
            <w:tcBorders>
              <w:top w:val="nil"/>
              <w:left w:val="nil"/>
              <w:bottom w:val="nil"/>
              <w:right w:val="nil"/>
            </w:tcBorders>
            <w:shd w:val="clear" w:color="auto" w:fill="auto"/>
            <w:noWrap/>
            <w:vAlign w:val="bottom"/>
            <w:hideMark/>
          </w:tcPr>
          <w:p w:rsidR="00744F72" w:rsidRPr="00AA7529" w:rsidRDefault="00744F72" w:rsidP="00744F72">
            <w:pPr>
              <w:rPr>
                <w:rFonts w:cs="Arial"/>
                <w:b/>
                <w:bCs/>
                <w:color w:val="000000"/>
                <w:sz w:val="20"/>
                <w:lang w:val="ru-RU"/>
              </w:rPr>
            </w:pPr>
            <w:r w:rsidRPr="00AA7529">
              <w:rPr>
                <w:rFonts w:cs="Arial"/>
                <w:b/>
                <w:bCs/>
                <w:color w:val="000000"/>
                <w:sz w:val="20"/>
                <w:lang w:val="ru-RU"/>
              </w:rPr>
              <w:t>Обязательства</w:t>
            </w:r>
          </w:p>
        </w:tc>
        <w:tc>
          <w:tcPr>
            <w:tcW w:w="1152"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p>
        </w:tc>
        <w:tc>
          <w:tcPr>
            <w:tcW w:w="1143"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p>
        </w:tc>
        <w:tc>
          <w:tcPr>
            <w:tcW w:w="1187"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p>
        </w:tc>
      </w:tr>
      <w:tr w:rsidR="00744F72" w:rsidRPr="00AA7529" w:rsidTr="00744F72">
        <w:trPr>
          <w:trHeight w:val="300"/>
        </w:trPr>
        <w:tc>
          <w:tcPr>
            <w:tcW w:w="1518" w:type="pct"/>
            <w:tcBorders>
              <w:top w:val="nil"/>
              <w:left w:val="nil"/>
              <w:bottom w:val="nil"/>
              <w:right w:val="nil"/>
            </w:tcBorders>
            <w:shd w:val="clear" w:color="auto" w:fill="auto"/>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Средства других банков</w:t>
            </w:r>
          </w:p>
        </w:tc>
        <w:tc>
          <w:tcPr>
            <w:tcW w:w="1152"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3 244 604</w:t>
            </w:r>
          </w:p>
        </w:tc>
        <w:tc>
          <w:tcPr>
            <w:tcW w:w="1143"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 xml:space="preserve">                     (471 717)</w:t>
            </w:r>
          </w:p>
        </w:tc>
        <w:tc>
          <w:tcPr>
            <w:tcW w:w="1187"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2 772 887</w:t>
            </w:r>
          </w:p>
        </w:tc>
      </w:tr>
      <w:tr w:rsidR="00744F72" w:rsidRPr="00AA7529" w:rsidTr="00744F72">
        <w:trPr>
          <w:trHeight w:val="600"/>
        </w:trPr>
        <w:tc>
          <w:tcPr>
            <w:tcW w:w="1518" w:type="pct"/>
            <w:tcBorders>
              <w:top w:val="nil"/>
              <w:left w:val="nil"/>
              <w:bottom w:val="nil"/>
              <w:right w:val="nil"/>
            </w:tcBorders>
            <w:shd w:val="clear" w:color="auto" w:fill="auto"/>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Субординированные займы</w:t>
            </w:r>
          </w:p>
        </w:tc>
        <w:tc>
          <w:tcPr>
            <w:tcW w:w="1152"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1 053 429</w:t>
            </w:r>
          </w:p>
        </w:tc>
        <w:tc>
          <w:tcPr>
            <w:tcW w:w="1143" w:type="pct"/>
            <w:tcBorders>
              <w:top w:val="nil"/>
              <w:left w:val="nil"/>
              <w:bottom w:val="nil"/>
              <w:right w:val="nil"/>
            </w:tcBorders>
            <w:shd w:val="clear" w:color="auto" w:fill="auto"/>
            <w:noWrap/>
            <w:vAlign w:val="bottom"/>
            <w:hideMark/>
          </w:tcPr>
          <w:p w:rsidR="00744F72" w:rsidRPr="00AA7529" w:rsidRDefault="00744F72" w:rsidP="00744F72">
            <w:pPr>
              <w:rPr>
                <w:rFonts w:cs="Arial"/>
                <w:color w:val="000000"/>
                <w:sz w:val="20"/>
                <w:lang w:val="ru-RU"/>
              </w:rPr>
            </w:pPr>
            <w:r w:rsidRPr="00AA7529">
              <w:rPr>
                <w:rFonts w:cs="Arial"/>
                <w:color w:val="000000"/>
                <w:sz w:val="20"/>
                <w:lang w:val="ru-RU"/>
              </w:rPr>
              <w:t xml:space="preserve">                       471 717 </w:t>
            </w:r>
          </w:p>
        </w:tc>
        <w:tc>
          <w:tcPr>
            <w:tcW w:w="1187" w:type="pct"/>
            <w:tcBorders>
              <w:top w:val="nil"/>
              <w:left w:val="nil"/>
              <w:bottom w:val="nil"/>
              <w:right w:val="nil"/>
            </w:tcBorders>
            <w:shd w:val="clear" w:color="auto" w:fill="auto"/>
            <w:noWrap/>
            <w:vAlign w:val="bottom"/>
            <w:hideMark/>
          </w:tcPr>
          <w:p w:rsidR="00744F72" w:rsidRPr="00AA7529" w:rsidRDefault="00744F72" w:rsidP="00744F72">
            <w:pPr>
              <w:jc w:val="right"/>
              <w:rPr>
                <w:rFonts w:cs="Arial"/>
                <w:color w:val="000000"/>
                <w:sz w:val="20"/>
                <w:lang w:val="ru-RU"/>
              </w:rPr>
            </w:pPr>
            <w:r w:rsidRPr="00AA7529">
              <w:rPr>
                <w:rFonts w:cs="Arial"/>
                <w:color w:val="000000"/>
                <w:sz w:val="20"/>
                <w:lang w:val="ru-RU"/>
              </w:rPr>
              <w:t>1 525 146</w:t>
            </w:r>
          </w:p>
        </w:tc>
      </w:tr>
    </w:tbl>
    <w:p w:rsidR="00744F72" w:rsidRPr="00DB0AC3" w:rsidRDefault="00744F72" w:rsidP="00D71B06">
      <w:pPr>
        <w:pStyle w:val="ABC-paragrahinNotes"/>
        <w:rPr>
          <w:rFonts w:cs="Arial"/>
          <w:b/>
          <w:i/>
          <w:lang w:val="ru-RU"/>
        </w:rPr>
      </w:pPr>
    </w:p>
    <w:p w:rsidR="00744F72" w:rsidRPr="00DB0AC3" w:rsidRDefault="00744F72" w:rsidP="00D71B06">
      <w:pPr>
        <w:pStyle w:val="ABC-paragrahinNotes"/>
        <w:rPr>
          <w:rFonts w:cs="Arial"/>
          <w:lang w:val="ru-RU"/>
        </w:rPr>
      </w:pPr>
      <w:r w:rsidRPr="00DB0AC3">
        <w:rPr>
          <w:rFonts w:cs="Arial"/>
          <w:b/>
          <w:i/>
          <w:lang w:val="ru-RU"/>
        </w:rPr>
        <w:t>Внесение изменений в финансовую отчетность после выпуска.</w:t>
      </w:r>
      <w:r w:rsidR="002F7DB8" w:rsidRPr="00DB0AC3">
        <w:rPr>
          <w:rFonts w:cs="Arial"/>
          <w:b/>
          <w:i/>
          <w:lang w:val="ru-RU"/>
        </w:rPr>
        <w:t> </w:t>
      </w:r>
      <w:r w:rsidRPr="00DB0AC3">
        <w:rPr>
          <w:rFonts w:cs="Arial"/>
          <w:lang w:val="ru-RU"/>
        </w:rPr>
        <w:t>Акционеры и руководство Банка имеют право вносить изменения в данную финансовую отчетность после ее выпуска.</w:t>
      </w:r>
    </w:p>
    <w:p w:rsidR="00D71B06" w:rsidRPr="00DB0AC3" w:rsidRDefault="00D71B06" w:rsidP="00D71B06">
      <w:pPr>
        <w:pStyle w:val="1"/>
        <w:keepLines/>
        <w:pageBreakBefore/>
        <w:numPr>
          <w:ilvl w:val="0"/>
          <w:numId w:val="3"/>
        </w:numPr>
        <w:spacing w:before="0" w:after="200" w:line="226" w:lineRule="auto"/>
        <w:rPr>
          <w:rFonts w:cs="Arial"/>
          <w:szCs w:val="24"/>
          <w:lang w:val="ru-RU"/>
        </w:rPr>
      </w:pPr>
      <w:bookmarkStart w:id="9" w:name="_Toc324427324"/>
      <w:bookmarkStart w:id="10" w:name="_Toc324427366"/>
      <w:bookmarkStart w:id="11" w:name="_Toc324427677"/>
      <w:bookmarkStart w:id="12" w:name="_Toc324427719"/>
      <w:bookmarkStart w:id="13" w:name="_Toc324427325"/>
      <w:bookmarkStart w:id="14" w:name="_Toc324427367"/>
      <w:bookmarkStart w:id="15" w:name="_Toc324427678"/>
      <w:bookmarkStart w:id="16" w:name="_Toc324427720"/>
      <w:bookmarkStart w:id="17" w:name="_Toc324427326"/>
      <w:bookmarkStart w:id="18" w:name="_Toc324427368"/>
      <w:bookmarkStart w:id="19" w:name="_Toc324427679"/>
      <w:bookmarkStart w:id="20" w:name="_Toc324427721"/>
      <w:bookmarkStart w:id="21" w:name="_Toc324427327"/>
      <w:bookmarkStart w:id="22" w:name="_Toc324427369"/>
      <w:bookmarkStart w:id="23" w:name="_Toc324427680"/>
      <w:bookmarkStart w:id="24" w:name="_Toc324427722"/>
      <w:bookmarkStart w:id="25" w:name="_Toc290592289"/>
      <w:bookmarkStart w:id="26" w:name="_Toc290594557"/>
      <w:bookmarkStart w:id="27" w:name="_Toc290598527"/>
      <w:bookmarkStart w:id="28" w:name="_Toc324427328"/>
      <w:bookmarkStart w:id="29" w:name="_Toc324427370"/>
      <w:bookmarkStart w:id="30" w:name="_Toc324427681"/>
      <w:bookmarkStart w:id="31" w:name="_Toc324427723"/>
      <w:bookmarkStart w:id="32" w:name="_Важные_оценки_и"/>
      <w:bookmarkStart w:id="33" w:name="_Ref113959033"/>
      <w:bookmarkStart w:id="34" w:name="_Ref291590753"/>
      <w:bookmarkStart w:id="35" w:name="_Toc416086210"/>
      <w:bookmarkStart w:id="36" w:name="_Toc44147979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B0AC3">
        <w:rPr>
          <w:rFonts w:cs="Arial"/>
          <w:szCs w:val="24"/>
          <w:lang w:val="ru-RU"/>
        </w:rPr>
        <w:lastRenderedPageBreak/>
        <w:t>Основные принципы учетной политики</w:t>
      </w:r>
      <w:bookmarkEnd w:id="33"/>
      <w:bookmarkEnd w:id="34"/>
      <w:bookmarkEnd w:id="35"/>
      <w:bookmarkEnd w:id="36"/>
    </w:p>
    <w:p w:rsidR="00D71B06" w:rsidRPr="00DB0AC3" w:rsidRDefault="00D71B06" w:rsidP="00D71B06">
      <w:pPr>
        <w:pStyle w:val="ABC-paragrahinNotes"/>
        <w:spacing w:after="200" w:line="226" w:lineRule="auto"/>
        <w:rPr>
          <w:rFonts w:cs="Arial"/>
          <w:b/>
          <w:i/>
          <w:szCs w:val="24"/>
          <w:lang w:val="ru-RU"/>
        </w:rPr>
      </w:pPr>
      <w:bookmarkStart w:id="37" w:name="_Toc324427330"/>
      <w:bookmarkStart w:id="38" w:name="_Toc324427372"/>
      <w:bookmarkStart w:id="39" w:name="_Toc324427683"/>
      <w:bookmarkStart w:id="40" w:name="_Toc324427725"/>
      <w:bookmarkStart w:id="41" w:name="_Переход_на_новые"/>
      <w:bookmarkStart w:id="42" w:name="_Ref290289346"/>
      <w:bookmarkStart w:id="43" w:name="_Toc416086211"/>
      <w:bookmarkStart w:id="44" w:name="_Ref148083375"/>
      <w:bookmarkEnd w:id="37"/>
      <w:bookmarkEnd w:id="38"/>
      <w:bookmarkEnd w:id="39"/>
      <w:bookmarkEnd w:id="40"/>
      <w:bookmarkEnd w:id="41"/>
      <w:r w:rsidRPr="00DB0AC3">
        <w:rPr>
          <w:rFonts w:cs="Arial"/>
          <w:szCs w:val="24"/>
          <w:lang w:val="ru-RU"/>
        </w:rPr>
        <w:t>Банк производит оценки и допущения, которые воздействуют на отражаемые в  отчетности суммы и на балансовую стоимость активов и обязательств в следующем финансовом году. Оценки и допущения постоянно анализируются на основе опыта руководства и других факторов, включая ожидания в отношении будущих событий, которые, по мнению руководства, являются обоснованными в свете текущих обстоятельств. В процессе применения учетной политики руководство также использует профессиональные суждения и оценки. Профессиональные суждения, которые оказывают наиболее существенное воздействие на суммы, отражаемые в финансовой отчетности, и оценки, результатом которых могут быть существенные корректировки балансовой стоимости активов и обязательств в течение следующего финансового года, включают следующие:</w:t>
      </w:r>
    </w:p>
    <w:p w:rsidR="00D71B06" w:rsidRPr="00DB0AC3" w:rsidRDefault="00D71B06" w:rsidP="00D71B06">
      <w:pPr>
        <w:pStyle w:val="ABC-paragrahinNotes"/>
        <w:spacing w:after="200" w:line="226" w:lineRule="auto"/>
        <w:rPr>
          <w:rFonts w:cs="Arial"/>
          <w:strike/>
          <w:szCs w:val="24"/>
          <w:lang w:val="ru-RU"/>
        </w:rPr>
      </w:pPr>
      <w:r w:rsidRPr="00DB0AC3">
        <w:rPr>
          <w:rFonts w:cs="Arial"/>
          <w:b/>
          <w:i/>
          <w:szCs w:val="24"/>
          <w:lang w:val="ru-RU"/>
        </w:rPr>
        <w:t>Убытки от обесценения кредитов и авансов.</w:t>
      </w:r>
      <w:r w:rsidR="002F7DB8" w:rsidRPr="00DB0AC3">
        <w:rPr>
          <w:rFonts w:cs="Arial"/>
          <w:b/>
          <w:i/>
          <w:szCs w:val="24"/>
          <w:lang w:val="ru-RU"/>
        </w:rPr>
        <w:t> </w:t>
      </w:r>
      <w:r w:rsidRPr="00DB0AC3">
        <w:rPr>
          <w:rFonts w:cs="Arial"/>
          <w:szCs w:val="24"/>
          <w:lang w:val="ru-RU"/>
        </w:rPr>
        <w:t>Банк анализирует свой кредитный портфель на предмет обесценения на регулярной основе. При определении того, следует ли отражать убыток от обесценения в прибыли или убытке за год, Банк применяет профессиональные суждения о наличии видимых признаков, свидетельствующих об измеримом снижении расчетных будущих денежных потоков по кредитному портфелю, прежде чем может быть обнаружено снижение по отдельному кредиту в данном портфеле. Такой показатель может включать поддающиеся измерению данные о негативном изменении платежного статуса заемщиков в Банк</w:t>
      </w:r>
      <w:r w:rsidR="00B6607C">
        <w:rPr>
          <w:rFonts w:cs="Arial"/>
          <w:szCs w:val="24"/>
          <w:lang w:val="ru-RU"/>
        </w:rPr>
        <w:t>а</w:t>
      </w:r>
      <w:r w:rsidRPr="00DB0AC3">
        <w:rPr>
          <w:rFonts w:cs="Arial"/>
          <w:szCs w:val="24"/>
          <w:lang w:val="ru-RU"/>
        </w:rPr>
        <w:t xml:space="preserve"> или национальных или местных экономических условий, связанных с невыполнением обязательств по активам в Банк</w:t>
      </w:r>
      <w:r w:rsidR="00B6607C">
        <w:rPr>
          <w:rFonts w:cs="Arial"/>
          <w:szCs w:val="24"/>
          <w:lang w:val="ru-RU"/>
        </w:rPr>
        <w:t>а</w:t>
      </w:r>
      <w:r w:rsidRPr="00DB0AC3">
        <w:rPr>
          <w:rFonts w:cs="Arial"/>
          <w:szCs w:val="24"/>
          <w:lang w:val="ru-RU"/>
        </w:rPr>
        <w:t xml:space="preserve">. Руководство применяет оценки на основе данных об убытках прошлых лет в отношении активов с характеристиками кредитного риска и объективных признаков обесценения, </w:t>
      </w:r>
      <w:r w:rsidRPr="00DB0AC3">
        <w:rPr>
          <w:rFonts w:cs="Arial"/>
          <w:spacing w:val="4"/>
          <w:szCs w:val="24"/>
          <w:lang w:val="ru-RU"/>
        </w:rPr>
        <w:t xml:space="preserve">аналогичных тем активам в портфеле, которые использовались для прогнозирования будущих </w:t>
      </w:r>
      <w:r w:rsidRPr="00DB0AC3">
        <w:rPr>
          <w:rFonts w:cs="Arial"/>
          <w:szCs w:val="24"/>
          <w:lang w:val="ru-RU"/>
        </w:rPr>
        <w:t>потоков денежных средств. Методика и допущения, используемые для оценки сумм и сроков будущих потоков денежных средств, регулярно анализируются для снижения любого расхождения между расчетными и фактическими убытками</w:t>
      </w:r>
      <w:r w:rsidR="001307DD" w:rsidRPr="00DB0AC3">
        <w:rPr>
          <w:rFonts w:cs="Arial"/>
          <w:szCs w:val="24"/>
          <w:lang w:val="ru-RU"/>
        </w:rPr>
        <w:t xml:space="preserve">. </w:t>
      </w:r>
      <w:r w:rsidRPr="00DB0AC3">
        <w:rPr>
          <w:rFonts w:cs="Arial"/>
          <w:szCs w:val="24"/>
          <w:lang w:val="ru-RU"/>
        </w:rPr>
        <w:t>Убытки от обесценения кредитов и авансов клиентам основаны на оценочных показателях дисконтированных будущих денежных потоков по этим кредитам с учетом погашения кредита и реализации активов, являющихся обеспечением по соответствующему кредиту.</w:t>
      </w:r>
    </w:p>
    <w:p w:rsidR="00D71B06" w:rsidRPr="00DB0AC3" w:rsidRDefault="00D71B06" w:rsidP="00D71B06">
      <w:pPr>
        <w:pStyle w:val="ABC-paragrahinNotes"/>
        <w:spacing w:after="200" w:line="226" w:lineRule="auto"/>
        <w:rPr>
          <w:rFonts w:cs="Arial"/>
          <w:lang w:val="ru-RU"/>
        </w:rPr>
      </w:pPr>
      <w:r w:rsidRPr="00DB0AC3">
        <w:rPr>
          <w:rFonts w:cs="Arial"/>
          <w:b/>
          <w:i/>
          <w:lang w:val="ru-RU"/>
        </w:rPr>
        <w:t xml:space="preserve">Справедливая стоимость производных финансовых инструментов и некоторых других финансовых инструментов. </w:t>
      </w:r>
      <w:r w:rsidRPr="00DB0AC3">
        <w:rPr>
          <w:rFonts w:cs="Arial"/>
          <w:lang w:val="ru-RU"/>
        </w:rPr>
        <w:t xml:space="preserve">Информация о справедливой стоимости финансовых инструментов, оценка которых осуществляется на основе модельной оценки, в которой используются наблюдаемые рыночные цены, представлена в Примечании </w:t>
      </w:r>
      <w:r w:rsidR="00FD1D5D" w:rsidRPr="00DB0AC3">
        <w:rPr>
          <w:rFonts w:cs="Arial"/>
          <w:lang w:val="ru-RU"/>
        </w:rPr>
        <w:t>32</w:t>
      </w:r>
      <w:r w:rsidRPr="00DB0AC3">
        <w:rPr>
          <w:rFonts w:cs="Arial"/>
          <w:lang w:val="ru-RU"/>
        </w:rPr>
        <w:t>.</w:t>
      </w:r>
    </w:p>
    <w:p w:rsidR="006A4C42" w:rsidRPr="006A4C42" w:rsidRDefault="00D137C9" w:rsidP="00D71B06">
      <w:pPr>
        <w:pStyle w:val="ABC-paragrahinNotes"/>
        <w:spacing w:after="200" w:line="226" w:lineRule="auto"/>
        <w:rPr>
          <w:rFonts w:cs="Arial"/>
          <w:lang w:val="ru-RU"/>
        </w:rPr>
      </w:pPr>
      <w:r w:rsidRPr="00DB0AC3">
        <w:rPr>
          <w:rFonts w:cs="Arial"/>
          <w:b/>
          <w:i/>
          <w:szCs w:val="24"/>
          <w:lang w:val="ru-RU"/>
        </w:rPr>
        <w:t xml:space="preserve">Признание отложенного налогового актива. </w:t>
      </w:r>
      <w:r w:rsidRPr="00DB0AC3">
        <w:rPr>
          <w:rFonts w:cs="Arial"/>
          <w:lang w:val="ru-RU"/>
        </w:rPr>
        <w:t xml:space="preserve">Признанный отложенный налоговый актив представляет собой сумму налога на прибыль, которая может быть зачтена против будущих налогов на прибыль, и отражается в  отчете о финансовом положении. Отложенный налоговый актив признается только в той степени, в которой вероятно использование соответствующей налоговой льготы. </w:t>
      </w:r>
      <w:r w:rsidR="00595C5F" w:rsidRPr="006A4C42">
        <w:rPr>
          <w:rFonts w:cs="Arial"/>
          <w:lang w:val="ru-RU"/>
        </w:rPr>
        <w:t>Банк считает получение достаточной налогооблагаемой прибыли в обозримой перспективе маловероятным, а также не располагает возможностями налогового планирования, которые обеспечат получение налогооблагаемой прибыли в требуемых периодах согласно МСФО (</w:t>
      </w:r>
      <w:r w:rsidRPr="006A4C42">
        <w:rPr>
          <w:rFonts w:cs="Arial"/>
          <w:lang w:val="ru-RU"/>
        </w:rPr>
        <w:t xml:space="preserve">IAS) 12. </w:t>
      </w:r>
    </w:p>
    <w:p w:rsidR="00D71B06" w:rsidRPr="00DB0AC3" w:rsidRDefault="00D137C9" w:rsidP="00D71B06">
      <w:pPr>
        <w:pStyle w:val="ABC-paragrahinNotes"/>
        <w:spacing w:after="200" w:line="226" w:lineRule="auto"/>
        <w:rPr>
          <w:rFonts w:cs="Arial"/>
          <w:szCs w:val="24"/>
          <w:lang w:val="ru-RU"/>
        </w:rPr>
      </w:pPr>
      <w:r w:rsidRPr="00DB0AC3">
        <w:rPr>
          <w:rFonts w:cs="Arial"/>
          <w:b/>
          <w:i/>
          <w:szCs w:val="24"/>
          <w:lang w:val="ru-RU"/>
        </w:rPr>
        <w:t>Первоначальное признание операций со связанными сторонами.</w:t>
      </w:r>
      <w:r w:rsidRPr="00DB0AC3">
        <w:rPr>
          <w:rFonts w:cs="Arial"/>
          <w:szCs w:val="24"/>
          <w:lang w:val="ru-RU"/>
        </w:rPr>
        <w:t xml:space="preserve"> В ходе своей обычной деятельности Банк проводит операции со связанными сторонами. В соответствии с МСФО (IAS) 39, финансовые инструменты должны первоначально отражаться по справедливой стоимости. При отсутствии активного рынка для таких операций для того, чтобы определить, осуществлялись ли операции по рыночным или нерыночным процентным ставкам, используются профессиональные суждения. Основанием для суждения является ценообразование на аналогичные виды операций с несвязанными сторонами и анализ эффективной процентной ставки. Условия в отношении операций со связанными сторонами отражены в Примечании</w:t>
      </w:r>
      <w:r w:rsidR="00A91016">
        <w:rPr>
          <w:rFonts w:cs="Arial"/>
          <w:szCs w:val="24"/>
          <w:lang w:val="ru-RU"/>
        </w:rPr>
        <w:t>34</w:t>
      </w:r>
      <w:r w:rsidRPr="00DB0AC3">
        <w:rPr>
          <w:rFonts w:cs="Arial"/>
          <w:szCs w:val="24"/>
          <w:lang w:val="ru-RU"/>
        </w:rPr>
        <w:t>.</w:t>
      </w:r>
    </w:p>
    <w:p w:rsidR="00D71B06" w:rsidRPr="00DB0AC3" w:rsidRDefault="00D71B06" w:rsidP="00D71B06">
      <w:pPr>
        <w:pStyle w:val="ABC-paragrahinNotes"/>
        <w:rPr>
          <w:rFonts w:cs="Arial"/>
          <w:lang w:val="ru-RU"/>
        </w:rPr>
      </w:pPr>
      <w:r w:rsidRPr="00DB0AC3">
        <w:rPr>
          <w:rFonts w:cs="Arial"/>
          <w:lang w:val="ru-RU"/>
        </w:rPr>
        <w:t>Перечисленные ниже новые МСФО и интерпретации стали обязательными для Банка с 1 января 2014 года:</w:t>
      </w:r>
    </w:p>
    <w:p w:rsidR="00D71B06" w:rsidRPr="00DB0AC3" w:rsidRDefault="00D71B06" w:rsidP="00D71B06">
      <w:pPr>
        <w:autoSpaceDE w:val="0"/>
        <w:autoSpaceDN w:val="0"/>
        <w:adjustRightInd w:val="0"/>
        <w:spacing w:after="240"/>
        <w:jc w:val="both"/>
        <w:rPr>
          <w:rFonts w:cs="Arial"/>
          <w:color w:val="0000FF"/>
          <w:sz w:val="20"/>
          <w:lang w:val="ru-RU"/>
        </w:rPr>
      </w:pPr>
      <w:r w:rsidRPr="00DB0AC3">
        <w:rPr>
          <w:rFonts w:cs="Arial"/>
          <w:b/>
          <w:i/>
          <w:color w:val="000000"/>
          <w:sz w:val="20"/>
          <w:lang w:val="ru-RU"/>
        </w:rPr>
        <w:t>«Взаимозачет финансовых активов и финансовых обязательств» – Поправки к МСФО (</w:t>
      </w:r>
      <w:r w:rsidRPr="00DB0AC3">
        <w:rPr>
          <w:rFonts w:cs="Arial"/>
          <w:b/>
          <w:i/>
          <w:color w:val="000000"/>
          <w:sz w:val="20"/>
        </w:rPr>
        <w:t>IAS</w:t>
      </w:r>
      <w:r w:rsidRPr="00DB0AC3">
        <w:rPr>
          <w:rFonts w:cs="Arial"/>
          <w:b/>
          <w:i/>
          <w:color w:val="000000"/>
          <w:sz w:val="20"/>
          <w:lang w:val="ru-RU"/>
        </w:rPr>
        <w:t xml:space="preserve">) 32 (выпущены в декабре 2011 года и вступают в силу для годовых периодов, начинающихся 1 января 2014года или после этой даты). </w:t>
      </w:r>
      <w:r w:rsidRPr="00DB0AC3">
        <w:rPr>
          <w:rFonts w:cs="Arial"/>
          <w:color w:val="000000"/>
          <w:sz w:val="20"/>
          <w:lang w:val="ru-RU"/>
        </w:rPr>
        <w:t>Данная поправка вводит руководство по применению МСФО (</w:t>
      </w:r>
      <w:r w:rsidRPr="00DB0AC3">
        <w:rPr>
          <w:rFonts w:cs="Arial"/>
          <w:color w:val="000000"/>
          <w:sz w:val="20"/>
        </w:rPr>
        <w:t>IAS</w:t>
      </w:r>
      <w:r w:rsidRPr="00DB0AC3">
        <w:rPr>
          <w:rFonts w:cs="Arial"/>
          <w:color w:val="000000"/>
          <w:sz w:val="20"/>
          <w:lang w:val="ru-RU"/>
        </w:rPr>
        <w:t>) 32 с целью устранения противоречий, выявленных при применении некоторых критериев взаимозачета.</w:t>
      </w:r>
      <w:r w:rsidR="00FD1D5D" w:rsidRPr="00DB0AC3">
        <w:rPr>
          <w:rFonts w:cs="Arial"/>
          <w:color w:val="000000"/>
          <w:sz w:val="20"/>
          <w:lang w:val="ru-RU"/>
        </w:rPr>
        <w:t> </w:t>
      </w:r>
      <w:r w:rsidRPr="00DB0AC3">
        <w:rPr>
          <w:rFonts w:cs="Arial"/>
          <w:color w:val="000000"/>
          <w:sz w:val="20"/>
          <w:lang w:val="ru-RU"/>
        </w:rPr>
        <w:t xml:space="preserve">Это включает разъяснение значения выражения «в настоящее время имеет законодательно установленное право на зачет» и того, что некоторые системы с расчетом на нетто основе могут считаться эквивалентными системам с расчетом на валовой основе. Стандарт предоставил разъяснение о том, что рассматриваемое право на взаимозачет 1) не должно зависеть </w:t>
      </w:r>
      <w:r w:rsidRPr="00DB0AC3">
        <w:rPr>
          <w:rFonts w:cs="Arial"/>
          <w:color w:val="000000"/>
          <w:sz w:val="20"/>
          <w:lang w:val="ru-RU"/>
        </w:rPr>
        <w:lastRenderedPageBreak/>
        <w:t>от возможных будущих событий и 2) должно иметь юридическую возможность осуществления при следующих обстоятельствах: (а) в ходе осуществления обычной финансово-хозяйственной деятельности, (б) при невыполнении обязательства по платежам (событии дефолта) и (в) в случае несостоятельности или банкротства. Данные поправки</w:t>
      </w:r>
      <w:r w:rsidR="007A7C18">
        <w:rPr>
          <w:rFonts w:cs="Arial"/>
          <w:color w:val="000000"/>
          <w:sz w:val="20"/>
          <w:lang w:val="ru-RU"/>
        </w:rPr>
        <w:t xml:space="preserve"> </w:t>
      </w:r>
      <w:r w:rsidRPr="00DB0AC3">
        <w:rPr>
          <w:rFonts w:cs="Arial"/>
          <w:color w:val="000000"/>
          <w:sz w:val="20"/>
          <w:lang w:val="ru-RU"/>
        </w:rPr>
        <w:t xml:space="preserve">не повлияли на финансовую отчетность Банка. </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b/>
          <w:i/>
          <w:color w:val="000000"/>
          <w:sz w:val="20"/>
          <w:lang w:val="ru-RU"/>
        </w:rPr>
        <w:t>Поправки к МСФО (</w:t>
      </w:r>
      <w:r w:rsidRPr="00DB0AC3">
        <w:rPr>
          <w:rFonts w:cs="Arial"/>
          <w:b/>
          <w:i/>
          <w:color w:val="000000"/>
          <w:sz w:val="20"/>
        </w:rPr>
        <w:t>IFRS</w:t>
      </w:r>
      <w:r w:rsidRPr="00DB0AC3">
        <w:rPr>
          <w:rFonts w:cs="Arial"/>
          <w:b/>
          <w:i/>
          <w:color w:val="000000"/>
          <w:sz w:val="20"/>
          <w:lang w:val="ru-RU"/>
        </w:rPr>
        <w:t>) 10, МСФО (</w:t>
      </w:r>
      <w:r w:rsidRPr="00DB0AC3">
        <w:rPr>
          <w:rFonts w:cs="Arial"/>
          <w:b/>
          <w:i/>
          <w:color w:val="000000"/>
          <w:sz w:val="20"/>
        </w:rPr>
        <w:t>IFRS</w:t>
      </w:r>
      <w:r w:rsidRPr="00DB0AC3">
        <w:rPr>
          <w:rFonts w:cs="Arial"/>
          <w:b/>
          <w:i/>
          <w:color w:val="000000"/>
          <w:sz w:val="20"/>
          <w:lang w:val="ru-RU"/>
        </w:rPr>
        <w:t>) 12 и МСФО (</w:t>
      </w:r>
      <w:r w:rsidRPr="00DB0AC3">
        <w:rPr>
          <w:rFonts w:cs="Arial"/>
          <w:b/>
          <w:i/>
          <w:color w:val="000000"/>
          <w:sz w:val="20"/>
        </w:rPr>
        <w:t>IAS</w:t>
      </w:r>
      <w:r w:rsidRPr="00DB0AC3">
        <w:rPr>
          <w:rFonts w:cs="Arial"/>
          <w:b/>
          <w:i/>
          <w:color w:val="000000"/>
          <w:sz w:val="20"/>
          <w:lang w:val="ru-RU"/>
        </w:rPr>
        <w:t xml:space="preserve">) 27 – «Инвестиционные предприятия» (выпущены 31 октября 2012 года и вступают в силу для годовых периодов, начинающихся 1 января 2014 года). </w:t>
      </w:r>
      <w:r w:rsidRPr="00DB0AC3">
        <w:rPr>
          <w:rFonts w:cs="Arial"/>
          <w:color w:val="000000"/>
          <w:sz w:val="20"/>
          <w:lang w:val="ru-RU"/>
        </w:rPr>
        <w:t>Эта поправка вводит определение инвестиционного предприятия как предприятия, которое (</w:t>
      </w:r>
      <w:r w:rsidRPr="00DB0AC3">
        <w:rPr>
          <w:rFonts w:cs="Arial"/>
          <w:color w:val="000000"/>
          <w:sz w:val="20"/>
        </w:rPr>
        <w:t>i</w:t>
      </w:r>
      <w:r w:rsidRPr="00DB0AC3">
        <w:rPr>
          <w:rFonts w:cs="Arial"/>
          <w:color w:val="000000"/>
          <w:sz w:val="20"/>
          <w:lang w:val="ru-RU"/>
        </w:rPr>
        <w:t>) получает средства от инвесторов для цели предоставления им услуг по управлению инвестициями; (</w:t>
      </w:r>
      <w:r w:rsidRPr="00DB0AC3">
        <w:rPr>
          <w:rFonts w:cs="Arial"/>
          <w:color w:val="000000"/>
          <w:sz w:val="20"/>
        </w:rPr>
        <w:t>ii</w:t>
      </w:r>
      <w:r w:rsidRPr="00DB0AC3">
        <w:rPr>
          <w:rFonts w:cs="Arial"/>
          <w:color w:val="000000"/>
          <w:sz w:val="20"/>
          <w:lang w:val="ru-RU"/>
        </w:rPr>
        <w:t>) принимает на себя перед своими инвесторами обязательство в том, что целью ее бизнеса является инвестирование средств исключительно для получения дохода от прироста стоимости капитала или инвестиционного дохода; и (</w:t>
      </w:r>
      <w:r w:rsidRPr="00DB0AC3">
        <w:rPr>
          <w:rFonts w:cs="Arial"/>
          <w:color w:val="000000"/>
          <w:sz w:val="20"/>
        </w:rPr>
        <w:t>iii</w:t>
      </w:r>
      <w:r w:rsidRPr="00DB0AC3">
        <w:rPr>
          <w:rFonts w:cs="Arial"/>
          <w:color w:val="000000"/>
          <w:sz w:val="20"/>
          <w:lang w:val="ru-RU"/>
        </w:rPr>
        <w:t>) оценивает и определяет результаты деятельности по инвестициям на основе их справедливой стоимости. Инвестиционное предприятие должно будет учитывать свои дочерние предприятия по справедливой стоимости, изменения которой отражаются в составе прибыли или убытка, и консолидировать только те из них, которые предоставляют услуги, относящиеся к инвестиционной деятельности предприятия. В соответствии с пересмотренным МСФО (</w:t>
      </w:r>
      <w:r w:rsidRPr="00DB0AC3">
        <w:rPr>
          <w:rFonts w:cs="Arial"/>
          <w:color w:val="000000"/>
          <w:sz w:val="20"/>
        </w:rPr>
        <w:t>IFRS</w:t>
      </w:r>
      <w:r w:rsidRPr="00DB0AC3">
        <w:rPr>
          <w:rFonts w:cs="Arial"/>
          <w:color w:val="000000"/>
          <w:sz w:val="20"/>
          <w:lang w:val="ru-RU"/>
        </w:rPr>
        <w:t>) 12, требуется раскрывать дополнительную информацию, включая существенные суждения, которые используются, чтобы определить, является ли предприятие инвестиционным или нет. Кроме того, необходимо раскрывать информацию о финансовой или иной поддержке, оказываемой дочернему предприятию, не включенному в консолидированную финансовую отчетность, независимо от того, была ли эта поддержка уже предоставлена или только имеется намерение ее предоставить. Данные поправки</w:t>
      </w:r>
      <w:r w:rsidR="00B92214">
        <w:rPr>
          <w:rFonts w:cs="Arial"/>
          <w:color w:val="000000"/>
          <w:sz w:val="20"/>
          <w:lang w:val="ru-RU"/>
        </w:rPr>
        <w:t xml:space="preserve"> </w:t>
      </w:r>
      <w:r w:rsidRPr="00DB0AC3">
        <w:rPr>
          <w:rFonts w:cs="Arial"/>
          <w:color w:val="000000"/>
          <w:sz w:val="20"/>
          <w:lang w:val="ru-RU"/>
        </w:rPr>
        <w:t>не повлияли на финансовую отчетность Банка.</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b/>
          <w:i/>
          <w:color w:val="000000"/>
          <w:sz w:val="20"/>
          <w:lang w:val="ru-RU"/>
        </w:rPr>
        <w:t>Разъяснение КРМФО (</w:t>
      </w:r>
      <w:r w:rsidRPr="00DB0AC3">
        <w:rPr>
          <w:rFonts w:cs="Arial"/>
          <w:b/>
          <w:i/>
          <w:color w:val="000000"/>
          <w:sz w:val="20"/>
        </w:rPr>
        <w:t>IFRIC</w:t>
      </w:r>
      <w:r w:rsidRPr="00DB0AC3">
        <w:rPr>
          <w:rFonts w:cs="Arial"/>
          <w:b/>
          <w:i/>
          <w:color w:val="000000"/>
          <w:sz w:val="20"/>
          <w:lang w:val="ru-RU"/>
        </w:rPr>
        <w:t>) 21 – «Сборы» (выпущено 20 мая 2013 года и вступает в силу для годовых периодов, начинающихся 1 января 2014 года).</w:t>
      </w:r>
      <w:r w:rsidRPr="00DB0AC3">
        <w:rPr>
          <w:rFonts w:cs="Arial"/>
          <w:color w:val="000000"/>
          <w:sz w:val="20"/>
          <w:lang w:val="ru-RU"/>
        </w:rPr>
        <w:t xml:space="preserve"> Данное разъяснение объясняет порядок учета обязательств по выплате сборов, кроме налога на прибыль. Обязывающее событие, в результате которого появляется обязательство, представляет собой событие, которое определяется законодательством как приводящее к обязательству по уплате сбора. Тот факт, что предприятие в силу экономических причин будет продолжать деятельность в будущем периоде или что предприятие готовит финансовую отчетность на основе допущения о непрерывности деятельности предприятия, не приводит к возникновению обязательства. Для целей промежуточной и годовой финансовой отчетности применяются одни и те же принципы признания. Применение разъяснения к обязательствам, возникающим в связи с программами торговли квотами на выбросы, не является обязательным.</w:t>
      </w:r>
      <w:r w:rsidR="007A7C18">
        <w:rPr>
          <w:rFonts w:cs="Arial"/>
          <w:color w:val="000000"/>
          <w:sz w:val="20"/>
          <w:lang w:val="ru-RU"/>
        </w:rPr>
        <w:t xml:space="preserve"> </w:t>
      </w:r>
      <w:r w:rsidRPr="00DB0AC3">
        <w:rPr>
          <w:rFonts w:cs="Arial"/>
          <w:color w:val="000000"/>
          <w:sz w:val="20"/>
          <w:lang w:val="ru-RU"/>
        </w:rPr>
        <w:t>Данное</w:t>
      </w:r>
      <w:r w:rsidR="007A7C18">
        <w:rPr>
          <w:rFonts w:cs="Arial"/>
          <w:color w:val="000000"/>
          <w:sz w:val="20"/>
          <w:lang w:val="ru-RU"/>
        </w:rPr>
        <w:t xml:space="preserve"> </w:t>
      </w:r>
      <w:r w:rsidRPr="00DB0AC3">
        <w:rPr>
          <w:rFonts w:cs="Arial"/>
          <w:color w:val="000000"/>
          <w:sz w:val="20"/>
          <w:lang w:val="ru-RU"/>
        </w:rPr>
        <w:t>разъяснение</w:t>
      </w:r>
      <w:r w:rsidR="007A7C18">
        <w:rPr>
          <w:rFonts w:cs="Arial"/>
          <w:color w:val="000000"/>
          <w:sz w:val="20"/>
          <w:lang w:val="ru-RU"/>
        </w:rPr>
        <w:t xml:space="preserve"> </w:t>
      </w:r>
      <w:r w:rsidRPr="00DB0AC3">
        <w:rPr>
          <w:rFonts w:cs="Arial"/>
          <w:color w:val="000000"/>
          <w:sz w:val="20"/>
          <w:lang w:val="ru-RU"/>
        </w:rPr>
        <w:t>не повлияло на финансовую отчетность Банка.</w:t>
      </w:r>
    </w:p>
    <w:p w:rsidR="00D71B06" w:rsidRPr="00DB0AC3" w:rsidRDefault="00D71B06" w:rsidP="00D71B06">
      <w:pPr>
        <w:autoSpaceDE w:val="0"/>
        <w:autoSpaceDN w:val="0"/>
        <w:adjustRightInd w:val="0"/>
        <w:spacing w:after="240"/>
        <w:jc w:val="both"/>
        <w:rPr>
          <w:rFonts w:cs="Arial"/>
          <w:color w:val="000000" w:themeColor="text1"/>
          <w:sz w:val="20"/>
          <w:lang w:val="ru-RU"/>
        </w:rPr>
      </w:pPr>
      <w:r w:rsidRPr="00DB0AC3">
        <w:rPr>
          <w:rFonts w:cs="Arial"/>
          <w:b/>
          <w:i/>
          <w:color w:val="000000"/>
          <w:sz w:val="20"/>
          <w:lang w:val="ru-RU"/>
        </w:rPr>
        <w:t>Поправки к МСФО (</w:t>
      </w:r>
      <w:r w:rsidRPr="00DB0AC3">
        <w:rPr>
          <w:rFonts w:cs="Arial"/>
          <w:b/>
          <w:i/>
          <w:color w:val="000000"/>
          <w:sz w:val="20"/>
        </w:rPr>
        <w:t>IAS</w:t>
      </w:r>
      <w:r w:rsidRPr="00DB0AC3">
        <w:rPr>
          <w:rFonts w:cs="Arial"/>
          <w:b/>
          <w:i/>
          <w:color w:val="000000"/>
          <w:sz w:val="20"/>
          <w:lang w:val="ru-RU"/>
        </w:rPr>
        <w:t>) 36 – «Раскрытие информации о возмещаемой сумме для нефинансовых активов» (выпущены 29 мая 2013 года и вступают в силу для годовых периодов, начинающихся 1 января 2014 года; досрочное применение разрешается в случае, если МСФО (</w:t>
      </w:r>
      <w:r w:rsidRPr="00DB0AC3">
        <w:rPr>
          <w:rFonts w:cs="Arial"/>
          <w:b/>
          <w:i/>
          <w:color w:val="000000"/>
          <w:sz w:val="20"/>
        </w:rPr>
        <w:t>IFRS</w:t>
      </w:r>
      <w:r w:rsidRPr="00DB0AC3">
        <w:rPr>
          <w:rFonts w:cs="Arial"/>
          <w:b/>
          <w:i/>
          <w:color w:val="000000"/>
          <w:sz w:val="20"/>
          <w:lang w:val="ru-RU"/>
        </w:rPr>
        <w:t>) 13 применяется в отношении того же учетного и сравнительного периода).</w:t>
      </w:r>
      <w:r w:rsidRPr="00DB0AC3">
        <w:rPr>
          <w:rFonts w:cs="Arial"/>
          <w:color w:val="000000"/>
          <w:sz w:val="20"/>
          <w:lang w:val="ru-RU"/>
        </w:rPr>
        <w:t xml:space="preserve"> Данные поправки отменяют требование о раскрытии информации о возмещаемой стоимости, если единица, генерирующая денежные средства, включает гудвил или нематериальные активы с неопределенным сроком полезного использования, и при этом отсутствует обесценение. Данные поправки не повлияли на финансовую</w:t>
      </w:r>
      <w:r w:rsidR="007A7C18">
        <w:rPr>
          <w:rFonts w:cs="Arial"/>
          <w:color w:val="000000"/>
          <w:sz w:val="20"/>
          <w:lang w:val="ru-RU"/>
        </w:rPr>
        <w:t xml:space="preserve"> </w:t>
      </w:r>
      <w:r w:rsidRPr="00DB0AC3">
        <w:rPr>
          <w:rFonts w:cs="Arial"/>
          <w:color w:val="000000"/>
          <w:sz w:val="20"/>
          <w:lang w:val="ru-RU"/>
        </w:rPr>
        <w:t>отчетность</w:t>
      </w:r>
      <w:r w:rsidR="00AD3AD6">
        <w:rPr>
          <w:rFonts w:cs="Arial"/>
          <w:color w:val="000000"/>
          <w:sz w:val="20"/>
          <w:lang w:val="ru-RU"/>
        </w:rPr>
        <w:t xml:space="preserve"> </w:t>
      </w:r>
      <w:r w:rsidRPr="00DB0AC3">
        <w:rPr>
          <w:rFonts w:cs="Arial"/>
          <w:color w:val="000000" w:themeColor="text1"/>
          <w:sz w:val="20"/>
          <w:lang w:val="ru-RU"/>
        </w:rPr>
        <w:t>Банка.</w:t>
      </w:r>
    </w:p>
    <w:p w:rsidR="00D71B06" w:rsidRPr="00A91016" w:rsidRDefault="00D71B06" w:rsidP="00AA7529">
      <w:pPr>
        <w:tabs>
          <w:tab w:val="left" w:pos="4111"/>
        </w:tabs>
        <w:autoSpaceDE w:val="0"/>
        <w:autoSpaceDN w:val="0"/>
        <w:adjustRightInd w:val="0"/>
        <w:spacing w:after="480"/>
        <w:jc w:val="both"/>
        <w:rPr>
          <w:rFonts w:cs="Arial"/>
          <w:sz w:val="20"/>
          <w:lang w:val="ru-RU"/>
        </w:rPr>
      </w:pPr>
      <w:r w:rsidRPr="00DB0AC3">
        <w:rPr>
          <w:rFonts w:cs="Arial"/>
          <w:b/>
          <w:i/>
          <w:color w:val="000000"/>
          <w:sz w:val="20"/>
          <w:lang w:val="ru-RU"/>
        </w:rPr>
        <w:t>Поправки к МСФО (</w:t>
      </w:r>
      <w:r w:rsidRPr="00DB0AC3">
        <w:rPr>
          <w:rFonts w:cs="Arial"/>
          <w:b/>
          <w:i/>
          <w:color w:val="000000"/>
          <w:sz w:val="20"/>
        </w:rPr>
        <w:t>IAS</w:t>
      </w:r>
      <w:r w:rsidRPr="00DB0AC3">
        <w:rPr>
          <w:rFonts w:cs="Arial"/>
          <w:b/>
          <w:i/>
          <w:color w:val="000000"/>
          <w:sz w:val="20"/>
          <w:lang w:val="ru-RU"/>
        </w:rPr>
        <w:t>) 39 – «Новация производных инструментов и продолжение учета хеджирования» (выпущены  27 июня 2013 года и вступают силу для годовых периодов, начинающихся 1 января 2014 года).</w:t>
      </w:r>
      <w:r w:rsidRPr="00DB0AC3">
        <w:rPr>
          <w:rFonts w:cs="Arial"/>
          <w:sz w:val="20"/>
          <w:lang w:val="ru-RU"/>
        </w:rPr>
        <w:t xml:space="preserve"> Данные поправки разрешают продолжать учет хеджирования в ситуации, когда производный инструмент, определенный в качестве инструмента хеджирования, обновляется (т.е. стороны договариваются о замене первоначального контрагента на нового) для осуществления клиринга с центральным контрагентом в соответствии с законодательством или нормативным актом при соблюдении специальных условий.</w:t>
      </w:r>
      <w:r w:rsidR="007A7C18">
        <w:rPr>
          <w:rFonts w:cs="Arial"/>
          <w:sz w:val="20"/>
          <w:lang w:val="ru-RU"/>
        </w:rPr>
        <w:t xml:space="preserve"> </w:t>
      </w:r>
      <w:r w:rsidRPr="00DB0AC3">
        <w:rPr>
          <w:rFonts w:cs="Arial"/>
          <w:color w:val="000000"/>
          <w:sz w:val="20"/>
          <w:lang w:val="ru-RU"/>
        </w:rPr>
        <w:t xml:space="preserve">Данные поправки не повлияли на </w:t>
      </w:r>
      <w:r w:rsidR="00AA7529">
        <w:rPr>
          <w:rFonts w:cs="Arial"/>
          <w:color w:val="000000"/>
          <w:sz w:val="20"/>
          <w:lang w:val="ru-RU"/>
        </w:rPr>
        <w:t>финансовую отчетность Банка.</w:t>
      </w:r>
      <w:r w:rsidR="00B92214">
        <w:rPr>
          <w:rFonts w:cs="Arial"/>
          <w:color w:val="000000"/>
          <w:sz w:val="20"/>
          <w:lang w:val="ru-RU"/>
        </w:rPr>
        <w:t xml:space="preserve"> </w:t>
      </w:r>
      <w:r w:rsidR="006758E8" w:rsidRPr="006758E8">
        <w:rPr>
          <w:rFonts w:cs="Arial"/>
          <w:sz w:val="20"/>
          <w:lang w:val="ru-RU"/>
        </w:rPr>
        <w:t xml:space="preserve">Опубликован ряд новых стандартов и разъяснений, которые являются обязательными для годовых периодов, начинающихся 1 января 2015 года или после этой даты, и которые Банк еще не принял досрочно: </w:t>
      </w:r>
    </w:p>
    <w:p w:rsidR="00D71B06" w:rsidRPr="00DB0AC3" w:rsidRDefault="00D71B06" w:rsidP="00D71B06">
      <w:pPr>
        <w:pStyle w:val="ABC-paragrahinNotes"/>
        <w:rPr>
          <w:rFonts w:cs="Arial"/>
          <w:color w:val="000000"/>
          <w:lang w:val="ru-RU"/>
        </w:rPr>
      </w:pPr>
      <w:r w:rsidRPr="00DB0AC3">
        <w:rPr>
          <w:rFonts w:cs="Arial"/>
          <w:b/>
          <w:i/>
          <w:color w:val="000000"/>
          <w:lang w:val="ru-RU"/>
        </w:rPr>
        <w:lastRenderedPageBreak/>
        <w:t>МСФО (</w:t>
      </w:r>
      <w:r w:rsidRPr="00DB0AC3">
        <w:rPr>
          <w:rFonts w:cs="Arial"/>
          <w:b/>
          <w:i/>
          <w:color w:val="000000"/>
        </w:rPr>
        <w:t>IFRS</w:t>
      </w:r>
      <w:r w:rsidRPr="00DB0AC3">
        <w:rPr>
          <w:rFonts w:cs="Arial"/>
          <w:b/>
          <w:i/>
          <w:color w:val="000000"/>
          <w:lang w:val="ru-RU"/>
        </w:rPr>
        <w:t>) 9 «Финансовые инструменты: Классификация и оценка» (</w:t>
      </w:r>
      <w:r w:rsidRPr="00DB0AC3">
        <w:rPr>
          <w:rFonts w:cs="Arial"/>
          <w:b/>
          <w:i/>
          <w:color w:val="000000"/>
          <w:lang w:val="en-US"/>
        </w:rPr>
        <w:t>c</w:t>
      </w:r>
      <w:r w:rsidRPr="00DB0AC3">
        <w:rPr>
          <w:rFonts w:cs="Arial"/>
          <w:b/>
          <w:i/>
          <w:color w:val="000000"/>
          <w:lang w:val="ru-RU"/>
        </w:rPr>
        <w:t xml:space="preserve"> изменениями, внесенными в июле 2014 года, вступает в силу для годовых периодов, начинающихся 1</w:t>
      </w:r>
      <w:r w:rsidRPr="00DB0AC3">
        <w:rPr>
          <w:rFonts w:cs="Arial"/>
          <w:b/>
          <w:i/>
          <w:color w:val="000000"/>
        </w:rPr>
        <w:t> </w:t>
      </w:r>
      <w:r w:rsidRPr="00DB0AC3">
        <w:rPr>
          <w:rFonts w:cs="Arial"/>
          <w:b/>
          <w:i/>
          <w:color w:val="000000"/>
          <w:lang w:val="ru-RU"/>
        </w:rPr>
        <w:t xml:space="preserve">января 2018 года или после этой даты). </w:t>
      </w:r>
      <w:r w:rsidRPr="00DB0AC3">
        <w:rPr>
          <w:rFonts w:cs="Arial"/>
          <w:color w:val="000000"/>
          <w:lang w:val="ru-RU"/>
        </w:rPr>
        <w:t>Основные отличия этого стандарта заключаются в следующем:</w:t>
      </w:r>
    </w:p>
    <w:p w:rsidR="00D71B06" w:rsidRPr="00DB0AC3" w:rsidRDefault="00D71B06" w:rsidP="00092FBA">
      <w:pPr>
        <w:pStyle w:val="afa"/>
        <w:numPr>
          <w:ilvl w:val="0"/>
          <w:numId w:val="19"/>
        </w:numPr>
        <w:spacing w:after="120"/>
        <w:ind w:left="567" w:hanging="567"/>
        <w:contextualSpacing w:val="0"/>
        <w:jc w:val="both"/>
        <w:rPr>
          <w:rFonts w:cs="Arial"/>
          <w:lang w:val="ru-RU"/>
        </w:rPr>
      </w:pPr>
      <w:r w:rsidRPr="00DB0AC3">
        <w:rPr>
          <w:rFonts w:cs="Arial"/>
          <w:sz w:val="20"/>
          <w:lang w:val="ru-RU"/>
        </w:rPr>
        <w:t xml:space="preserve">Финансовые активы должны классифицироваться по трем категориям оценки: оцениваемые впоследствии по амортизированной стоимости, оцениваемые впоследствии по справедливой стоимости, изменения которой отражаются в составе прочего совокупного дохода, и оцениваемые по справедливой стоимости, изменения которой отражаются в составе прибыли или убытка. </w:t>
      </w:r>
    </w:p>
    <w:p w:rsidR="00D71B06" w:rsidRPr="00DB0AC3" w:rsidRDefault="00D71B06" w:rsidP="00092FBA">
      <w:pPr>
        <w:pStyle w:val="afa"/>
        <w:numPr>
          <w:ilvl w:val="0"/>
          <w:numId w:val="19"/>
        </w:numPr>
        <w:spacing w:after="120"/>
        <w:ind w:left="567" w:hanging="567"/>
        <w:contextualSpacing w:val="0"/>
        <w:jc w:val="both"/>
        <w:rPr>
          <w:rFonts w:cs="Arial"/>
          <w:sz w:val="20"/>
          <w:lang w:val="ru-RU"/>
        </w:rPr>
      </w:pPr>
      <w:r w:rsidRPr="00DB0AC3">
        <w:rPr>
          <w:rFonts w:cs="Arial"/>
          <w:sz w:val="20"/>
          <w:lang w:val="ru-RU"/>
        </w:rPr>
        <w:t>Классификация зависит от бизнес-модели управления финансовыми активами предприятия и от того, включают ли предусмотренные договором потоки денежных средств исключительно выплаты основной суммы и процентов. Если долговой инструмент удерживается для получения средств, то он может учитываться по амортизированной стоимости, если он при этом соответствует также требованию о выплате исключительно основной суммы и процентов. Долговые инструменты, отвечающие требованию о выплате исключительно основной суммы и процентов, удерживаемые в портфеле, когда предприятие одновременно удерживает потоки денежных средств активов и продает активы, могут быть отнесены к категории отражаемых по справедливой стоимости, изменения которой отражаются в составе прочего совокупного дохода.</w:t>
      </w:r>
      <w:r w:rsidR="00AD3AD6">
        <w:rPr>
          <w:rFonts w:cs="Arial"/>
          <w:sz w:val="20"/>
          <w:lang w:val="ru-RU"/>
        </w:rPr>
        <w:t xml:space="preserve"> </w:t>
      </w:r>
      <w:r w:rsidRPr="00DB0AC3">
        <w:rPr>
          <w:rFonts w:cs="Arial"/>
          <w:sz w:val="20"/>
          <w:lang w:val="ru-RU"/>
        </w:rPr>
        <w:t>Финансовые активы, которые не содержат потоки денежных средств, отвечающие требованию о выплате исключительно основной суммы и процентов, должны оцениваться по справедливой стоимости, изменения которой отражаются в составе прибыли или убытка (например, производные инструменты). Встроенные производные инструменты не отделяются от финансовых активов, а включаются в их состав при оценке соблюдения условия выплаты исключительно основной суммы и процентов.</w:t>
      </w:r>
    </w:p>
    <w:p w:rsidR="00D71B06" w:rsidRPr="00DB0AC3" w:rsidRDefault="00D71B06" w:rsidP="00092FBA">
      <w:pPr>
        <w:pStyle w:val="afa"/>
        <w:numPr>
          <w:ilvl w:val="1"/>
          <w:numId w:val="20"/>
        </w:numPr>
        <w:spacing w:after="120"/>
        <w:ind w:left="567" w:hanging="567"/>
        <w:contextualSpacing w:val="0"/>
        <w:jc w:val="both"/>
        <w:rPr>
          <w:rFonts w:cs="Arial"/>
          <w:lang w:val="ru-RU"/>
        </w:rPr>
      </w:pPr>
      <w:r w:rsidRPr="00DB0AC3">
        <w:rPr>
          <w:rFonts w:cs="Arial"/>
          <w:sz w:val="20"/>
          <w:lang w:val="ru-RU"/>
        </w:rPr>
        <w:t>Инвестиции в долевые инструменты всегда оцениваются по справедливой стоимости. Однако руководство может принять окончательное решение об отражении изменений справедливой стоимости в составе прочего совокупного дохода, если рассматриваемый инструмент не относится к категории «предназначенных для торговли». Если же долевой инструмент относится к категории «предназначенных для торговли», то изменения в справедливой стоимости представляются в составе прибыли или убытка.</w:t>
      </w:r>
    </w:p>
    <w:p w:rsidR="00D71B06" w:rsidRPr="00DB0AC3" w:rsidRDefault="00D71B06" w:rsidP="00092FBA">
      <w:pPr>
        <w:pStyle w:val="afa"/>
        <w:numPr>
          <w:ilvl w:val="0"/>
          <w:numId w:val="20"/>
        </w:numPr>
        <w:spacing w:after="120"/>
        <w:ind w:left="567" w:hanging="567"/>
        <w:contextualSpacing w:val="0"/>
        <w:jc w:val="both"/>
        <w:rPr>
          <w:rFonts w:cs="Arial"/>
          <w:lang w:val="ru-RU"/>
        </w:rPr>
      </w:pPr>
      <w:r w:rsidRPr="00DB0AC3">
        <w:rPr>
          <w:rFonts w:cs="Arial"/>
          <w:sz w:val="20"/>
          <w:lang w:val="ru-RU"/>
        </w:rPr>
        <w:t>Большинство требований МСФО (</w:t>
      </w:r>
      <w:r w:rsidRPr="00DB0AC3">
        <w:rPr>
          <w:rFonts w:cs="Arial"/>
          <w:sz w:val="20"/>
        </w:rPr>
        <w:t>IAS</w:t>
      </w:r>
      <w:r w:rsidRPr="00DB0AC3">
        <w:rPr>
          <w:rFonts w:cs="Arial"/>
          <w:sz w:val="20"/>
          <w:lang w:val="ru-RU"/>
        </w:rPr>
        <w:t>) 39 в отношении классификации и оценки финансовых обязательств были перенесены в МСФО (</w:t>
      </w:r>
      <w:r w:rsidRPr="00DB0AC3">
        <w:rPr>
          <w:rFonts w:cs="Arial"/>
          <w:sz w:val="20"/>
        </w:rPr>
        <w:t>IFRS</w:t>
      </w:r>
      <w:r w:rsidRPr="00DB0AC3">
        <w:rPr>
          <w:rFonts w:cs="Arial"/>
          <w:sz w:val="20"/>
          <w:lang w:val="ru-RU"/>
        </w:rPr>
        <w:t xml:space="preserve">) 9 без изменений. Основным отличием является требование к предприятию раскрывать эффект изменений собственного кредитного риска финансовых обязательств, отнесенных к категории оцениваемых по справедливой стоимости, изменения которой отражаются в составе прибыли или убытка, в составе прочего совокупного дохода. </w:t>
      </w:r>
    </w:p>
    <w:p w:rsidR="00D71B06" w:rsidRPr="00DB0AC3" w:rsidRDefault="00D71B06" w:rsidP="00092FBA">
      <w:pPr>
        <w:pStyle w:val="afa"/>
        <w:numPr>
          <w:ilvl w:val="0"/>
          <w:numId w:val="20"/>
        </w:numPr>
        <w:spacing w:after="120"/>
        <w:ind w:left="567" w:hanging="567"/>
        <w:contextualSpacing w:val="0"/>
        <w:jc w:val="both"/>
        <w:rPr>
          <w:rFonts w:cs="Arial"/>
          <w:lang w:val="ru-RU"/>
        </w:rPr>
      </w:pPr>
      <w:r w:rsidRPr="00DB0AC3">
        <w:rPr>
          <w:rFonts w:cs="Arial"/>
          <w:sz w:val="20"/>
          <w:lang w:val="ru-RU"/>
        </w:rPr>
        <w:t>МСФО (</w:t>
      </w:r>
      <w:r w:rsidRPr="00DB0AC3">
        <w:rPr>
          <w:rFonts w:cs="Arial"/>
          <w:sz w:val="20"/>
        </w:rPr>
        <w:t>IFRS</w:t>
      </w:r>
      <w:r w:rsidRPr="00DB0AC3">
        <w:rPr>
          <w:rFonts w:cs="Arial"/>
          <w:sz w:val="20"/>
          <w:lang w:val="ru-RU"/>
        </w:rPr>
        <w:t>) 9 вводит новую модель признания убытков от обесценения: модель ожидаемых кредитных убытков. Модель предусматривает «трехэтапный» подход, основанный на изменении кредитного качества финансовых активов с момента их первоначального признания. На практике эти новые правила означают, что предприятия должны будут учитывать мгновенные убытки, равные ожидаемым кредитным убыткам за 12 месяцев, при первоначальном признании финансовых активов, которые не являются обесцененными кредитными активами (или ожидаемым кредитным убыткам за весь срок действия для торговой дебиторской задолженности). В тех случаях, когда имело место значительное увеличение кредитного риска, обесценение оценивается с использованием кредитных убытков за весь срок действия кредита, а не кредитным убыткам за 12 месяцев. Модель предусматривает операционные упрощения для аренды и торговой дебиторской задолженности.</w:t>
      </w:r>
    </w:p>
    <w:p w:rsidR="00D71B06" w:rsidRPr="00DB0AC3" w:rsidRDefault="00D71B06" w:rsidP="00092FBA">
      <w:pPr>
        <w:pStyle w:val="afa"/>
        <w:numPr>
          <w:ilvl w:val="0"/>
          <w:numId w:val="20"/>
        </w:numPr>
        <w:spacing w:after="240"/>
        <w:ind w:left="567" w:hanging="567"/>
        <w:jc w:val="both"/>
        <w:rPr>
          <w:rFonts w:cs="Arial"/>
          <w:lang w:val="ru-RU"/>
        </w:rPr>
      </w:pPr>
      <w:r w:rsidRPr="00DB0AC3">
        <w:rPr>
          <w:rFonts w:cs="Arial"/>
          <w:sz w:val="20"/>
          <w:lang w:val="ru-RU"/>
        </w:rPr>
        <w:t>Пересмотренные требования к учету при хеджировании обеспечивают более тесную связь учета с управлением рисками. Данный стандарт предоставляет предприятиям возможность выбора учетной политики: они могут применять учет хеджирования в соответствии с МСФО (</w:t>
      </w:r>
      <w:r w:rsidRPr="00DB0AC3">
        <w:rPr>
          <w:rFonts w:cs="Arial"/>
          <w:sz w:val="20"/>
        </w:rPr>
        <w:t>IFRS</w:t>
      </w:r>
      <w:r w:rsidRPr="00DB0AC3">
        <w:rPr>
          <w:rFonts w:cs="Arial"/>
          <w:sz w:val="20"/>
          <w:lang w:val="ru-RU"/>
        </w:rPr>
        <w:t>) 9 или продолжать применять ко всем отношениям хеджирования МСФО (</w:t>
      </w:r>
      <w:r w:rsidRPr="00DB0AC3">
        <w:rPr>
          <w:rFonts w:cs="Arial"/>
          <w:sz w:val="20"/>
        </w:rPr>
        <w:t>IAS</w:t>
      </w:r>
      <w:r w:rsidRPr="00DB0AC3">
        <w:rPr>
          <w:rFonts w:cs="Arial"/>
          <w:sz w:val="20"/>
          <w:lang w:val="ru-RU"/>
        </w:rPr>
        <w:t>) 39, так как в стандарте не рассматривается учет при макрохеджировании.</w:t>
      </w:r>
    </w:p>
    <w:p w:rsidR="00D71B06" w:rsidRPr="00DB0AC3" w:rsidRDefault="00D71B06" w:rsidP="00D71B06">
      <w:pPr>
        <w:spacing w:after="240"/>
        <w:jc w:val="both"/>
        <w:rPr>
          <w:rFonts w:cs="Arial"/>
          <w:color w:val="000000" w:themeColor="text1"/>
          <w:sz w:val="20"/>
          <w:lang w:val="ru-RU"/>
        </w:rPr>
      </w:pPr>
      <w:r w:rsidRPr="00DB0AC3">
        <w:rPr>
          <w:rFonts w:cs="Arial"/>
          <w:color w:val="000000" w:themeColor="text1"/>
          <w:sz w:val="20"/>
          <w:lang w:val="ru-RU"/>
        </w:rPr>
        <w:t>В настоящее время Банк проводит оценку того, как данный новый стандарт повлияет на финансовую отчетность.</w:t>
      </w:r>
    </w:p>
    <w:p w:rsidR="00D71B06" w:rsidRPr="00DB0AC3" w:rsidRDefault="00D71B06" w:rsidP="00D71B06">
      <w:pPr>
        <w:autoSpaceDE w:val="0"/>
        <w:autoSpaceDN w:val="0"/>
        <w:adjustRightInd w:val="0"/>
        <w:spacing w:after="240" w:line="228" w:lineRule="auto"/>
        <w:jc w:val="both"/>
        <w:rPr>
          <w:rFonts w:cs="Arial"/>
          <w:color w:val="000000" w:themeColor="text1"/>
          <w:sz w:val="20"/>
          <w:lang w:val="ru-RU"/>
        </w:rPr>
      </w:pPr>
      <w:r w:rsidRPr="00DB0AC3">
        <w:rPr>
          <w:rFonts w:cs="Arial"/>
          <w:b/>
          <w:i/>
          <w:color w:val="000000"/>
          <w:sz w:val="20"/>
          <w:lang w:val="ru-RU"/>
        </w:rPr>
        <w:lastRenderedPageBreak/>
        <w:t>Поправки к МСФО (</w:t>
      </w:r>
      <w:r w:rsidRPr="00DB0AC3">
        <w:rPr>
          <w:rFonts w:cs="Arial"/>
          <w:b/>
          <w:i/>
          <w:color w:val="000000"/>
          <w:sz w:val="20"/>
        </w:rPr>
        <w:t>IAS</w:t>
      </w:r>
      <w:r w:rsidRPr="00DB0AC3">
        <w:rPr>
          <w:rFonts w:cs="Arial"/>
          <w:b/>
          <w:i/>
          <w:color w:val="000000"/>
          <w:sz w:val="20"/>
          <w:lang w:val="ru-RU"/>
        </w:rPr>
        <w:t>) 19 – «Пенсионные планы с установленными выплатами: взносы работников» (выпущены в ноябре 2013 года и вступают в силу для годовых периодов, начинающихся 1 июля 2014 года).</w:t>
      </w:r>
      <w:r w:rsidRPr="00DB0AC3">
        <w:rPr>
          <w:rFonts w:cs="Arial"/>
          <w:sz w:val="20"/>
          <w:lang w:val="ru-RU"/>
        </w:rPr>
        <w:t xml:space="preserve"> Данная поправка разрешает предприятиям признавать взносы работников как уменьшение стоимости услуг в том периоде, в котором соответствующие услуги работников были оказаны, а не распределять эти взносы по периодам оказания услуг, если сумма взносов работников не зависит от продолжительности трудового стажа.</w:t>
      </w:r>
      <w:r w:rsidR="007A7C18">
        <w:rPr>
          <w:rFonts w:cs="Arial"/>
          <w:sz w:val="20"/>
          <w:lang w:val="ru-RU"/>
        </w:rPr>
        <w:t xml:space="preserve"> </w:t>
      </w:r>
      <w:r w:rsidRPr="00DB0AC3">
        <w:rPr>
          <w:rFonts w:cs="Arial"/>
          <w:color w:val="000000" w:themeColor="text1"/>
          <w:sz w:val="20"/>
          <w:lang w:val="ru-RU"/>
        </w:rPr>
        <w:t>Банк не предполагает, что данная поправка существенно повлияет на</w:t>
      </w:r>
      <w:r w:rsidR="00A91016">
        <w:rPr>
          <w:rFonts w:cs="Arial"/>
          <w:color w:val="000000" w:themeColor="text1"/>
          <w:sz w:val="20"/>
          <w:lang w:val="ru-RU"/>
        </w:rPr>
        <w:t xml:space="preserve"> его </w:t>
      </w:r>
      <w:r w:rsidRPr="00DB0AC3">
        <w:rPr>
          <w:rFonts w:cs="Arial"/>
          <w:color w:val="000000" w:themeColor="text1"/>
          <w:sz w:val="20"/>
          <w:lang w:val="ru-RU"/>
        </w:rPr>
        <w:t xml:space="preserve">финансовую отчетность </w:t>
      </w:r>
    </w:p>
    <w:p w:rsidR="00D71B06" w:rsidRPr="00DB0AC3" w:rsidRDefault="00D71B06" w:rsidP="00D71B06">
      <w:pPr>
        <w:autoSpaceDE w:val="0"/>
        <w:autoSpaceDN w:val="0"/>
        <w:adjustRightInd w:val="0"/>
        <w:spacing w:after="240" w:line="228" w:lineRule="auto"/>
        <w:jc w:val="both"/>
        <w:rPr>
          <w:rFonts w:cs="Arial"/>
          <w:color w:val="000000"/>
          <w:sz w:val="20"/>
          <w:lang w:val="ru-RU"/>
        </w:rPr>
      </w:pPr>
      <w:r w:rsidRPr="00DB0AC3">
        <w:rPr>
          <w:rFonts w:cs="Arial"/>
          <w:b/>
          <w:bCs/>
          <w:i/>
          <w:iCs/>
          <w:color w:val="000000"/>
          <w:sz w:val="20"/>
          <w:lang w:val="ru-RU"/>
        </w:rPr>
        <w:t xml:space="preserve">Ежегодные усовершенствования </w:t>
      </w:r>
      <w:r w:rsidRPr="00DB0AC3">
        <w:rPr>
          <w:rFonts w:cs="Arial"/>
          <w:b/>
          <w:i/>
          <w:color w:val="000000"/>
          <w:sz w:val="20"/>
          <w:lang w:val="ru-RU"/>
        </w:rPr>
        <w:t>МСФО</w:t>
      </w:r>
      <w:r w:rsidRPr="00DB0AC3">
        <w:rPr>
          <w:rFonts w:cs="Arial"/>
          <w:b/>
          <w:bCs/>
          <w:i/>
          <w:iCs/>
          <w:color w:val="000000"/>
          <w:sz w:val="20"/>
          <w:lang w:val="ru-RU"/>
        </w:rPr>
        <w:t>, 2012 г. (выпущены в декабре 2013 года и вступают в силу для годовых периодов, начинающихся 1 июля 2014</w:t>
      </w:r>
      <w:r w:rsidRPr="00DB0AC3">
        <w:rPr>
          <w:rFonts w:cs="Arial"/>
          <w:b/>
          <w:bCs/>
          <w:i/>
          <w:iCs/>
          <w:color w:val="000000"/>
          <w:sz w:val="20"/>
        </w:rPr>
        <w:t> </w:t>
      </w:r>
      <w:r w:rsidRPr="00DB0AC3">
        <w:rPr>
          <w:rFonts w:cs="Arial"/>
          <w:b/>
          <w:bCs/>
          <w:i/>
          <w:iCs/>
          <w:color w:val="000000"/>
          <w:sz w:val="20"/>
          <w:lang w:val="ru-RU"/>
        </w:rPr>
        <w:t>года или после этой даты, если не указано иное</w:t>
      </w:r>
      <w:r w:rsidRPr="00DB0AC3">
        <w:rPr>
          <w:rFonts w:cs="Arial"/>
          <w:color w:val="000000"/>
          <w:sz w:val="20"/>
          <w:lang w:val="ru-RU"/>
        </w:rPr>
        <w:t xml:space="preserve">). Усовершенствования представляют собой изменения в семи стандартах. </w:t>
      </w:r>
    </w:p>
    <w:p w:rsidR="00D71B06" w:rsidRPr="00DB0AC3" w:rsidRDefault="00D71B06" w:rsidP="00D71B06">
      <w:pPr>
        <w:autoSpaceDE w:val="0"/>
        <w:autoSpaceDN w:val="0"/>
        <w:adjustRightInd w:val="0"/>
        <w:spacing w:after="240" w:line="228" w:lineRule="auto"/>
        <w:jc w:val="both"/>
        <w:rPr>
          <w:rFonts w:cs="Arial"/>
          <w:color w:val="000000"/>
          <w:sz w:val="20"/>
          <w:lang w:val="ru-RU"/>
        </w:rPr>
      </w:pPr>
      <w:r w:rsidRPr="00DB0AC3">
        <w:rPr>
          <w:rFonts w:cs="Arial"/>
          <w:color w:val="000000"/>
          <w:sz w:val="20"/>
          <w:lang w:val="ru-RU"/>
        </w:rPr>
        <w:t>Пересмотренный МСФО (</w:t>
      </w:r>
      <w:r w:rsidRPr="00DB0AC3">
        <w:rPr>
          <w:rFonts w:cs="Arial"/>
          <w:color w:val="000000"/>
          <w:sz w:val="20"/>
        </w:rPr>
        <w:t>IFRS</w:t>
      </w:r>
      <w:r w:rsidRPr="00DB0AC3">
        <w:rPr>
          <w:rFonts w:cs="Arial"/>
          <w:color w:val="000000"/>
          <w:sz w:val="20"/>
          <w:lang w:val="ru-RU"/>
        </w:rPr>
        <w:t>) 2 уточняет определение «условия перехода» и вводит отдельные определения для «условия деятельности» и «условия срока службы»; Поправка вступает в силу для операций с платежами, основанными на акциях, для которых дата предоставления приходится на 1 июля 2014 г. или более позднюю дату.</w:t>
      </w:r>
    </w:p>
    <w:p w:rsidR="00D71B06" w:rsidRPr="00DB0AC3" w:rsidRDefault="00D71B06" w:rsidP="00D71B06">
      <w:pPr>
        <w:autoSpaceDE w:val="0"/>
        <w:autoSpaceDN w:val="0"/>
        <w:adjustRightInd w:val="0"/>
        <w:spacing w:after="240" w:line="228" w:lineRule="auto"/>
        <w:jc w:val="both"/>
        <w:rPr>
          <w:rFonts w:cs="Arial"/>
          <w:color w:val="000000"/>
          <w:sz w:val="20"/>
          <w:lang w:val="ru-RU"/>
        </w:rPr>
      </w:pPr>
      <w:r w:rsidRPr="00DB0AC3">
        <w:rPr>
          <w:rFonts w:cs="Arial"/>
          <w:color w:val="000000"/>
          <w:sz w:val="20"/>
          <w:lang w:val="ru-RU"/>
        </w:rPr>
        <w:t>Пересмотренный МСФО (</w:t>
      </w:r>
      <w:r w:rsidRPr="00DB0AC3">
        <w:rPr>
          <w:rFonts w:cs="Arial"/>
          <w:color w:val="000000"/>
          <w:sz w:val="20"/>
        </w:rPr>
        <w:t>IFRS</w:t>
      </w:r>
      <w:r w:rsidRPr="00DB0AC3">
        <w:rPr>
          <w:rFonts w:cs="Arial"/>
          <w:color w:val="000000"/>
          <w:sz w:val="20"/>
          <w:lang w:val="ru-RU"/>
        </w:rPr>
        <w:t>) 3 уточняет, что (1) обязательство по выплате условного возмещения, отвечающее определению финансового инструмента, классифицируется как финансовое обязательство или как капитал на основании определений МСФО (</w:t>
      </w:r>
      <w:r w:rsidRPr="00DB0AC3">
        <w:rPr>
          <w:rFonts w:cs="Arial"/>
          <w:color w:val="000000"/>
          <w:sz w:val="20"/>
        </w:rPr>
        <w:t>IAS</w:t>
      </w:r>
      <w:r w:rsidRPr="00DB0AC3">
        <w:rPr>
          <w:rFonts w:cs="Arial"/>
          <w:color w:val="000000"/>
          <w:sz w:val="20"/>
          <w:lang w:val="ru-RU"/>
        </w:rPr>
        <w:t>) 32, и (2) любое условное возмещение, не являющееся капиталом, как финансовое, так и нефинансовое, оценивается по справедливой стоимости на каждую отчетную дату, а изменения справедливой стоимости отражаются в прибыли или убытке. Поправки к МСФО (</w:t>
      </w:r>
      <w:r w:rsidRPr="00DB0AC3">
        <w:rPr>
          <w:rFonts w:cs="Arial"/>
          <w:color w:val="000000"/>
          <w:sz w:val="20"/>
        </w:rPr>
        <w:t>IFRS</w:t>
      </w:r>
      <w:r w:rsidRPr="00DB0AC3">
        <w:rPr>
          <w:rFonts w:cs="Arial"/>
          <w:color w:val="000000"/>
          <w:sz w:val="20"/>
          <w:lang w:val="ru-RU"/>
        </w:rPr>
        <w:t>) 3 вступают в силу для объединений бизнеса, в которых дата приобретения приходится на 1 июля 2014 г. или более позднюю дату.</w:t>
      </w:r>
    </w:p>
    <w:p w:rsidR="00D71B06" w:rsidRPr="00DB0AC3" w:rsidRDefault="00D71B06" w:rsidP="00D71B06">
      <w:pPr>
        <w:autoSpaceDE w:val="0"/>
        <w:autoSpaceDN w:val="0"/>
        <w:adjustRightInd w:val="0"/>
        <w:spacing w:before="120" w:after="240" w:line="228" w:lineRule="auto"/>
        <w:jc w:val="both"/>
        <w:rPr>
          <w:rFonts w:cs="Arial"/>
          <w:color w:val="000000"/>
          <w:sz w:val="20"/>
          <w:lang w:val="ru-RU"/>
        </w:rPr>
      </w:pPr>
      <w:r w:rsidRPr="00DB0AC3">
        <w:rPr>
          <w:rFonts w:cs="Arial"/>
          <w:color w:val="000000"/>
          <w:sz w:val="20"/>
          <w:lang w:val="ru-RU"/>
        </w:rPr>
        <w:t>В соответствии с пересмотренным МСФО (</w:t>
      </w:r>
      <w:r w:rsidRPr="00DB0AC3">
        <w:rPr>
          <w:rFonts w:cs="Arial"/>
          <w:color w:val="000000"/>
          <w:sz w:val="20"/>
        </w:rPr>
        <w:t>IFRS</w:t>
      </w:r>
      <w:r w:rsidRPr="00DB0AC3">
        <w:rPr>
          <w:rFonts w:cs="Arial"/>
          <w:color w:val="000000"/>
          <w:sz w:val="20"/>
          <w:lang w:val="ru-RU"/>
        </w:rPr>
        <w:t>) 8 необходимо (1) представлять раскрытие информации относительно профессиональных суждений руководства, вынесенных при агрегировании операционных сегментов, включая описание агрегированных сегментов и экономических показателей, оцененных при установлении того факта, что агрегированные сегменты обладают схожими экономическими особенностями, и (2) выполнять сверку активов сегмента и активов предприятия при отражении в отчетности активов сегмента.</w:t>
      </w:r>
    </w:p>
    <w:p w:rsidR="00D71B06" w:rsidRPr="00DB0AC3" w:rsidRDefault="00D71B06" w:rsidP="00D71B06">
      <w:pPr>
        <w:autoSpaceDE w:val="0"/>
        <w:autoSpaceDN w:val="0"/>
        <w:adjustRightInd w:val="0"/>
        <w:spacing w:before="120" w:after="240" w:line="228" w:lineRule="auto"/>
        <w:jc w:val="both"/>
        <w:rPr>
          <w:rFonts w:cs="Arial"/>
          <w:color w:val="000000"/>
          <w:sz w:val="20"/>
          <w:lang w:val="ru-RU"/>
        </w:rPr>
      </w:pPr>
      <w:r w:rsidRPr="00DB0AC3">
        <w:rPr>
          <w:rFonts w:cs="Arial"/>
          <w:color w:val="000000"/>
          <w:sz w:val="20"/>
          <w:lang w:val="ru-RU"/>
        </w:rPr>
        <w:t>Поправка, внесенная в основу для выводов МСФО (</w:t>
      </w:r>
      <w:r w:rsidRPr="00DB0AC3">
        <w:rPr>
          <w:rFonts w:cs="Arial"/>
          <w:color w:val="000000"/>
          <w:sz w:val="20"/>
        </w:rPr>
        <w:t>IFRS</w:t>
      </w:r>
      <w:r w:rsidRPr="00DB0AC3">
        <w:rPr>
          <w:rFonts w:cs="Arial"/>
          <w:color w:val="000000"/>
          <w:sz w:val="20"/>
          <w:lang w:val="ru-RU"/>
        </w:rPr>
        <w:t>) 13, разъясняет, что исключение некоторых параграфов из МСФО (</w:t>
      </w:r>
      <w:r w:rsidRPr="00DB0AC3">
        <w:rPr>
          <w:rFonts w:cs="Arial"/>
          <w:color w:val="000000"/>
          <w:sz w:val="20"/>
        </w:rPr>
        <w:t>IAS</w:t>
      </w:r>
      <w:r w:rsidRPr="00DB0AC3">
        <w:rPr>
          <w:rFonts w:cs="Arial"/>
          <w:color w:val="000000"/>
          <w:sz w:val="20"/>
          <w:lang w:val="ru-RU"/>
        </w:rPr>
        <w:t>) 39 после выхода МСФО (</w:t>
      </w:r>
      <w:r w:rsidRPr="00DB0AC3">
        <w:rPr>
          <w:rFonts w:cs="Arial"/>
          <w:color w:val="000000"/>
          <w:sz w:val="20"/>
        </w:rPr>
        <w:t>IFRS</w:t>
      </w:r>
      <w:r w:rsidRPr="00DB0AC3">
        <w:rPr>
          <w:rFonts w:cs="Arial"/>
          <w:color w:val="000000"/>
          <w:sz w:val="20"/>
          <w:lang w:val="ru-RU"/>
        </w:rPr>
        <w:t>) 13 не ставило целью отменить возможность оценки краткосрочной дебиторской и кредиторской задолженности по сумме счетов в тех случаях, когда воздействие отсутствия дисконтирования несущественно.</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color w:val="000000"/>
          <w:sz w:val="20"/>
          <w:lang w:val="ru-RU"/>
        </w:rPr>
        <w:t>В МСФО (</w:t>
      </w:r>
      <w:r w:rsidRPr="00DB0AC3">
        <w:rPr>
          <w:rFonts w:cs="Arial"/>
          <w:color w:val="000000"/>
          <w:sz w:val="20"/>
        </w:rPr>
        <w:t>IAS</w:t>
      </w:r>
      <w:r w:rsidRPr="00DB0AC3">
        <w:rPr>
          <w:rFonts w:cs="Arial"/>
          <w:color w:val="000000"/>
          <w:sz w:val="20"/>
          <w:lang w:val="ru-RU"/>
        </w:rPr>
        <w:t>) 16 и МСФО (</w:t>
      </w:r>
      <w:r w:rsidRPr="00DB0AC3">
        <w:rPr>
          <w:rFonts w:cs="Arial"/>
          <w:color w:val="000000"/>
          <w:sz w:val="20"/>
        </w:rPr>
        <w:t>IAS</w:t>
      </w:r>
      <w:r w:rsidRPr="00DB0AC3">
        <w:rPr>
          <w:rFonts w:cs="Arial"/>
          <w:color w:val="000000"/>
          <w:sz w:val="20"/>
          <w:lang w:val="ru-RU"/>
        </w:rPr>
        <w:t xml:space="preserve">) 38 были внесены поправки, разъясняющие, каким образом должны отражаться в учете валовая балансовая стоимость и накопленная амортизация при использовании предприятием модели переоценки. </w:t>
      </w:r>
    </w:p>
    <w:p w:rsidR="00D71B06" w:rsidRPr="00DB0AC3" w:rsidRDefault="00D71B06" w:rsidP="00AA7529">
      <w:pPr>
        <w:autoSpaceDE w:val="0"/>
        <w:autoSpaceDN w:val="0"/>
        <w:adjustRightInd w:val="0"/>
        <w:spacing w:after="240"/>
        <w:jc w:val="both"/>
        <w:rPr>
          <w:rFonts w:cs="Arial"/>
          <w:color w:val="000000" w:themeColor="text1"/>
          <w:sz w:val="20"/>
          <w:lang w:val="ru-RU"/>
        </w:rPr>
      </w:pPr>
      <w:r w:rsidRPr="00DB0AC3">
        <w:rPr>
          <w:rFonts w:cs="Arial"/>
          <w:color w:val="000000"/>
          <w:sz w:val="20"/>
          <w:lang w:val="ru-RU"/>
        </w:rPr>
        <w:t>В соответствии с пересмотренным МСФО (</w:t>
      </w:r>
      <w:r w:rsidRPr="00DB0AC3">
        <w:rPr>
          <w:rFonts w:cs="Arial"/>
          <w:color w:val="000000"/>
          <w:sz w:val="20"/>
        </w:rPr>
        <w:t>IAS</w:t>
      </w:r>
      <w:r w:rsidRPr="00DB0AC3">
        <w:rPr>
          <w:rFonts w:cs="Arial"/>
          <w:color w:val="000000"/>
          <w:sz w:val="20"/>
          <w:lang w:val="ru-RU"/>
        </w:rPr>
        <w:t>) 24 связанной стороной считается также предприятие, оказывающее услуги по предоставлению старшего руководящего персонала отчитывающемуся предприятию или материнскому предприятию отчитывающегося предприятия («управляющее предприятие») и вводит требование о необходимости раскрывать информацию о суммах, начисленных отчитывающемуся предприятию управляющим предприятием за оказанные услуги.</w:t>
      </w:r>
      <w:r w:rsidR="00AD3AD6">
        <w:rPr>
          <w:rFonts w:cs="Arial"/>
          <w:color w:val="000000"/>
          <w:sz w:val="20"/>
          <w:lang w:val="ru-RU"/>
        </w:rPr>
        <w:t xml:space="preserve"> </w:t>
      </w:r>
      <w:r w:rsidRPr="00DB0AC3">
        <w:rPr>
          <w:rFonts w:cs="Arial"/>
          <w:color w:val="000000" w:themeColor="text1"/>
          <w:sz w:val="20"/>
          <w:lang w:val="ru-RU"/>
        </w:rPr>
        <w:t>В настоящее время Банк проводит оценку того, как данные поправки повлияют на</w:t>
      </w:r>
      <w:r w:rsidR="00AD3AD6">
        <w:rPr>
          <w:rFonts w:cs="Arial"/>
          <w:color w:val="000000" w:themeColor="text1"/>
          <w:sz w:val="20"/>
          <w:lang w:val="ru-RU"/>
        </w:rPr>
        <w:t xml:space="preserve"> </w:t>
      </w:r>
      <w:r w:rsidRPr="00DB0AC3">
        <w:rPr>
          <w:rFonts w:cs="Arial"/>
          <w:color w:val="000000" w:themeColor="text1"/>
          <w:sz w:val="20"/>
          <w:lang w:val="ru-RU"/>
        </w:rPr>
        <w:t>финансовую отчетность.</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b/>
          <w:bCs/>
          <w:i/>
          <w:iCs/>
          <w:color w:val="000000"/>
          <w:sz w:val="20"/>
          <w:lang w:val="ru-RU"/>
        </w:rPr>
        <w:t>Ежегодные усовершенствования МСФО, 2013 г. (выпущены в декабре 2013 года и вступают в силу для годовых периодов, начинающихся 1 июля 2014</w:t>
      </w:r>
      <w:r w:rsidRPr="00DB0AC3">
        <w:rPr>
          <w:rFonts w:cs="Arial"/>
          <w:b/>
          <w:bCs/>
          <w:i/>
          <w:iCs/>
          <w:color w:val="000000"/>
          <w:sz w:val="20"/>
        </w:rPr>
        <w:t> </w:t>
      </w:r>
      <w:r w:rsidRPr="00DB0AC3">
        <w:rPr>
          <w:rFonts w:cs="Arial"/>
          <w:b/>
          <w:bCs/>
          <w:i/>
          <w:iCs/>
          <w:color w:val="000000"/>
          <w:sz w:val="20"/>
          <w:lang w:val="ru-RU"/>
        </w:rPr>
        <w:t>года или после этой даты, если не указано иное).</w:t>
      </w:r>
      <w:r w:rsidR="00B92214">
        <w:rPr>
          <w:rFonts w:cs="Arial"/>
          <w:b/>
          <w:bCs/>
          <w:i/>
          <w:iCs/>
          <w:color w:val="000000"/>
          <w:sz w:val="20"/>
          <w:lang w:val="ru-RU"/>
        </w:rPr>
        <w:t xml:space="preserve"> </w:t>
      </w:r>
      <w:r w:rsidRPr="00DB0AC3">
        <w:rPr>
          <w:rFonts w:cs="Arial"/>
          <w:color w:val="000000"/>
          <w:sz w:val="20"/>
          <w:lang w:val="ru-RU"/>
        </w:rPr>
        <w:t xml:space="preserve">Усовершенствования представляют собой изменения в четырех стандартах. </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color w:val="000000"/>
          <w:sz w:val="20"/>
          <w:lang w:val="ru-RU"/>
        </w:rPr>
        <w:t>Поправка, внесенная в основу для выводов в МСФО (</w:t>
      </w:r>
      <w:r w:rsidRPr="00DB0AC3">
        <w:rPr>
          <w:rFonts w:cs="Arial"/>
          <w:color w:val="000000"/>
          <w:sz w:val="20"/>
        </w:rPr>
        <w:t>IFRS</w:t>
      </w:r>
      <w:r w:rsidRPr="00DB0AC3">
        <w:rPr>
          <w:rFonts w:cs="Arial"/>
          <w:color w:val="000000"/>
          <w:sz w:val="20"/>
          <w:lang w:val="ru-RU"/>
        </w:rPr>
        <w:t>) 1, разъясняет, что новая версия стандарта еще не является обязательной, но может применяться досрочно; компания, впервые применяющая МСФО, может использовать старую или новую версию этого стандарта при условии, что ко всем представляемым в отчетности периодам применяется один и тот же стандарт.</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color w:val="000000"/>
          <w:sz w:val="20"/>
          <w:lang w:val="ru-RU"/>
        </w:rPr>
        <w:t>В МСФО (</w:t>
      </w:r>
      <w:r w:rsidRPr="00DB0AC3">
        <w:rPr>
          <w:rFonts w:cs="Arial"/>
          <w:color w:val="000000"/>
          <w:sz w:val="20"/>
        </w:rPr>
        <w:t>IFRS</w:t>
      </w:r>
      <w:r w:rsidRPr="00DB0AC3">
        <w:rPr>
          <w:rFonts w:cs="Arial"/>
          <w:color w:val="000000"/>
          <w:sz w:val="20"/>
          <w:lang w:val="ru-RU"/>
        </w:rPr>
        <w:t>) 3 внесена поправка, разъясняющая, что данный стандарт не применяется к учету образования любой совместной деятельности в соответствии с МСФО (</w:t>
      </w:r>
      <w:r w:rsidRPr="00DB0AC3">
        <w:rPr>
          <w:rFonts w:cs="Arial"/>
          <w:color w:val="000000"/>
          <w:sz w:val="20"/>
        </w:rPr>
        <w:t>IFRS</w:t>
      </w:r>
      <w:r w:rsidRPr="00DB0AC3">
        <w:rPr>
          <w:rFonts w:cs="Arial"/>
          <w:color w:val="000000"/>
          <w:sz w:val="20"/>
          <w:lang w:val="ru-RU"/>
        </w:rPr>
        <w:t xml:space="preserve">) 11. Эта поправка также </w:t>
      </w:r>
      <w:r w:rsidRPr="00DB0AC3">
        <w:rPr>
          <w:rFonts w:cs="Arial"/>
          <w:color w:val="000000"/>
          <w:sz w:val="20"/>
          <w:lang w:val="ru-RU"/>
        </w:rPr>
        <w:lastRenderedPageBreak/>
        <w:t>разъясняет, что исключение из сферы применения стандарта действует только для финансовой отчетности самой совместной деятельности.</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color w:val="000000"/>
          <w:sz w:val="20"/>
          <w:lang w:val="ru-RU"/>
        </w:rPr>
        <w:t>Поправка к МСФО (</w:t>
      </w:r>
      <w:r w:rsidRPr="00DB0AC3">
        <w:rPr>
          <w:rFonts w:cs="Arial"/>
          <w:color w:val="000000"/>
          <w:sz w:val="20"/>
        </w:rPr>
        <w:t>IFRS</w:t>
      </w:r>
      <w:r w:rsidRPr="00DB0AC3">
        <w:rPr>
          <w:rFonts w:cs="Arial"/>
          <w:color w:val="000000"/>
          <w:sz w:val="20"/>
          <w:lang w:val="ru-RU"/>
        </w:rPr>
        <w:t>) 13 разъясняет, что исключение, касающееся портфеля в МСФО (</w:t>
      </w:r>
      <w:r w:rsidRPr="00DB0AC3">
        <w:rPr>
          <w:rFonts w:cs="Arial"/>
          <w:color w:val="000000"/>
          <w:sz w:val="20"/>
        </w:rPr>
        <w:t>IFRS</w:t>
      </w:r>
      <w:r w:rsidRPr="00DB0AC3">
        <w:rPr>
          <w:rFonts w:cs="Arial"/>
          <w:color w:val="000000"/>
          <w:sz w:val="20"/>
          <w:lang w:val="ru-RU"/>
        </w:rPr>
        <w:t xml:space="preserve">) 13, которое позволяет предприятию оценивать справедливую стоимость </w:t>
      </w:r>
      <w:r w:rsidR="00A91016">
        <w:rPr>
          <w:rFonts w:cs="Arial"/>
          <w:color w:val="000000"/>
          <w:sz w:val="20"/>
          <w:lang w:val="ru-RU"/>
        </w:rPr>
        <w:t>группы</w:t>
      </w:r>
      <w:r w:rsidR="00AD3AD6">
        <w:rPr>
          <w:rFonts w:cs="Arial"/>
          <w:color w:val="000000"/>
          <w:sz w:val="20"/>
          <w:lang w:val="ru-RU"/>
        </w:rPr>
        <w:t xml:space="preserve"> </w:t>
      </w:r>
      <w:r w:rsidRPr="00DB0AC3">
        <w:rPr>
          <w:rFonts w:cs="Arial"/>
          <w:color w:val="000000"/>
          <w:sz w:val="20"/>
          <w:lang w:val="ru-RU"/>
        </w:rPr>
        <w:t>финансовых активов и финансовых обязательств на нетто-основе, применяется ко всем договорам (включая договор</w:t>
      </w:r>
      <w:r w:rsidR="00A91016">
        <w:rPr>
          <w:rFonts w:cs="Arial"/>
          <w:color w:val="000000"/>
          <w:sz w:val="20"/>
          <w:lang w:val="ru-RU"/>
        </w:rPr>
        <w:t>ы</w:t>
      </w:r>
      <w:r w:rsidRPr="00DB0AC3">
        <w:rPr>
          <w:rFonts w:cs="Arial"/>
          <w:color w:val="000000"/>
          <w:sz w:val="20"/>
          <w:lang w:val="ru-RU"/>
        </w:rPr>
        <w:t xml:space="preserve"> покупки и продажи нефинансовых объектов) в рамках сферы применения МСФО (</w:t>
      </w:r>
      <w:r w:rsidRPr="00DB0AC3">
        <w:rPr>
          <w:rFonts w:cs="Arial"/>
          <w:color w:val="000000"/>
          <w:sz w:val="20"/>
        </w:rPr>
        <w:t>IAS</w:t>
      </w:r>
      <w:r w:rsidRPr="00DB0AC3">
        <w:rPr>
          <w:rFonts w:cs="Arial"/>
          <w:color w:val="000000"/>
          <w:sz w:val="20"/>
          <w:lang w:val="ru-RU"/>
        </w:rPr>
        <w:t>) 39 или МСФО (</w:t>
      </w:r>
      <w:r w:rsidRPr="00DB0AC3">
        <w:rPr>
          <w:rFonts w:cs="Arial"/>
          <w:color w:val="000000"/>
          <w:sz w:val="20"/>
        </w:rPr>
        <w:t>IFRS</w:t>
      </w:r>
      <w:r w:rsidRPr="00DB0AC3">
        <w:rPr>
          <w:rFonts w:cs="Arial"/>
          <w:color w:val="000000"/>
          <w:sz w:val="20"/>
          <w:lang w:val="ru-RU"/>
        </w:rPr>
        <w:t xml:space="preserve">) 9. </w:t>
      </w:r>
    </w:p>
    <w:p w:rsidR="00D71B06" w:rsidRPr="00DB0AC3" w:rsidRDefault="00D71B06" w:rsidP="00AA7529">
      <w:pPr>
        <w:autoSpaceDE w:val="0"/>
        <w:autoSpaceDN w:val="0"/>
        <w:adjustRightInd w:val="0"/>
        <w:spacing w:after="240"/>
        <w:jc w:val="both"/>
        <w:rPr>
          <w:rFonts w:cs="Arial"/>
          <w:color w:val="000000" w:themeColor="text1"/>
          <w:sz w:val="20"/>
          <w:lang w:val="ru-RU"/>
        </w:rPr>
      </w:pPr>
      <w:r w:rsidRPr="00DB0AC3">
        <w:rPr>
          <w:rFonts w:cs="Arial"/>
          <w:color w:val="000000"/>
          <w:sz w:val="20"/>
          <w:lang w:val="ru-RU"/>
        </w:rPr>
        <w:t>В МСФО (</w:t>
      </w:r>
      <w:r w:rsidRPr="00DB0AC3">
        <w:rPr>
          <w:rFonts w:cs="Arial"/>
          <w:color w:val="000000"/>
          <w:sz w:val="20"/>
        </w:rPr>
        <w:t>IAS</w:t>
      </w:r>
      <w:r w:rsidRPr="00DB0AC3">
        <w:rPr>
          <w:rFonts w:cs="Arial"/>
          <w:color w:val="000000"/>
          <w:sz w:val="20"/>
          <w:lang w:val="ru-RU"/>
        </w:rPr>
        <w:t>) 40 внесена поправка, разъясняющая, что стандарты МСФО (</w:t>
      </w:r>
      <w:r w:rsidRPr="00DB0AC3">
        <w:rPr>
          <w:rFonts w:cs="Arial"/>
          <w:color w:val="000000"/>
          <w:sz w:val="20"/>
        </w:rPr>
        <w:t>IAS</w:t>
      </w:r>
      <w:r w:rsidRPr="00DB0AC3">
        <w:rPr>
          <w:rFonts w:cs="Arial"/>
          <w:color w:val="000000"/>
          <w:sz w:val="20"/>
          <w:lang w:val="ru-RU"/>
        </w:rPr>
        <w:t>) 40 и МСФО (</w:t>
      </w:r>
      <w:r w:rsidRPr="00DB0AC3">
        <w:rPr>
          <w:rFonts w:cs="Arial"/>
          <w:color w:val="000000"/>
          <w:sz w:val="20"/>
        </w:rPr>
        <w:t>IFRS</w:t>
      </w:r>
      <w:r w:rsidRPr="00DB0AC3">
        <w:rPr>
          <w:rFonts w:cs="Arial"/>
          <w:color w:val="000000"/>
          <w:sz w:val="20"/>
          <w:lang w:val="ru-RU"/>
        </w:rPr>
        <w:t>)</w:t>
      </w:r>
      <w:r w:rsidRPr="00DB0AC3">
        <w:rPr>
          <w:rFonts w:cs="Arial"/>
          <w:color w:val="000000"/>
          <w:sz w:val="20"/>
        </w:rPr>
        <w:t> </w:t>
      </w:r>
      <w:r w:rsidRPr="00DB0AC3">
        <w:rPr>
          <w:rFonts w:cs="Arial"/>
          <w:color w:val="000000"/>
          <w:sz w:val="20"/>
          <w:lang w:val="ru-RU"/>
        </w:rPr>
        <w:t>3 не являются взаимно исключающими. Руководство в МСФО (</w:t>
      </w:r>
      <w:r w:rsidRPr="00DB0AC3">
        <w:rPr>
          <w:rFonts w:cs="Arial"/>
          <w:color w:val="000000"/>
          <w:sz w:val="20"/>
        </w:rPr>
        <w:t>IAS</w:t>
      </w:r>
      <w:r w:rsidRPr="00DB0AC3">
        <w:rPr>
          <w:rFonts w:cs="Arial"/>
          <w:color w:val="000000"/>
          <w:sz w:val="20"/>
          <w:lang w:val="ru-RU"/>
        </w:rPr>
        <w:t>) 40 помогает составителям отчетности понять разницу между инвестиционным имуществом и недвижимостью, занимаемой владельцем. Составителям отчетности также необходимо изучить руководство в МСФО (</w:t>
      </w:r>
      <w:r w:rsidRPr="00DB0AC3">
        <w:rPr>
          <w:rFonts w:cs="Arial"/>
          <w:color w:val="000000"/>
          <w:sz w:val="20"/>
        </w:rPr>
        <w:t>IFRS</w:t>
      </w:r>
      <w:r w:rsidRPr="00DB0AC3">
        <w:rPr>
          <w:rFonts w:cs="Arial"/>
          <w:color w:val="000000"/>
          <w:sz w:val="20"/>
          <w:lang w:val="ru-RU"/>
        </w:rPr>
        <w:t>) 3 для того, чтобы определить, является ли приобретение инвестиционного имущества объединением бизнеса</w:t>
      </w:r>
      <w:r w:rsidRPr="00DB0AC3">
        <w:rPr>
          <w:rFonts w:cs="Arial"/>
          <w:color w:val="0000FF"/>
          <w:sz w:val="20"/>
          <w:lang w:val="ru-RU"/>
        </w:rPr>
        <w:t xml:space="preserve">. </w:t>
      </w:r>
      <w:r w:rsidRPr="00DB0AC3">
        <w:rPr>
          <w:rFonts w:cs="Arial"/>
          <w:color w:val="000000" w:themeColor="text1"/>
          <w:sz w:val="20"/>
          <w:lang w:val="ru-RU"/>
        </w:rPr>
        <w:t>В настоящее время Банк проводит оценку того, как данные поправки повлияют на финансовую отчетность.</w:t>
      </w:r>
    </w:p>
    <w:p w:rsidR="00D71B06" w:rsidRPr="00DB0AC3" w:rsidRDefault="00D71B06" w:rsidP="00D71B06">
      <w:pPr>
        <w:spacing w:after="240"/>
        <w:jc w:val="both"/>
        <w:rPr>
          <w:rFonts w:cs="Arial"/>
          <w:color w:val="000000"/>
          <w:sz w:val="20"/>
          <w:lang w:val="ru-RU"/>
        </w:rPr>
      </w:pPr>
      <w:r w:rsidRPr="00DB0AC3">
        <w:rPr>
          <w:rFonts w:cs="Arial"/>
          <w:b/>
          <w:bCs/>
          <w:i/>
          <w:iCs/>
          <w:color w:val="000000"/>
          <w:sz w:val="20"/>
          <w:lang w:val="ru-RU"/>
        </w:rPr>
        <w:t>МСФО (</w:t>
      </w:r>
      <w:r w:rsidRPr="00DB0AC3">
        <w:rPr>
          <w:rFonts w:cs="Arial"/>
          <w:b/>
          <w:bCs/>
          <w:i/>
          <w:iCs/>
          <w:color w:val="000000"/>
          <w:sz w:val="20"/>
        </w:rPr>
        <w:t>IFRS</w:t>
      </w:r>
      <w:r w:rsidRPr="00DB0AC3">
        <w:rPr>
          <w:rFonts w:cs="Arial"/>
          <w:b/>
          <w:bCs/>
          <w:i/>
          <w:iCs/>
          <w:color w:val="000000"/>
          <w:sz w:val="20"/>
          <w:lang w:val="ru-RU"/>
        </w:rPr>
        <w:t>) 14 «Отсроченные платежи по деятельности, осуществляемой по регулируемым тарифам» (выпущен в январе 2014 года и вступает в силу для годовых периодов, начинающихся 1 января 2016 года или после этой даты).</w:t>
      </w:r>
      <w:r w:rsidRPr="00DB0AC3">
        <w:rPr>
          <w:rFonts w:cs="Arial"/>
          <w:color w:val="000000"/>
          <w:sz w:val="20"/>
          <w:lang w:val="ru-RU"/>
        </w:rPr>
        <w:t xml:space="preserve"> МСФО (</w:t>
      </w:r>
      <w:r w:rsidRPr="00DB0AC3">
        <w:rPr>
          <w:rFonts w:cs="Arial"/>
          <w:color w:val="000000"/>
          <w:sz w:val="20"/>
        </w:rPr>
        <w:t>IFRS</w:t>
      </w:r>
      <w:r w:rsidRPr="00DB0AC3">
        <w:rPr>
          <w:rFonts w:cs="Arial"/>
          <w:color w:val="000000"/>
          <w:sz w:val="20"/>
          <w:lang w:val="ru-RU"/>
        </w:rPr>
        <w:t>) 14 разрешает предприятиям, впервые составляющим финансовую отчетность по МСФО, признавать при переходе на МСФО суммы, относящиеся к деятельности, осуществляемой по регулируемым тарифам, в соответствии с требованиями предыдущих ОПБУ. Однако для повышения степени сопоставимости с предприятиями, уже применяющими МСФО, но не признающими такие суммы, стандарт требует, чтобы воздействие регулирования тарифов представлялось отдельно от других статей. Данный стандарт не распространятся на компании, уже представляющие финансовую отчетность, подготовленную в соответствии с МСФО.</w:t>
      </w:r>
    </w:p>
    <w:p w:rsidR="00D71B06" w:rsidRPr="00DB0AC3" w:rsidRDefault="00D71B06" w:rsidP="00D71B06">
      <w:pPr>
        <w:spacing w:after="240"/>
        <w:jc w:val="both"/>
        <w:rPr>
          <w:rFonts w:cs="Arial"/>
          <w:color w:val="0000FF"/>
          <w:sz w:val="20"/>
          <w:lang w:val="ru-RU"/>
        </w:rPr>
      </w:pPr>
      <w:r w:rsidRPr="00DB0AC3">
        <w:rPr>
          <w:rFonts w:cs="Arial"/>
          <w:b/>
          <w:i/>
          <w:color w:val="000000"/>
          <w:sz w:val="20"/>
          <w:lang w:val="ru-RU"/>
        </w:rPr>
        <w:t xml:space="preserve"> «Учет сделок по приобретению долей участия в совместных операциях» – Поправки к МСФО (</w:t>
      </w:r>
      <w:r w:rsidRPr="00DB0AC3">
        <w:rPr>
          <w:rFonts w:cs="Arial"/>
          <w:b/>
          <w:i/>
          <w:color w:val="000000"/>
          <w:sz w:val="20"/>
        </w:rPr>
        <w:t>IFRS</w:t>
      </w:r>
      <w:r w:rsidRPr="00DB0AC3">
        <w:rPr>
          <w:rFonts w:cs="Arial"/>
          <w:b/>
          <w:i/>
          <w:color w:val="000000"/>
          <w:sz w:val="20"/>
          <w:lang w:val="ru-RU"/>
        </w:rPr>
        <w:t>) 11 (выпущены 6 мая 2014 года и вступают в силу для годовых периодов, начинающихся 1 января 2016 года или после этой даты).</w:t>
      </w:r>
      <w:r w:rsidR="00AD3AD6">
        <w:rPr>
          <w:rFonts w:cs="Arial"/>
          <w:b/>
          <w:i/>
          <w:color w:val="000000"/>
          <w:sz w:val="20"/>
          <w:lang w:val="ru-RU"/>
        </w:rPr>
        <w:t xml:space="preserve"> </w:t>
      </w:r>
      <w:r w:rsidRPr="00DB0AC3">
        <w:rPr>
          <w:rFonts w:cs="Arial"/>
          <w:color w:val="000000"/>
          <w:sz w:val="20"/>
          <w:lang w:val="ru-RU"/>
        </w:rPr>
        <w:t xml:space="preserve">Данная поправка вводит новое руководство в отношении учета сделок по приобретению доли участия в совместной операции, представляющей собой бизнес. </w:t>
      </w:r>
      <w:r w:rsidRPr="00DB0AC3">
        <w:rPr>
          <w:rFonts w:cs="Arial"/>
          <w:color w:val="000000" w:themeColor="text1"/>
          <w:sz w:val="20"/>
          <w:lang w:val="ru-RU"/>
        </w:rPr>
        <w:t>В настоящее время Банк проводит оценку того, как данные поправки повлияют на</w:t>
      </w:r>
      <w:r w:rsidR="00A91016">
        <w:rPr>
          <w:rFonts w:cs="Arial"/>
          <w:color w:val="000000" w:themeColor="text1"/>
          <w:sz w:val="20"/>
          <w:lang w:val="ru-RU"/>
        </w:rPr>
        <w:t xml:space="preserve"> его </w:t>
      </w:r>
      <w:r w:rsidRPr="00DB0AC3">
        <w:rPr>
          <w:rFonts w:cs="Arial"/>
          <w:color w:val="000000" w:themeColor="text1"/>
          <w:sz w:val="20"/>
          <w:lang w:val="ru-RU"/>
        </w:rPr>
        <w:t>финансовую отчетность.</w:t>
      </w:r>
    </w:p>
    <w:p w:rsidR="00D71B06" w:rsidRPr="00DB0AC3" w:rsidRDefault="00D71B06" w:rsidP="00D71B06">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240"/>
        <w:ind w:left="15"/>
        <w:jc w:val="both"/>
        <w:rPr>
          <w:rFonts w:cs="Arial"/>
          <w:color w:val="000000" w:themeColor="text1"/>
          <w:sz w:val="20"/>
          <w:lang w:val="ru-RU"/>
        </w:rPr>
      </w:pPr>
      <w:r w:rsidRPr="00DB0AC3">
        <w:rPr>
          <w:rFonts w:cs="Arial"/>
          <w:b/>
          <w:i/>
          <w:color w:val="000000"/>
          <w:sz w:val="20"/>
          <w:lang w:val="ru-RU"/>
        </w:rPr>
        <w:t>Разъяснения в отношении методов начисления амортизации основных средств и нематериальных активов – Поправки к МСФО (</w:t>
      </w:r>
      <w:r w:rsidRPr="00DB0AC3">
        <w:rPr>
          <w:rFonts w:cs="Arial"/>
          <w:b/>
          <w:i/>
          <w:color w:val="000000"/>
          <w:sz w:val="20"/>
        </w:rPr>
        <w:t>IAS</w:t>
      </w:r>
      <w:r w:rsidRPr="00DB0AC3">
        <w:rPr>
          <w:rFonts w:cs="Arial"/>
          <w:b/>
          <w:i/>
          <w:color w:val="000000"/>
          <w:sz w:val="20"/>
          <w:lang w:val="ru-RU"/>
        </w:rPr>
        <w:t>) 16 и МСФО (</w:t>
      </w:r>
      <w:r w:rsidRPr="00DB0AC3">
        <w:rPr>
          <w:rFonts w:cs="Arial"/>
          <w:b/>
          <w:i/>
          <w:color w:val="000000"/>
          <w:sz w:val="20"/>
        </w:rPr>
        <w:t>IAS</w:t>
      </w:r>
      <w:r w:rsidRPr="00DB0AC3">
        <w:rPr>
          <w:rFonts w:cs="Arial"/>
          <w:b/>
          <w:i/>
          <w:color w:val="000000"/>
          <w:sz w:val="20"/>
          <w:lang w:val="ru-RU"/>
        </w:rPr>
        <w:t>) 38 (выпущены 12 мая 2014 года и вступают в силу для годовых периодов, начинающихся 1 января 2016 года или после этой даты).</w:t>
      </w:r>
      <w:r w:rsidR="00AD3AD6">
        <w:rPr>
          <w:rFonts w:cs="Arial"/>
          <w:b/>
          <w:i/>
          <w:color w:val="000000"/>
          <w:sz w:val="20"/>
          <w:lang w:val="ru-RU"/>
        </w:rPr>
        <w:t xml:space="preserve"> </w:t>
      </w:r>
      <w:r w:rsidRPr="00DB0AC3">
        <w:rPr>
          <w:rFonts w:cs="Arial"/>
          <w:color w:val="000000"/>
          <w:sz w:val="20"/>
          <w:lang w:val="ru-RU"/>
        </w:rPr>
        <w:t>В данной поправке Правлени</w:t>
      </w:r>
      <w:r w:rsidR="00A91016">
        <w:rPr>
          <w:rFonts w:cs="Arial"/>
          <w:color w:val="000000"/>
          <w:sz w:val="20"/>
          <w:lang w:val="ru-RU"/>
        </w:rPr>
        <w:t>е</w:t>
      </w:r>
      <w:r w:rsidRPr="00DB0AC3">
        <w:rPr>
          <w:rFonts w:cs="Arial"/>
          <w:color w:val="000000"/>
          <w:sz w:val="20"/>
          <w:lang w:val="ru-RU"/>
        </w:rPr>
        <w:t xml:space="preserve"> КМСФО разъясняет, что использование методов, основанных на выручке, для расчета амортизации актива не подходит, так как выручка, генерированная деятельностью, которая включает использование актива, обычно отражает факторы, не являющиеся потреблением экономических выгод, связанных с этим активом</w:t>
      </w:r>
      <w:r w:rsidRPr="00DB0AC3">
        <w:rPr>
          <w:rFonts w:cs="Arial"/>
          <w:color w:val="000000" w:themeColor="text1"/>
          <w:sz w:val="20"/>
          <w:lang w:val="ru-RU"/>
        </w:rPr>
        <w:t>. В настоящее время Банк проводит оценку того, как данные поправки повлияют на финансовую отчетность.</w:t>
      </w:r>
    </w:p>
    <w:p w:rsidR="00D71B06" w:rsidRPr="00DB0AC3" w:rsidRDefault="00D71B06" w:rsidP="00D71B06">
      <w:pPr>
        <w:spacing w:after="240"/>
        <w:jc w:val="both"/>
        <w:rPr>
          <w:rFonts w:cs="Arial"/>
          <w:color w:val="000000" w:themeColor="text1"/>
          <w:sz w:val="20"/>
          <w:lang w:val="ru-RU"/>
        </w:rPr>
      </w:pPr>
      <w:r w:rsidRPr="00DB0AC3">
        <w:rPr>
          <w:rFonts w:cs="Arial"/>
          <w:b/>
          <w:i/>
          <w:color w:val="000000"/>
          <w:sz w:val="20"/>
          <w:lang w:val="ru-RU"/>
        </w:rPr>
        <w:t>МСФО (</w:t>
      </w:r>
      <w:r w:rsidRPr="00DB0AC3">
        <w:rPr>
          <w:rFonts w:cs="Arial"/>
          <w:b/>
          <w:i/>
          <w:color w:val="000000"/>
          <w:sz w:val="20"/>
        </w:rPr>
        <w:t>IFRS</w:t>
      </w:r>
      <w:r w:rsidRPr="00DB0AC3">
        <w:rPr>
          <w:rFonts w:cs="Arial"/>
          <w:b/>
          <w:i/>
          <w:color w:val="000000"/>
          <w:sz w:val="20"/>
          <w:lang w:val="ru-RU"/>
        </w:rPr>
        <w:t>) 15 «Выручка по договорам с клиентами» (выпущен 28 мая 2014 года и вступает силу для периодов, начинающихся 1 января 2017 года или после этой даты).</w:t>
      </w:r>
      <w:r w:rsidR="00AD3AD6">
        <w:rPr>
          <w:rFonts w:cs="Arial"/>
          <w:b/>
          <w:i/>
          <w:color w:val="000000"/>
          <w:sz w:val="20"/>
          <w:lang w:val="ru-RU"/>
        </w:rPr>
        <w:t xml:space="preserve"> </w:t>
      </w:r>
      <w:r w:rsidRPr="00DB0AC3">
        <w:rPr>
          <w:rFonts w:cs="Arial"/>
          <w:color w:val="000000"/>
          <w:sz w:val="20"/>
          <w:lang w:val="ru-RU"/>
        </w:rPr>
        <w:t>Новый стандарт вводит ключевой принцип, в соответствии с которым выручка должна признаваться, когда товары или услуги передаются клиенту, по цене сделки. Любые отдельные партии товаров или услуг должны признаваться отдельно, а все скидки и ретроспективные скидки с контрактной цены, как правило, распределяются на отдельные элементы. Если размер вознаграждения меняется по какой-либо причине, следует признать минимальные суммы, если они не подвержены существенному риску пересмотра. Затраты, связанные с обеспечением контрактов с клиентами, должны капитализироваться и амортизироваться на срок, в течение которого получены выгоды от контракта</w:t>
      </w:r>
      <w:r w:rsidRPr="00DB0AC3">
        <w:rPr>
          <w:rFonts w:cs="Arial"/>
          <w:color w:val="000000" w:themeColor="text1"/>
          <w:sz w:val="20"/>
          <w:lang w:val="ru-RU"/>
        </w:rPr>
        <w:t>. В настоящее время руководство Банка проводит оценку влияния нового стандарта на финансовую отчетность Банка.</w:t>
      </w:r>
    </w:p>
    <w:p w:rsidR="00D71B06" w:rsidRPr="00DB0AC3" w:rsidRDefault="00D71B06" w:rsidP="00D71B06">
      <w:pPr>
        <w:spacing w:after="240"/>
        <w:jc w:val="both"/>
        <w:rPr>
          <w:rFonts w:cs="Arial"/>
          <w:sz w:val="20"/>
          <w:lang w:val="ru-RU"/>
        </w:rPr>
      </w:pPr>
      <w:r w:rsidRPr="00DB0AC3">
        <w:rPr>
          <w:rFonts w:cs="Arial"/>
          <w:b/>
          <w:bCs/>
          <w:i/>
          <w:iCs/>
          <w:sz w:val="20"/>
          <w:lang w:val="ru-RU"/>
        </w:rPr>
        <w:lastRenderedPageBreak/>
        <w:t>Метод долевого участия в отдельной финансовой отчетности – Поправки к МСФО (</w:t>
      </w:r>
      <w:r w:rsidRPr="00DB0AC3">
        <w:rPr>
          <w:rFonts w:cs="Arial"/>
          <w:b/>
          <w:bCs/>
          <w:i/>
          <w:iCs/>
          <w:sz w:val="20"/>
        </w:rPr>
        <w:t>IAS</w:t>
      </w:r>
      <w:r w:rsidRPr="00DB0AC3">
        <w:rPr>
          <w:rFonts w:cs="Arial"/>
          <w:b/>
          <w:bCs/>
          <w:i/>
          <w:iCs/>
          <w:sz w:val="20"/>
          <w:lang w:val="ru-RU"/>
        </w:rPr>
        <w:t xml:space="preserve">) 27 (выпущены 12 августа 2014 года и вступают в силу для годовых периодов, начинающихся 1 января 2016 года или после этой даты). </w:t>
      </w:r>
      <w:r w:rsidRPr="00DB0AC3">
        <w:rPr>
          <w:rFonts w:cs="Arial"/>
          <w:sz w:val="20"/>
          <w:lang w:val="ru-RU"/>
        </w:rPr>
        <w:t>Данные поправки разрешают предприятиям использовать метод долевого участия для учета инвестиций в дочерние, совместные и ассоциированные предприятия в отдельной финансовой отчетности. В настоящее время Банк проводит оценку того, как данные поправки повлияют на финансовую отчетность.</w:t>
      </w:r>
    </w:p>
    <w:p w:rsidR="00D71B06" w:rsidRPr="00DB0AC3" w:rsidRDefault="00D71B06" w:rsidP="00D71B06">
      <w:pPr>
        <w:autoSpaceDE w:val="0"/>
        <w:autoSpaceDN w:val="0"/>
        <w:adjustRightInd w:val="0"/>
        <w:spacing w:after="240"/>
        <w:jc w:val="both"/>
        <w:rPr>
          <w:rFonts w:cs="Arial"/>
          <w:sz w:val="20"/>
          <w:lang w:val="ru-RU"/>
        </w:rPr>
      </w:pPr>
      <w:r w:rsidRPr="00DB0AC3">
        <w:rPr>
          <w:rFonts w:cs="Arial"/>
          <w:b/>
          <w:bCs/>
          <w:i/>
          <w:iCs/>
          <w:sz w:val="20"/>
          <w:lang w:val="ru-RU"/>
        </w:rPr>
        <w:t>«Продажа или взнос активов в ассоциированное или совместное предприятие инвестором» – Поправки к МСФО (</w:t>
      </w:r>
      <w:r w:rsidRPr="00DB0AC3">
        <w:rPr>
          <w:rFonts w:cs="Arial"/>
          <w:b/>
          <w:bCs/>
          <w:i/>
          <w:iCs/>
          <w:sz w:val="20"/>
        </w:rPr>
        <w:t>IFRS</w:t>
      </w:r>
      <w:r w:rsidRPr="00DB0AC3">
        <w:rPr>
          <w:rFonts w:cs="Arial"/>
          <w:b/>
          <w:bCs/>
          <w:i/>
          <w:iCs/>
          <w:sz w:val="20"/>
          <w:lang w:val="ru-RU"/>
        </w:rPr>
        <w:t>) 10 и МСФО (</w:t>
      </w:r>
      <w:r w:rsidRPr="00DB0AC3">
        <w:rPr>
          <w:rFonts w:cs="Arial"/>
          <w:b/>
          <w:bCs/>
          <w:i/>
          <w:iCs/>
          <w:sz w:val="20"/>
        </w:rPr>
        <w:t>IAS</w:t>
      </w:r>
      <w:r w:rsidRPr="00DB0AC3">
        <w:rPr>
          <w:rFonts w:cs="Arial"/>
          <w:b/>
          <w:bCs/>
          <w:i/>
          <w:iCs/>
          <w:sz w:val="20"/>
          <w:lang w:val="ru-RU"/>
        </w:rPr>
        <w:t>) 28 (выпущены 11 сентября 2014 года и вступают в силу для годовых периодов, начинающихся 1 января 2016 года или после этой даты).</w:t>
      </w:r>
      <w:r w:rsidRPr="00DB0AC3">
        <w:rPr>
          <w:rFonts w:cs="Arial"/>
          <w:sz w:val="20"/>
          <w:lang w:val="ru-RU"/>
        </w:rPr>
        <w:t xml:space="preserve"> Данные поправки устраняют несоответствие между требованиями МСФО (</w:t>
      </w:r>
      <w:r w:rsidRPr="00DB0AC3">
        <w:rPr>
          <w:rFonts w:cs="Arial"/>
          <w:sz w:val="20"/>
        </w:rPr>
        <w:t>IFRS</w:t>
      </w:r>
      <w:r w:rsidRPr="00DB0AC3">
        <w:rPr>
          <w:rFonts w:cs="Arial"/>
          <w:sz w:val="20"/>
          <w:lang w:val="ru-RU"/>
        </w:rPr>
        <w:t>) 10 и МСФО (</w:t>
      </w:r>
      <w:r w:rsidRPr="00DB0AC3">
        <w:rPr>
          <w:rFonts w:cs="Arial"/>
          <w:sz w:val="20"/>
        </w:rPr>
        <w:t>IAS</w:t>
      </w:r>
      <w:r w:rsidRPr="00DB0AC3">
        <w:rPr>
          <w:rFonts w:cs="Arial"/>
          <w:sz w:val="20"/>
          <w:lang w:val="ru-RU"/>
        </w:rPr>
        <w:t>) 28, касающимися продажи или взноса активов в ассоциированное или совместное предприятие инвестором. Основное последствие применения поправок заключается в том, что прибыль или убыток признаются в полном объеме в том случае, если сделка касается бизнеса. Если активы не представляют собой бизнес, даже если этими активами владеет дочернее предприятие, признается только часть прибыли или убытка. В настоящее время Банк проводит оценку влияния этих поправок на финансовую отчетность.</w:t>
      </w:r>
    </w:p>
    <w:p w:rsidR="00D71B06" w:rsidRPr="00DB0AC3" w:rsidRDefault="00D71B06" w:rsidP="00D71B06">
      <w:pPr>
        <w:spacing w:after="240"/>
        <w:jc w:val="both"/>
        <w:rPr>
          <w:rFonts w:cs="Arial"/>
          <w:color w:val="0000FF"/>
          <w:sz w:val="20"/>
          <w:lang w:val="ru-RU"/>
        </w:rPr>
      </w:pPr>
      <w:r w:rsidRPr="00DB0AC3">
        <w:rPr>
          <w:rFonts w:cs="Arial"/>
          <w:b/>
          <w:bCs/>
          <w:i/>
          <w:iCs/>
          <w:sz w:val="20"/>
          <w:lang w:val="ru-RU"/>
        </w:rPr>
        <w:t>Ежегодные усовершенствования Международных стандартов финансовой отчетности, 2014 год (выпущены  25 сентября 2014 года и вступают в силу для годовых периодов, начинающихся 1 января 2016 года или после этой даты).</w:t>
      </w:r>
      <w:r w:rsidRPr="00DB0AC3">
        <w:rPr>
          <w:rFonts w:cs="Arial"/>
          <w:sz w:val="20"/>
          <w:lang w:val="ru-RU"/>
        </w:rPr>
        <w:t xml:space="preserve"> Поправки оказывают влияние на 4 стандарта. Цель поправки к МСФО (</w:t>
      </w:r>
      <w:r w:rsidRPr="00DB0AC3">
        <w:rPr>
          <w:rFonts w:cs="Arial"/>
          <w:sz w:val="20"/>
        </w:rPr>
        <w:t>IFRS</w:t>
      </w:r>
      <w:r w:rsidRPr="00DB0AC3">
        <w:rPr>
          <w:rFonts w:cs="Arial"/>
          <w:sz w:val="20"/>
          <w:lang w:val="ru-RU"/>
        </w:rPr>
        <w:t>) 5 – разъяснить, что изменение способа выбытия (перенос из категории «предназначенные для продажи» в категорию «предназначенные для распределения» или наоборот) не является изменением плана продажи или распределения и не должно отражаться в учете в качестве изменения данного плана. В поправке к МСФО (</w:t>
      </w:r>
      <w:r w:rsidRPr="00DB0AC3">
        <w:rPr>
          <w:rFonts w:cs="Arial"/>
          <w:sz w:val="20"/>
        </w:rPr>
        <w:t>IFRS</w:t>
      </w:r>
      <w:r w:rsidRPr="00DB0AC3">
        <w:rPr>
          <w:rFonts w:cs="Arial"/>
          <w:sz w:val="20"/>
          <w:lang w:val="ru-RU"/>
        </w:rPr>
        <w:t>) 7 содержатся дополнительные указания, помогающие руководству определить, означают ли условия соглашения по обслуживанию переданного финансового актива наличие продолжающегося участия для целей раскрытия</w:t>
      </w:r>
      <w:r w:rsidRPr="00DB0AC3">
        <w:rPr>
          <w:rFonts w:cs="Arial"/>
          <w:color w:val="000000"/>
          <w:sz w:val="20"/>
          <w:lang w:val="ru-RU"/>
        </w:rPr>
        <w:t xml:space="preserve"> информации в соответствии с требованиями МСФО (</w:t>
      </w:r>
      <w:r w:rsidRPr="00DB0AC3">
        <w:rPr>
          <w:rFonts w:cs="Arial"/>
          <w:color w:val="000000"/>
          <w:sz w:val="20"/>
        </w:rPr>
        <w:t>IFRS</w:t>
      </w:r>
      <w:r w:rsidRPr="00DB0AC3">
        <w:rPr>
          <w:rFonts w:cs="Arial"/>
          <w:color w:val="000000"/>
          <w:sz w:val="20"/>
          <w:lang w:val="ru-RU"/>
        </w:rPr>
        <w:t>) 7. В поправке к МСФО (</w:t>
      </w:r>
      <w:r w:rsidRPr="00DB0AC3">
        <w:rPr>
          <w:rFonts w:cs="Arial"/>
          <w:color w:val="000000"/>
          <w:sz w:val="20"/>
        </w:rPr>
        <w:t>IAS</w:t>
      </w:r>
      <w:r w:rsidRPr="00DB0AC3">
        <w:rPr>
          <w:rFonts w:cs="Arial"/>
          <w:color w:val="000000"/>
          <w:sz w:val="20"/>
          <w:lang w:val="ru-RU"/>
        </w:rPr>
        <w:t xml:space="preserve">) 19 разъясняется, что применительно к обязательствам по выплате вознаграждений по окончании трудовой деятельности решения, касающиеся ставки дисконтирования, наличия развитого рынка («глубокого рынка») высококачественных корпоративных облигаций, или решения о том, какие государственные облигации использовать в качестве ориентира, должны быть основаны на той валюте, в которой выражены обязательства, а не </w:t>
      </w:r>
      <w:r w:rsidR="00A91016">
        <w:rPr>
          <w:rFonts w:cs="Arial"/>
          <w:color w:val="000000"/>
          <w:sz w:val="20"/>
          <w:lang w:val="ru-RU"/>
        </w:rPr>
        <w:t xml:space="preserve">в </w:t>
      </w:r>
      <w:r w:rsidRPr="00DB0AC3">
        <w:rPr>
          <w:rFonts w:cs="Arial"/>
          <w:color w:val="000000"/>
          <w:sz w:val="20"/>
          <w:lang w:val="ru-RU"/>
        </w:rPr>
        <w:t>валюте той страны, в которой данные обязательства возникают. В МСФО (</w:t>
      </w:r>
      <w:r w:rsidRPr="00DB0AC3">
        <w:rPr>
          <w:rFonts w:cs="Arial"/>
          <w:color w:val="000000"/>
          <w:sz w:val="20"/>
        </w:rPr>
        <w:t>IAS</w:t>
      </w:r>
      <w:r w:rsidRPr="00DB0AC3">
        <w:rPr>
          <w:rFonts w:cs="Arial"/>
          <w:color w:val="000000"/>
          <w:sz w:val="20"/>
          <w:lang w:val="ru-RU"/>
        </w:rPr>
        <w:t xml:space="preserve">) 34 введено требование, согласно которому промежуточная финансовая отчетность должна содержать перекрестную ссылку на местоположение «в других формах промежуточной финансовой отчетности». </w:t>
      </w:r>
      <w:r w:rsidRPr="00DB0AC3">
        <w:rPr>
          <w:rFonts w:cs="Arial"/>
          <w:color w:val="000000" w:themeColor="text1"/>
          <w:sz w:val="20"/>
          <w:lang w:val="ru-RU"/>
        </w:rPr>
        <w:t>В настоящее время Банк проводит оценку влияния этих поправок на финансовую отчетность.</w:t>
      </w:r>
    </w:p>
    <w:p w:rsidR="00D71B06" w:rsidRPr="00DB0AC3" w:rsidRDefault="00D71B06" w:rsidP="00D71B06">
      <w:pPr>
        <w:autoSpaceDE w:val="0"/>
        <w:autoSpaceDN w:val="0"/>
        <w:adjustRightInd w:val="0"/>
        <w:spacing w:after="240"/>
        <w:jc w:val="both"/>
        <w:rPr>
          <w:rFonts w:cs="Arial"/>
          <w:color w:val="000000"/>
          <w:sz w:val="20"/>
          <w:lang w:val="ru-RU"/>
        </w:rPr>
      </w:pPr>
      <w:r w:rsidRPr="00DB0AC3">
        <w:rPr>
          <w:rFonts w:cs="Arial"/>
          <w:b/>
          <w:bCs/>
          <w:i/>
          <w:iCs/>
          <w:color w:val="000000"/>
          <w:sz w:val="20"/>
          <w:lang w:val="ru-RU"/>
        </w:rPr>
        <w:t xml:space="preserve">«Раскрытие информации» </w:t>
      </w:r>
      <w:r w:rsidRPr="00DB0AC3">
        <w:rPr>
          <w:rFonts w:cs="Arial"/>
          <w:b/>
          <w:spacing w:val="-6"/>
          <w:sz w:val="20"/>
          <w:lang w:val="ru-RU"/>
        </w:rPr>
        <w:t>–</w:t>
      </w:r>
      <w:r w:rsidRPr="00DB0AC3">
        <w:rPr>
          <w:rFonts w:cs="Arial"/>
          <w:b/>
          <w:bCs/>
          <w:i/>
          <w:iCs/>
          <w:color w:val="000000"/>
          <w:sz w:val="20"/>
          <w:lang w:val="ru-RU"/>
        </w:rPr>
        <w:t xml:space="preserve"> Поправки к МСФО (</w:t>
      </w:r>
      <w:r w:rsidRPr="00DB0AC3">
        <w:rPr>
          <w:rFonts w:cs="Arial"/>
          <w:b/>
          <w:bCs/>
          <w:i/>
          <w:iCs/>
          <w:color w:val="000000"/>
          <w:sz w:val="20"/>
        </w:rPr>
        <w:t>IAS</w:t>
      </w:r>
      <w:r w:rsidRPr="00DB0AC3">
        <w:rPr>
          <w:rFonts w:cs="Arial"/>
          <w:b/>
          <w:bCs/>
          <w:i/>
          <w:iCs/>
          <w:color w:val="000000"/>
          <w:sz w:val="20"/>
          <w:lang w:val="ru-RU"/>
        </w:rPr>
        <w:t xml:space="preserve">) 1 (выпущены в декабре 2014 г. и вступают в силу для годовых периодов, начинающихся 1 января 2016 г.). </w:t>
      </w:r>
      <w:r w:rsidRPr="00DB0AC3">
        <w:rPr>
          <w:rFonts w:cs="Arial"/>
          <w:color w:val="000000"/>
          <w:sz w:val="20"/>
          <w:lang w:val="ru-RU"/>
        </w:rPr>
        <w:t>В стандарт были внесены поправки, уточняющие понятие существенности и разъясняющие, что предприятию не нужно представлять раскрытия информации, требуемые МСФО</w:t>
      </w:r>
      <w:r w:rsidR="00A91016">
        <w:rPr>
          <w:rFonts w:cs="Arial"/>
          <w:color w:val="000000"/>
          <w:sz w:val="20"/>
          <w:lang w:val="ru-RU"/>
        </w:rPr>
        <w:t>,</w:t>
      </w:r>
      <w:r w:rsidRPr="00DB0AC3">
        <w:rPr>
          <w:rFonts w:cs="Arial"/>
          <w:color w:val="000000"/>
          <w:sz w:val="20"/>
          <w:lang w:val="ru-RU"/>
        </w:rPr>
        <w:t xml:space="preserve"> в случае их несущественности, даже если такие раскрытия включены в список требований определенного стандарта международной финансовой отчетности или являются минимально необходимыми раскрытиями. В стандарт также включено новое руководство по представлению в финансовой отчетности промежуточных итоговых сумм, в соответствии с которым промежуточные итоговые суммы (а) должны включать статьи, признание и оценка которых осуществляется в соответствии с МСФО; (б) должны быть представлены и обозначены так, чтобы обеспечивалось понимание компонентов промежуточных итоговых сумм; (в) должны быть последовательными от периода к периоду; и (г) должны быть отражены таким образом, чтобы на их представлении не был сделан больший акцент, чем на представлении промежуточных итоговых сумм и итоговых сумм, требуемых МСФО.</w:t>
      </w:r>
    </w:p>
    <w:p w:rsidR="00D71B06" w:rsidRPr="00DB0AC3" w:rsidRDefault="00D71B06" w:rsidP="00D71B06">
      <w:pPr>
        <w:spacing w:after="240"/>
        <w:jc w:val="both"/>
        <w:rPr>
          <w:rFonts w:cs="Arial"/>
          <w:color w:val="000000"/>
          <w:sz w:val="20"/>
          <w:lang w:val="ru-RU"/>
        </w:rPr>
      </w:pPr>
      <w:r w:rsidRPr="00DB0AC3">
        <w:rPr>
          <w:rFonts w:cs="Arial"/>
          <w:b/>
          <w:bCs/>
          <w:i/>
          <w:iCs/>
          <w:color w:val="000000"/>
          <w:sz w:val="20"/>
          <w:lang w:val="ru-RU"/>
        </w:rPr>
        <w:t xml:space="preserve">«Применение исключения из требования консолидации для инвестиционных компаний» </w:t>
      </w:r>
      <w:r w:rsidRPr="00DB0AC3">
        <w:rPr>
          <w:rFonts w:cs="Arial"/>
          <w:b/>
          <w:spacing w:val="-6"/>
          <w:sz w:val="20"/>
          <w:lang w:val="ru-RU"/>
        </w:rPr>
        <w:t>–</w:t>
      </w:r>
      <w:r w:rsidRPr="00DB0AC3">
        <w:rPr>
          <w:rFonts w:cs="Arial"/>
          <w:b/>
          <w:bCs/>
          <w:i/>
          <w:iCs/>
          <w:color w:val="000000"/>
          <w:sz w:val="20"/>
          <w:lang w:val="ru-RU"/>
        </w:rPr>
        <w:t xml:space="preserve"> Поправки к МСФО (</w:t>
      </w:r>
      <w:r w:rsidRPr="00DB0AC3">
        <w:rPr>
          <w:rFonts w:cs="Arial"/>
          <w:b/>
          <w:bCs/>
          <w:i/>
          <w:iCs/>
          <w:color w:val="000000"/>
          <w:sz w:val="20"/>
        </w:rPr>
        <w:t>IFRS</w:t>
      </w:r>
      <w:r w:rsidRPr="00DB0AC3">
        <w:rPr>
          <w:rFonts w:cs="Arial"/>
          <w:b/>
          <w:bCs/>
          <w:i/>
          <w:iCs/>
          <w:color w:val="000000"/>
          <w:sz w:val="20"/>
          <w:lang w:val="ru-RU"/>
        </w:rPr>
        <w:t>) 10, МСФО (</w:t>
      </w:r>
      <w:r w:rsidRPr="00DB0AC3">
        <w:rPr>
          <w:rFonts w:cs="Arial"/>
          <w:b/>
          <w:bCs/>
          <w:i/>
          <w:iCs/>
          <w:color w:val="000000"/>
          <w:sz w:val="20"/>
        </w:rPr>
        <w:t>IFRS</w:t>
      </w:r>
      <w:r w:rsidRPr="00DB0AC3">
        <w:rPr>
          <w:rFonts w:cs="Arial"/>
          <w:b/>
          <w:bCs/>
          <w:i/>
          <w:iCs/>
          <w:color w:val="000000"/>
          <w:sz w:val="20"/>
          <w:lang w:val="ru-RU"/>
        </w:rPr>
        <w:t>) 12 и МСФО (</w:t>
      </w:r>
      <w:r w:rsidRPr="00DB0AC3">
        <w:rPr>
          <w:rFonts w:cs="Arial"/>
          <w:b/>
          <w:bCs/>
          <w:i/>
          <w:iCs/>
          <w:color w:val="000000"/>
          <w:sz w:val="20"/>
        </w:rPr>
        <w:t>IAS</w:t>
      </w:r>
      <w:r w:rsidRPr="00DB0AC3">
        <w:rPr>
          <w:rFonts w:cs="Arial"/>
          <w:b/>
          <w:bCs/>
          <w:i/>
          <w:iCs/>
          <w:color w:val="000000"/>
          <w:sz w:val="20"/>
          <w:lang w:val="ru-RU"/>
        </w:rPr>
        <w:t>) 28 (выпущены в августе 2014 г. и вступают в силу для годовых периодов, начинающихся 1 января 2016 г.).</w:t>
      </w:r>
      <w:r w:rsidR="00FD1D5D" w:rsidRPr="00DB0AC3">
        <w:rPr>
          <w:rFonts w:cs="Arial"/>
          <w:b/>
          <w:bCs/>
          <w:i/>
          <w:iCs/>
          <w:color w:val="000000"/>
          <w:sz w:val="20"/>
          <w:lang w:val="ru-RU"/>
        </w:rPr>
        <w:t> </w:t>
      </w:r>
      <w:r w:rsidRPr="00DB0AC3">
        <w:rPr>
          <w:rFonts w:cs="Arial"/>
          <w:color w:val="000000"/>
          <w:sz w:val="20"/>
          <w:lang w:val="ru-RU"/>
        </w:rPr>
        <w:t xml:space="preserve">Эти поправки поясняют, что инвестиционная компания обязана оценивать свои инвестиции в дочерние предприятия, являющиеся инвестиционными компаниями, по справедливой стоимости через прибыли или убытки. Помимо этого, исключение из требования о составлении  отчетности в случае, если конечное или любое материнское предприятие указанного предприятия представляет </w:t>
      </w:r>
      <w:r w:rsidRPr="00DB0AC3">
        <w:rPr>
          <w:rFonts w:cs="Arial"/>
          <w:color w:val="000000"/>
          <w:sz w:val="20"/>
          <w:lang w:val="ru-RU"/>
        </w:rPr>
        <w:lastRenderedPageBreak/>
        <w:t>консолидированную финансовую отчетность, доступную для открытого пользования, дополнено пояснением о том, что данное исключение применяется независимо от того, включено ли дочернее предприятие в консолидацию или оценено по справедливой стоимости через прибыли или убытки в соответствии с МСФО (</w:t>
      </w:r>
      <w:r w:rsidRPr="00DB0AC3">
        <w:rPr>
          <w:rFonts w:cs="Arial"/>
          <w:color w:val="000000"/>
          <w:sz w:val="20"/>
        </w:rPr>
        <w:t>IFRS</w:t>
      </w:r>
      <w:r w:rsidRPr="00DB0AC3">
        <w:rPr>
          <w:rFonts w:cs="Arial"/>
          <w:color w:val="000000"/>
          <w:sz w:val="20"/>
          <w:lang w:val="ru-RU"/>
        </w:rPr>
        <w:t>) 10 в  финансовой отчетности указанного конечного или любого материнского предприятия.</w:t>
      </w:r>
    </w:p>
    <w:p w:rsidR="00D71B06" w:rsidRPr="00DB0AC3" w:rsidRDefault="00D71B06" w:rsidP="00D71B06">
      <w:pPr>
        <w:autoSpaceDE w:val="0"/>
        <w:autoSpaceDN w:val="0"/>
        <w:adjustRightInd w:val="0"/>
        <w:spacing w:after="240"/>
        <w:jc w:val="both"/>
        <w:rPr>
          <w:rFonts w:cs="Arial"/>
          <w:sz w:val="20"/>
          <w:lang w:val="ru-RU"/>
        </w:rPr>
      </w:pPr>
      <w:r w:rsidRPr="00DB0AC3">
        <w:rPr>
          <w:rFonts w:cs="Arial"/>
          <w:sz w:val="20"/>
          <w:lang w:val="ru-RU"/>
        </w:rPr>
        <w:t>Если выше не указано иное, ожидается, что данные новые стандарты и интерпретации существенно не повлияют на</w:t>
      </w:r>
      <w:r w:rsidR="00B86F90">
        <w:rPr>
          <w:rFonts w:cs="Arial"/>
          <w:sz w:val="20"/>
          <w:lang w:val="ru-RU"/>
        </w:rPr>
        <w:t xml:space="preserve"> </w:t>
      </w:r>
      <w:r w:rsidRPr="00DB0AC3">
        <w:rPr>
          <w:rFonts w:cs="Arial"/>
          <w:sz w:val="20"/>
          <w:lang w:val="ru-RU"/>
        </w:rPr>
        <w:t>финансовую отчетность Банка.</w:t>
      </w:r>
    </w:p>
    <w:p w:rsidR="00D71B06" w:rsidRPr="00DB0AC3" w:rsidRDefault="00D71B06" w:rsidP="00D71B06">
      <w:pPr>
        <w:pStyle w:val="1"/>
        <w:keepNext w:val="0"/>
        <w:pageBreakBefore/>
        <w:widowControl w:val="0"/>
        <w:numPr>
          <w:ilvl w:val="0"/>
          <w:numId w:val="3"/>
        </w:numPr>
        <w:spacing w:before="0"/>
        <w:rPr>
          <w:rFonts w:cs="Arial"/>
          <w:lang w:val="ru-RU"/>
        </w:rPr>
      </w:pPr>
      <w:bookmarkStart w:id="45" w:name="_Toc290639455"/>
      <w:bookmarkStart w:id="46" w:name="_Toc441479792"/>
      <w:bookmarkStart w:id="47" w:name="_Ref119391608"/>
      <w:bookmarkEnd w:id="42"/>
      <w:bookmarkEnd w:id="43"/>
      <w:bookmarkEnd w:id="44"/>
      <w:bookmarkEnd w:id="45"/>
      <w:r w:rsidRPr="00DB0AC3">
        <w:rPr>
          <w:rFonts w:cs="Arial"/>
          <w:lang w:val="ru-RU"/>
        </w:rPr>
        <w:lastRenderedPageBreak/>
        <w:t>Денежные средства и их эквиваленты</w:t>
      </w:r>
      <w:bookmarkEnd w:id="46"/>
    </w:p>
    <w:tbl>
      <w:tblPr>
        <w:tblW w:w="9654" w:type="dxa"/>
        <w:tblInd w:w="93" w:type="dxa"/>
        <w:tblLook w:val="04A0"/>
      </w:tblPr>
      <w:tblGrid>
        <w:gridCol w:w="6846"/>
        <w:gridCol w:w="1391"/>
        <w:gridCol w:w="1417"/>
      </w:tblGrid>
      <w:tr w:rsidR="00D71B06" w:rsidRPr="00DB0AC3" w:rsidTr="00D12CD0">
        <w:tc>
          <w:tcPr>
            <w:tcW w:w="6846" w:type="dxa"/>
            <w:tcBorders>
              <w:top w:val="nil"/>
              <w:left w:val="nil"/>
              <w:bottom w:val="single" w:sz="4" w:space="0" w:color="auto"/>
              <w:right w:val="nil"/>
            </w:tcBorders>
            <w:shd w:val="clear" w:color="000000" w:fill="FFFFFF"/>
            <w:vAlign w:val="bottom"/>
            <w:hideMark/>
          </w:tcPr>
          <w:p w:rsidR="00D71B06" w:rsidRPr="00DB0AC3" w:rsidRDefault="00D71B06" w:rsidP="006A4C42">
            <w:pPr>
              <w:ind w:left="88" w:hanging="88"/>
              <w:rPr>
                <w:rFonts w:cs="Arial"/>
                <w:i/>
                <w:iCs/>
                <w:color w:val="000000"/>
                <w:sz w:val="20"/>
                <w:lang w:val="ru-RU"/>
              </w:rPr>
            </w:pPr>
            <w:bookmarkStart w:id="48" w:name="_Toc324427332"/>
            <w:bookmarkStart w:id="49" w:name="_Toc324427374"/>
            <w:bookmarkStart w:id="50" w:name="_Toc324427685"/>
            <w:bookmarkStart w:id="51" w:name="_Toc324427727"/>
            <w:bookmarkStart w:id="52" w:name="_Toc416086212"/>
            <w:bookmarkEnd w:id="48"/>
            <w:bookmarkEnd w:id="49"/>
            <w:bookmarkEnd w:id="50"/>
            <w:bookmarkEnd w:id="51"/>
          </w:p>
        </w:tc>
        <w:tc>
          <w:tcPr>
            <w:tcW w:w="1391" w:type="dxa"/>
            <w:tcBorders>
              <w:top w:val="nil"/>
              <w:left w:val="nil"/>
              <w:bottom w:val="single" w:sz="4" w:space="0" w:color="auto"/>
              <w:right w:val="nil"/>
            </w:tcBorders>
            <w:shd w:val="clear" w:color="000000" w:fill="FFFFFF"/>
            <w:hideMark/>
          </w:tcPr>
          <w:p w:rsidR="00D71B06" w:rsidRPr="00DB0AC3" w:rsidRDefault="00D71B06" w:rsidP="00D71B06">
            <w:pPr>
              <w:jc w:val="right"/>
              <w:rPr>
                <w:rFonts w:cs="Arial"/>
                <w:b/>
                <w:bCs/>
                <w:color w:val="000000"/>
                <w:sz w:val="20"/>
                <w:lang w:val="ru-RU"/>
              </w:rPr>
            </w:pPr>
            <w:r w:rsidRPr="00DB0AC3">
              <w:rPr>
                <w:rFonts w:cs="Arial"/>
                <w:b/>
                <w:bCs/>
                <w:color w:val="000000"/>
                <w:sz w:val="20"/>
                <w:lang w:val="ru-RU"/>
              </w:rPr>
              <w:t>31 декабря 2014</w:t>
            </w:r>
          </w:p>
        </w:tc>
        <w:tc>
          <w:tcPr>
            <w:tcW w:w="1417" w:type="dxa"/>
            <w:tcBorders>
              <w:top w:val="nil"/>
              <w:left w:val="nil"/>
              <w:bottom w:val="single" w:sz="4" w:space="0" w:color="auto"/>
              <w:right w:val="nil"/>
            </w:tcBorders>
            <w:shd w:val="clear" w:color="000000" w:fill="FFFFFF"/>
            <w:hideMark/>
          </w:tcPr>
          <w:p w:rsidR="00D71B06" w:rsidRPr="00DB0AC3" w:rsidRDefault="00D71B06" w:rsidP="00D71B06">
            <w:pPr>
              <w:jc w:val="right"/>
              <w:rPr>
                <w:rFonts w:cs="Arial"/>
                <w:b/>
                <w:bCs/>
                <w:color w:val="000000"/>
                <w:sz w:val="20"/>
                <w:lang w:val="ru-RU"/>
              </w:rPr>
            </w:pPr>
            <w:r w:rsidRPr="00DB0AC3">
              <w:rPr>
                <w:rFonts w:cs="Arial"/>
                <w:b/>
                <w:bCs/>
                <w:color w:val="000000"/>
                <w:sz w:val="20"/>
                <w:lang w:val="ru-RU"/>
              </w:rPr>
              <w:t>31 декабря 2013</w:t>
            </w:r>
          </w:p>
        </w:tc>
      </w:tr>
      <w:tr w:rsidR="00D71B06" w:rsidRPr="00DB0AC3" w:rsidTr="00D12CD0">
        <w:tc>
          <w:tcPr>
            <w:tcW w:w="6846" w:type="dxa"/>
            <w:shd w:val="clear" w:color="000000" w:fill="FFFFFF"/>
            <w:vAlign w:val="bottom"/>
            <w:hideMark/>
          </w:tcPr>
          <w:p w:rsidR="00D71B06" w:rsidRPr="006A4C42" w:rsidRDefault="00D71B06" w:rsidP="00D71B06">
            <w:pPr>
              <w:rPr>
                <w:rFonts w:cs="Arial"/>
                <w:bCs/>
                <w:color w:val="000000"/>
                <w:sz w:val="20"/>
                <w:lang w:val="ru-RU"/>
              </w:rPr>
            </w:pPr>
          </w:p>
          <w:p w:rsidR="00D71B06" w:rsidRPr="006A4C42" w:rsidRDefault="00D71B06" w:rsidP="00D71B06">
            <w:pPr>
              <w:rPr>
                <w:rFonts w:cs="Arial"/>
                <w:bCs/>
                <w:color w:val="000000"/>
                <w:sz w:val="20"/>
                <w:lang w:val="ru-RU"/>
              </w:rPr>
            </w:pPr>
            <w:r w:rsidRPr="006A4C42">
              <w:rPr>
                <w:rFonts w:cs="Arial"/>
                <w:bCs/>
                <w:color w:val="000000"/>
                <w:sz w:val="20"/>
                <w:lang w:val="ru-RU"/>
              </w:rPr>
              <w:t>Наличные денежные средства в кассе</w:t>
            </w:r>
          </w:p>
        </w:tc>
        <w:tc>
          <w:tcPr>
            <w:tcW w:w="1391"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550 282</w:t>
            </w:r>
          </w:p>
        </w:tc>
        <w:tc>
          <w:tcPr>
            <w:tcW w:w="1417"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1 315 230</w:t>
            </w:r>
          </w:p>
        </w:tc>
      </w:tr>
      <w:tr w:rsidR="00D71B06" w:rsidRPr="00DB0AC3" w:rsidTr="00D12CD0">
        <w:tc>
          <w:tcPr>
            <w:tcW w:w="6846" w:type="dxa"/>
            <w:shd w:val="clear" w:color="000000" w:fill="FFFFFF"/>
            <w:vAlign w:val="bottom"/>
            <w:hideMark/>
          </w:tcPr>
          <w:p w:rsidR="00D71B06" w:rsidRPr="006A4C42" w:rsidRDefault="00D71B06" w:rsidP="006B50F4">
            <w:pPr>
              <w:rPr>
                <w:rFonts w:cs="Arial"/>
                <w:bCs/>
                <w:color w:val="000000"/>
                <w:sz w:val="20"/>
                <w:lang w:val="ru-RU"/>
              </w:rPr>
            </w:pPr>
            <w:r w:rsidRPr="006A4C42">
              <w:rPr>
                <w:rFonts w:cs="Arial"/>
                <w:bCs/>
                <w:color w:val="000000"/>
                <w:sz w:val="20"/>
                <w:lang w:val="ru-RU"/>
              </w:rPr>
              <w:t xml:space="preserve">Корреспондентские счета в </w:t>
            </w:r>
            <w:r w:rsidR="006B50F4">
              <w:rPr>
                <w:rFonts w:cs="Arial"/>
                <w:bCs/>
                <w:color w:val="000000"/>
                <w:sz w:val="20"/>
                <w:lang w:val="ru-RU"/>
              </w:rPr>
              <w:t>Банке России</w:t>
            </w:r>
          </w:p>
        </w:tc>
        <w:tc>
          <w:tcPr>
            <w:tcW w:w="1391"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19 902</w:t>
            </w:r>
          </w:p>
        </w:tc>
        <w:tc>
          <w:tcPr>
            <w:tcW w:w="1417"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3 064 129</w:t>
            </w:r>
          </w:p>
        </w:tc>
      </w:tr>
      <w:tr w:rsidR="00D71B06" w:rsidRPr="00DB0AC3" w:rsidTr="00D12CD0">
        <w:tc>
          <w:tcPr>
            <w:tcW w:w="6846" w:type="dxa"/>
            <w:shd w:val="clear" w:color="000000" w:fill="FFFFFF"/>
            <w:vAlign w:val="bottom"/>
            <w:hideMark/>
          </w:tcPr>
          <w:p w:rsidR="00D71B06" w:rsidRPr="006A4C42" w:rsidRDefault="00D95971" w:rsidP="00D71B06">
            <w:pPr>
              <w:rPr>
                <w:rFonts w:cs="Arial"/>
                <w:bCs/>
                <w:color w:val="000000"/>
                <w:sz w:val="20"/>
                <w:lang w:val="ru-RU"/>
              </w:rPr>
            </w:pPr>
            <w:r>
              <w:rPr>
                <w:rFonts w:cs="Arial"/>
                <w:bCs/>
                <w:color w:val="000000"/>
                <w:sz w:val="20"/>
                <w:lang w:val="ru-RU"/>
              </w:rPr>
              <w:t>Средства на счетах для осуществления клиринга</w:t>
            </w:r>
          </w:p>
        </w:tc>
        <w:tc>
          <w:tcPr>
            <w:tcW w:w="1391"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40 264</w:t>
            </w:r>
          </w:p>
        </w:tc>
        <w:tc>
          <w:tcPr>
            <w:tcW w:w="1417"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110 703</w:t>
            </w:r>
          </w:p>
        </w:tc>
      </w:tr>
      <w:tr w:rsidR="00D71B06" w:rsidRPr="0046554E" w:rsidTr="00D12CD0">
        <w:tc>
          <w:tcPr>
            <w:tcW w:w="6846" w:type="dxa"/>
            <w:shd w:val="clear" w:color="000000" w:fill="FFFFFF"/>
            <w:vAlign w:val="bottom"/>
            <w:hideMark/>
          </w:tcPr>
          <w:p w:rsidR="00D71B06" w:rsidRPr="006A4C42" w:rsidRDefault="00D71B06" w:rsidP="00D71B06">
            <w:pPr>
              <w:rPr>
                <w:rFonts w:cs="Arial"/>
                <w:bCs/>
                <w:color w:val="000000"/>
                <w:sz w:val="20"/>
                <w:lang w:val="ru-RU"/>
              </w:rPr>
            </w:pPr>
            <w:r w:rsidRPr="006A4C42">
              <w:rPr>
                <w:rFonts w:cs="Arial"/>
                <w:bCs/>
                <w:color w:val="000000"/>
                <w:sz w:val="20"/>
                <w:lang w:val="ru-RU"/>
              </w:rPr>
              <w:t>Корреспондентские счета и краткосрочные депозиты в банках</w:t>
            </w:r>
          </w:p>
        </w:tc>
        <w:tc>
          <w:tcPr>
            <w:tcW w:w="1391" w:type="dxa"/>
            <w:shd w:val="clear" w:color="000000" w:fill="FFFFFF"/>
            <w:vAlign w:val="bottom"/>
            <w:hideMark/>
          </w:tcPr>
          <w:p w:rsidR="00D71B06" w:rsidRPr="006A4C42" w:rsidRDefault="00D71B06" w:rsidP="00D71B06">
            <w:pPr>
              <w:jc w:val="right"/>
              <w:rPr>
                <w:rFonts w:cs="Arial"/>
                <w:bCs/>
                <w:color w:val="000000"/>
                <w:sz w:val="20"/>
                <w:lang w:val="ru-RU"/>
              </w:rPr>
            </w:pPr>
          </w:p>
        </w:tc>
        <w:tc>
          <w:tcPr>
            <w:tcW w:w="1417" w:type="dxa"/>
            <w:shd w:val="clear" w:color="000000" w:fill="FFFFFF"/>
            <w:vAlign w:val="bottom"/>
            <w:hideMark/>
          </w:tcPr>
          <w:p w:rsidR="00D71B06" w:rsidRPr="006A4C42" w:rsidRDefault="00D71B06" w:rsidP="00D71B06">
            <w:pPr>
              <w:jc w:val="right"/>
              <w:rPr>
                <w:rFonts w:cs="Arial"/>
                <w:bCs/>
                <w:color w:val="000000"/>
                <w:sz w:val="20"/>
                <w:lang w:val="ru-RU"/>
              </w:rPr>
            </w:pPr>
          </w:p>
        </w:tc>
      </w:tr>
      <w:tr w:rsidR="00D71B06" w:rsidRPr="00DB0AC3" w:rsidTr="00D12CD0">
        <w:tc>
          <w:tcPr>
            <w:tcW w:w="6846" w:type="dxa"/>
            <w:shd w:val="clear" w:color="000000" w:fill="FFFFFF"/>
            <w:vAlign w:val="bottom"/>
            <w:hideMark/>
          </w:tcPr>
          <w:p w:rsidR="00D71B06" w:rsidRPr="006A4C42" w:rsidRDefault="00D71B06" w:rsidP="00D71B06">
            <w:pPr>
              <w:rPr>
                <w:rFonts w:cs="Arial"/>
                <w:bCs/>
                <w:color w:val="000000"/>
                <w:sz w:val="20"/>
                <w:lang w:val="ru-RU"/>
              </w:rPr>
            </w:pPr>
            <w:r w:rsidRPr="006A4C42">
              <w:rPr>
                <w:rFonts w:cs="Arial"/>
                <w:bCs/>
                <w:color w:val="000000"/>
                <w:sz w:val="20"/>
                <w:lang w:val="ru-RU"/>
              </w:rPr>
              <w:t>- Российской Федерации</w:t>
            </w:r>
          </w:p>
        </w:tc>
        <w:tc>
          <w:tcPr>
            <w:tcW w:w="1391"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111 621</w:t>
            </w:r>
          </w:p>
        </w:tc>
        <w:tc>
          <w:tcPr>
            <w:tcW w:w="1417" w:type="dxa"/>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245 104</w:t>
            </w:r>
          </w:p>
        </w:tc>
      </w:tr>
      <w:tr w:rsidR="00D71B06" w:rsidRPr="00DB0AC3" w:rsidTr="00D12CD0">
        <w:tc>
          <w:tcPr>
            <w:tcW w:w="6846" w:type="dxa"/>
            <w:shd w:val="clear" w:color="000000" w:fill="FFFFFF"/>
            <w:vAlign w:val="bottom"/>
            <w:hideMark/>
          </w:tcPr>
          <w:p w:rsidR="00D71B06" w:rsidRPr="006A4C42" w:rsidRDefault="00D71B06" w:rsidP="00D71B06">
            <w:pPr>
              <w:rPr>
                <w:rFonts w:cs="Arial"/>
                <w:bCs/>
                <w:color w:val="000000"/>
                <w:sz w:val="20"/>
                <w:lang w:val="ru-RU"/>
              </w:rPr>
            </w:pPr>
            <w:r w:rsidRPr="006A4C42">
              <w:rPr>
                <w:rFonts w:cs="Arial"/>
                <w:bCs/>
                <w:color w:val="000000"/>
                <w:sz w:val="20"/>
                <w:lang w:val="ru-RU"/>
              </w:rPr>
              <w:t>- других стран</w:t>
            </w:r>
          </w:p>
        </w:tc>
        <w:tc>
          <w:tcPr>
            <w:tcW w:w="1391" w:type="dxa"/>
            <w:tcBorders>
              <w:bottom w:val="single" w:sz="4" w:space="0" w:color="auto"/>
            </w:tcBorders>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3 117</w:t>
            </w:r>
          </w:p>
        </w:tc>
        <w:tc>
          <w:tcPr>
            <w:tcW w:w="1417" w:type="dxa"/>
            <w:tcBorders>
              <w:bottom w:val="single" w:sz="4" w:space="0" w:color="auto"/>
            </w:tcBorders>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642 910</w:t>
            </w:r>
          </w:p>
        </w:tc>
      </w:tr>
      <w:tr w:rsidR="00D71B06" w:rsidRPr="00DB0AC3" w:rsidTr="00D12CD0">
        <w:tc>
          <w:tcPr>
            <w:tcW w:w="6846" w:type="dxa"/>
            <w:shd w:val="clear" w:color="000000" w:fill="FFFFFF"/>
            <w:vAlign w:val="bottom"/>
            <w:hideMark/>
          </w:tcPr>
          <w:p w:rsidR="00D71B06" w:rsidRPr="00DB0AC3" w:rsidRDefault="00D71B06" w:rsidP="00D71B06">
            <w:pPr>
              <w:rPr>
                <w:rFonts w:cs="Arial"/>
                <w:b/>
                <w:bCs/>
                <w:color w:val="000000"/>
                <w:sz w:val="20"/>
                <w:lang w:val="ru-RU"/>
              </w:rPr>
            </w:pPr>
            <w:r w:rsidRPr="00DB0AC3">
              <w:rPr>
                <w:rFonts w:cs="Arial"/>
                <w:b/>
                <w:bCs/>
                <w:color w:val="000000"/>
                <w:sz w:val="20"/>
                <w:lang w:val="ru-RU"/>
              </w:rPr>
              <w:t> </w:t>
            </w:r>
          </w:p>
        </w:tc>
        <w:tc>
          <w:tcPr>
            <w:tcW w:w="1391" w:type="dxa"/>
            <w:tcBorders>
              <w:top w:val="single" w:sz="4" w:space="0" w:color="auto"/>
              <w:bottom w:val="single" w:sz="4" w:space="0" w:color="auto"/>
            </w:tcBorders>
            <w:shd w:val="clear" w:color="000000" w:fill="FFFFFF"/>
            <w:vAlign w:val="bottom"/>
            <w:hideMark/>
          </w:tcPr>
          <w:p w:rsidR="00D71B06" w:rsidRPr="006A4C42" w:rsidRDefault="00D71B06" w:rsidP="00D71B06">
            <w:pPr>
              <w:jc w:val="right"/>
              <w:rPr>
                <w:rFonts w:cs="Arial"/>
                <w:bCs/>
                <w:color w:val="000000"/>
                <w:sz w:val="20"/>
                <w:lang w:val="ru-RU"/>
              </w:rPr>
            </w:pPr>
          </w:p>
          <w:p w:rsidR="00D71B06" w:rsidRPr="006A4C42" w:rsidRDefault="00D71B06" w:rsidP="00D71B06">
            <w:pPr>
              <w:jc w:val="right"/>
              <w:rPr>
                <w:rFonts w:cs="Arial"/>
                <w:bCs/>
                <w:color w:val="000000"/>
                <w:sz w:val="20"/>
                <w:lang w:val="ru-RU"/>
              </w:rPr>
            </w:pPr>
            <w:r w:rsidRPr="006A4C42">
              <w:rPr>
                <w:rFonts w:cs="Arial"/>
                <w:bCs/>
                <w:color w:val="000000"/>
                <w:sz w:val="20"/>
                <w:lang w:val="ru-RU"/>
              </w:rPr>
              <w:t>174 904</w:t>
            </w:r>
          </w:p>
        </w:tc>
        <w:tc>
          <w:tcPr>
            <w:tcW w:w="1417" w:type="dxa"/>
            <w:tcBorders>
              <w:top w:val="single" w:sz="4" w:space="0" w:color="auto"/>
              <w:bottom w:val="single" w:sz="4" w:space="0" w:color="auto"/>
            </w:tcBorders>
            <w:shd w:val="clear" w:color="000000" w:fill="FFFFFF"/>
            <w:vAlign w:val="bottom"/>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4 062 846</w:t>
            </w:r>
          </w:p>
        </w:tc>
      </w:tr>
      <w:tr w:rsidR="00D71B06" w:rsidRPr="00DB0AC3" w:rsidTr="00D12CD0">
        <w:tc>
          <w:tcPr>
            <w:tcW w:w="6846" w:type="dxa"/>
            <w:shd w:val="clear" w:color="000000" w:fill="FFFFFF"/>
            <w:vAlign w:val="bottom"/>
            <w:hideMark/>
          </w:tcPr>
          <w:p w:rsidR="00D71B06" w:rsidRPr="00DB0AC3" w:rsidRDefault="00D71B06" w:rsidP="00D71B06">
            <w:pPr>
              <w:rPr>
                <w:rFonts w:cs="Arial"/>
                <w:b/>
                <w:bCs/>
                <w:color w:val="000000"/>
                <w:sz w:val="20"/>
                <w:lang w:val="ru-RU"/>
              </w:rPr>
            </w:pPr>
          </w:p>
          <w:p w:rsidR="00D71B06" w:rsidRPr="00DB0AC3" w:rsidRDefault="00D71B06" w:rsidP="00D71B06">
            <w:pPr>
              <w:rPr>
                <w:rFonts w:cs="Arial"/>
                <w:b/>
                <w:bCs/>
                <w:color w:val="000000"/>
                <w:sz w:val="20"/>
                <w:lang w:val="ru-RU"/>
              </w:rPr>
            </w:pPr>
            <w:r w:rsidRPr="00DB0AC3">
              <w:rPr>
                <w:rFonts w:cs="Arial"/>
                <w:b/>
                <w:bCs/>
                <w:color w:val="000000"/>
                <w:sz w:val="20"/>
                <w:lang w:val="ru-RU"/>
              </w:rPr>
              <w:t>Итого денежных средств и их эквивалентов</w:t>
            </w:r>
          </w:p>
        </w:tc>
        <w:tc>
          <w:tcPr>
            <w:tcW w:w="1391" w:type="dxa"/>
            <w:tcBorders>
              <w:top w:val="single" w:sz="4" w:space="0" w:color="auto"/>
              <w:bottom w:val="single" w:sz="4" w:space="0" w:color="auto"/>
            </w:tcBorders>
            <w:shd w:val="clear" w:color="000000" w:fill="FFFFFF"/>
            <w:vAlign w:val="bottom"/>
            <w:hideMark/>
          </w:tcPr>
          <w:p w:rsidR="00D71B06" w:rsidRPr="00DB0AC3" w:rsidRDefault="00D71B06" w:rsidP="00D71B06">
            <w:pPr>
              <w:jc w:val="right"/>
              <w:rPr>
                <w:rFonts w:cs="Arial"/>
                <w:b/>
                <w:bCs/>
                <w:color w:val="000000"/>
                <w:sz w:val="20"/>
                <w:lang w:val="ru-RU"/>
              </w:rPr>
            </w:pPr>
            <w:r w:rsidRPr="00DB0AC3">
              <w:rPr>
                <w:rFonts w:cs="Arial"/>
                <w:b/>
                <w:bCs/>
                <w:color w:val="000000"/>
                <w:sz w:val="20"/>
                <w:lang w:val="ru-RU"/>
              </w:rPr>
              <w:t>725 186</w:t>
            </w:r>
          </w:p>
        </w:tc>
        <w:tc>
          <w:tcPr>
            <w:tcW w:w="1417" w:type="dxa"/>
            <w:tcBorders>
              <w:top w:val="single" w:sz="4" w:space="0" w:color="auto"/>
              <w:bottom w:val="single" w:sz="4" w:space="0" w:color="auto"/>
            </w:tcBorders>
            <w:shd w:val="clear" w:color="000000" w:fill="FFFFFF"/>
            <w:vAlign w:val="bottom"/>
            <w:hideMark/>
          </w:tcPr>
          <w:p w:rsidR="00D71B06" w:rsidRPr="00DB0AC3" w:rsidRDefault="00D71B06" w:rsidP="00D71B06">
            <w:pPr>
              <w:jc w:val="right"/>
              <w:rPr>
                <w:rFonts w:cs="Arial"/>
                <w:b/>
                <w:bCs/>
                <w:color w:val="000000"/>
                <w:sz w:val="20"/>
                <w:lang w:val="ru-RU"/>
              </w:rPr>
            </w:pPr>
            <w:r w:rsidRPr="00DB0AC3">
              <w:rPr>
                <w:rFonts w:cs="Arial"/>
                <w:b/>
                <w:bCs/>
                <w:color w:val="000000"/>
                <w:sz w:val="20"/>
                <w:lang w:val="ru-RU"/>
              </w:rPr>
              <w:t>5 378 076</w:t>
            </w:r>
          </w:p>
        </w:tc>
      </w:tr>
    </w:tbl>
    <w:p w:rsidR="00D71B06" w:rsidRPr="00DB0AC3" w:rsidRDefault="00D71B06" w:rsidP="00D71B06">
      <w:pPr>
        <w:pStyle w:val="ABC-paragrahinNotes"/>
        <w:spacing w:before="240"/>
        <w:rPr>
          <w:rFonts w:cs="Arial"/>
          <w:lang w:val="ru-RU"/>
        </w:rPr>
      </w:pPr>
      <w:r w:rsidRPr="00DB0AC3">
        <w:rPr>
          <w:rFonts w:cs="Arial"/>
          <w:lang w:val="ru-RU"/>
        </w:rPr>
        <w:t>В таблице ниже представлен анализ денежных средств и их эквивалентов, за исключением наличных средств, по кредитному качеству по состоянию на 31 декабря 2014 года:</w:t>
      </w:r>
    </w:p>
    <w:tbl>
      <w:tblPr>
        <w:tblW w:w="9654" w:type="dxa"/>
        <w:tblInd w:w="93" w:type="dxa"/>
        <w:tblLook w:val="04A0"/>
      </w:tblPr>
      <w:tblGrid>
        <w:gridCol w:w="6846"/>
        <w:gridCol w:w="1391"/>
        <w:gridCol w:w="1417"/>
      </w:tblGrid>
      <w:tr w:rsidR="00D71B06" w:rsidRPr="00DB0AC3" w:rsidTr="00D12CD0">
        <w:tc>
          <w:tcPr>
            <w:tcW w:w="6846" w:type="dxa"/>
            <w:tcBorders>
              <w:top w:val="nil"/>
              <w:left w:val="nil"/>
              <w:bottom w:val="single" w:sz="4" w:space="0" w:color="auto"/>
              <w:right w:val="nil"/>
            </w:tcBorders>
            <w:shd w:val="clear" w:color="000000" w:fill="FFFFFF"/>
            <w:vAlign w:val="bottom"/>
            <w:hideMark/>
          </w:tcPr>
          <w:p w:rsidR="00D71B06" w:rsidRPr="00DB0AC3" w:rsidRDefault="00D71B06" w:rsidP="00D71B06">
            <w:pPr>
              <w:ind w:left="88" w:hanging="88"/>
              <w:rPr>
                <w:rFonts w:cs="Arial"/>
                <w:i/>
                <w:iCs/>
                <w:color w:val="000000"/>
                <w:sz w:val="20"/>
                <w:lang w:val="ru-RU"/>
              </w:rPr>
            </w:pPr>
          </w:p>
        </w:tc>
        <w:tc>
          <w:tcPr>
            <w:tcW w:w="1391" w:type="dxa"/>
            <w:tcBorders>
              <w:top w:val="nil"/>
              <w:left w:val="nil"/>
              <w:bottom w:val="single" w:sz="4" w:space="0" w:color="auto"/>
              <w:right w:val="nil"/>
            </w:tcBorders>
            <w:shd w:val="clear" w:color="000000" w:fill="FFFFFF"/>
            <w:hideMark/>
          </w:tcPr>
          <w:p w:rsidR="00D71B06" w:rsidRPr="00DB0AC3" w:rsidRDefault="00D71B06" w:rsidP="00D71B06">
            <w:pPr>
              <w:jc w:val="right"/>
              <w:rPr>
                <w:rFonts w:cs="Arial"/>
                <w:b/>
                <w:bCs/>
                <w:color w:val="000000"/>
                <w:sz w:val="20"/>
                <w:lang w:val="ru-RU"/>
              </w:rPr>
            </w:pPr>
            <w:r w:rsidRPr="00DB0AC3">
              <w:rPr>
                <w:rFonts w:cs="Arial"/>
                <w:b/>
                <w:bCs/>
                <w:color w:val="000000"/>
                <w:sz w:val="20"/>
                <w:lang w:val="ru-RU"/>
              </w:rPr>
              <w:t>31 декабря 2014</w:t>
            </w:r>
          </w:p>
        </w:tc>
        <w:tc>
          <w:tcPr>
            <w:tcW w:w="1417" w:type="dxa"/>
            <w:tcBorders>
              <w:top w:val="nil"/>
              <w:left w:val="nil"/>
              <w:bottom w:val="single" w:sz="4" w:space="0" w:color="auto"/>
              <w:right w:val="nil"/>
            </w:tcBorders>
            <w:shd w:val="clear" w:color="000000" w:fill="FFFFFF"/>
            <w:hideMark/>
          </w:tcPr>
          <w:p w:rsidR="00D71B06" w:rsidRPr="00DB0AC3" w:rsidRDefault="00D71B06" w:rsidP="00D71B06">
            <w:pPr>
              <w:jc w:val="right"/>
              <w:rPr>
                <w:rFonts w:cs="Arial"/>
                <w:b/>
                <w:bCs/>
                <w:color w:val="000000"/>
                <w:sz w:val="20"/>
                <w:lang w:val="ru-RU"/>
              </w:rPr>
            </w:pPr>
            <w:r w:rsidRPr="00DB0AC3">
              <w:rPr>
                <w:rFonts w:cs="Arial"/>
                <w:b/>
                <w:bCs/>
                <w:color w:val="000000"/>
                <w:sz w:val="20"/>
                <w:lang w:val="ru-RU"/>
              </w:rPr>
              <w:t>31 декабря 2013</w:t>
            </w:r>
          </w:p>
        </w:tc>
      </w:tr>
    </w:tbl>
    <w:tbl>
      <w:tblPr>
        <w:tblStyle w:val="af7"/>
        <w:tblW w:w="9747" w:type="dxa"/>
        <w:tblLook w:val="04A0"/>
      </w:tblPr>
      <w:tblGrid>
        <w:gridCol w:w="6912"/>
        <w:gridCol w:w="1560"/>
        <w:gridCol w:w="1275"/>
      </w:tblGrid>
      <w:tr w:rsidR="00D71B06" w:rsidRPr="006A4C42" w:rsidTr="00D12CD0">
        <w:trPr>
          <w:trHeight w:val="473"/>
        </w:trPr>
        <w:tc>
          <w:tcPr>
            <w:tcW w:w="6912" w:type="dxa"/>
            <w:tcBorders>
              <w:top w:val="nil"/>
              <w:left w:val="nil"/>
              <w:bottom w:val="nil"/>
              <w:right w:val="nil"/>
            </w:tcBorders>
            <w:hideMark/>
          </w:tcPr>
          <w:p w:rsidR="00D71B06" w:rsidRPr="006A4C42" w:rsidRDefault="00D71B06" w:rsidP="00D71B06">
            <w:pPr>
              <w:rPr>
                <w:rFonts w:cs="Arial"/>
                <w:bCs/>
                <w:color w:val="000000"/>
                <w:sz w:val="20"/>
                <w:lang w:val="ru-RU"/>
              </w:rPr>
            </w:pPr>
            <w:r w:rsidRPr="006A4C42">
              <w:rPr>
                <w:rFonts w:cs="Arial"/>
                <w:bCs/>
                <w:color w:val="000000"/>
                <w:sz w:val="20"/>
                <w:lang w:val="ru-RU"/>
              </w:rPr>
              <w:t> </w:t>
            </w:r>
          </w:p>
          <w:p w:rsidR="00D71B06" w:rsidRPr="006A4C42" w:rsidRDefault="00D71B06" w:rsidP="00D71B06">
            <w:pPr>
              <w:rPr>
                <w:rFonts w:cs="Arial"/>
                <w:bCs/>
                <w:color w:val="000000"/>
                <w:sz w:val="20"/>
                <w:lang w:val="ru-RU"/>
              </w:rPr>
            </w:pPr>
            <w:r w:rsidRPr="006A4C42">
              <w:rPr>
                <w:rFonts w:cs="Arial"/>
                <w:bCs/>
                <w:color w:val="000000"/>
                <w:sz w:val="20"/>
                <w:lang w:val="ru-RU"/>
              </w:rPr>
              <w:t>Центральный Банк Российской Федерации</w:t>
            </w:r>
          </w:p>
        </w:tc>
        <w:tc>
          <w:tcPr>
            <w:tcW w:w="1560" w:type="dxa"/>
            <w:tcBorders>
              <w:top w:val="nil"/>
              <w:left w:val="nil"/>
              <w:bottom w:val="nil"/>
              <w:right w:val="nil"/>
            </w:tcBorders>
            <w:hideMark/>
          </w:tcPr>
          <w:p w:rsidR="00D71B06" w:rsidRPr="006A4C42" w:rsidRDefault="00D71B06" w:rsidP="00D71B06">
            <w:pPr>
              <w:jc w:val="right"/>
              <w:rPr>
                <w:rFonts w:cs="Arial"/>
                <w:bCs/>
                <w:color w:val="000000"/>
                <w:sz w:val="20"/>
                <w:lang w:val="ru-RU"/>
              </w:rPr>
            </w:pPr>
          </w:p>
          <w:p w:rsidR="00D71B06" w:rsidRPr="006A4C42" w:rsidRDefault="00D71B06" w:rsidP="00D71B06">
            <w:pPr>
              <w:jc w:val="right"/>
              <w:rPr>
                <w:rFonts w:cs="Arial"/>
                <w:bCs/>
                <w:color w:val="000000"/>
                <w:sz w:val="20"/>
                <w:lang w:val="ru-RU"/>
              </w:rPr>
            </w:pPr>
            <w:r w:rsidRPr="006A4C42">
              <w:rPr>
                <w:rFonts w:cs="Arial"/>
                <w:bCs/>
                <w:color w:val="000000"/>
                <w:sz w:val="20"/>
                <w:lang w:val="ru-RU"/>
              </w:rPr>
              <w:t>19 902</w:t>
            </w:r>
          </w:p>
        </w:tc>
        <w:tc>
          <w:tcPr>
            <w:tcW w:w="1275" w:type="dxa"/>
            <w:tcBorders>
              <w:top w:val="nil"/>
              <w:left w:val="nil"/>
              <w:bottom w:val="nil"/>
              <w:right w:val="nil"/>
            </w:tcBorders>
            <w:hideMark/>
          </w:tcPr>
          <w:p w:rsidR="00D71B06" w:rsidRPr="006A4C42" w:rsidRDefault="00D71B06" w:rsidP="00D71B06">
            <w:pPr>
              <w:jc w:val="right"/>
              <w:rPr>
                <w:rFonts w:cs="Arial"/>
                <w:bCs/>
                <w:color w:val="000000"/>
                <w:sz w:val="20"/>
                <w:lang w:val="ru-RU"/>
              </w:rPr>
            </w:pPr>
          </w:p>
          <w:p w:rsidR="00D71B06" w:rsidRPr="006A4C42" w:rsidRDefault="00D71B06" w:rsidP="00D71B06">
            <w:pPr>
              <w:jc w:val="right"/>
              <w:rPr>
                <w:rFonts w:cs="Arial"/>
                <w:bCs/>
                <w:color w:val="000000"/>
                <w:sz w:val="20"/>
                <w:lang w:val="ru-RU"/>
              </w:rPr>
            </w:pPr>
            <w:r w:rsidRPr="006A4C42">
              <w:rPr>
                <w:rFonts w:cs="Arial"/>
                <w:bCs/>
                <w:color w:val="000000"/>
                <w:sz w:val="20"/>
                <w:lang w:val="ru-RU"/>
              </w:rPr>
              <w:t>3 064 129</w:t>
            </w:r>
          </w:p>
        </w:tc>
      </w:tr>
      <w:tr w:rsidR="00D71B06" w:rsidRPr="006A4C42" w:rsidTr="00D12CD0">
        <w:trPr>
          <w:trHeight w:val="268"/>
        </w:trPr>
        <w:tc>
          <w:tcPr>
            <w:tcW w:w="6912" w:type="dxa"/>
            <w:tcBorders>
              <w:top w:val="nil"/>
              <w:left w:val="nil"/>
              <w:bottom w:val="nil"/>
              <w:right w:val="nil"/>
            </w:tcBorders>
            <w:hideMark/>
          </w:tcPr>
          <w:p w:rsidR="00D71B06" w:rsidRPr="006A4C42" w:rsidRDefault="00D71B06" w:rsidP="00D71B06">
            <w:pPr>
              <w:rPr>
                <w:rFonts w:cs="Arial"/>
                <w:bCs/>
                <w:color w:val="000000"/>
                <w:sz w:val="20"/>
                <w:lang w:val="ru-RU"/>
              </w:rPr>
            </w:pPr>
            <w:r w:rsidRPr="006A4C42">
              <w:rPr>
                <w:rFonts w:cs="Arial"/>
                <w:bCs/>
                <w:color w:val="000000"/>
                <w:sz w:val="20"/>
                <w:lang w:val="ru-RU"/>
              </w:rPr>
              <w:t>Крупные международные банки стран Организации</w:t>
            </w:r>
          </w:p>
        </w:tc>
        <w:tc>
          <w:tcPr>
            <w:tcW w:w="1560" w:type="dxa"/>
            <w:vMerge w:val="restart"/>
            <w:tcBorders>
              <w:top w:val="nil"/>
              <w:left w:val="nil"/>
              <w:bottom w:val="nil"/>
              <w:right w:val="nil"/>
            </w:tcBorders>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3 117</w:t>
            </w:r>
          </w:p>
        </w:tc>
        <w:tc>
          <w:tcPr>
            <w:tcW w:w="1275" w:type="dxa"/>
            <w:vMerge w:val="restart"/>
            <w:tcBorders>
              <w:top w:val="nil"/>
              <w:left w:val="nil"/>
              <w:bottom w:val="nil"/>
              <w:right w:val="nil"/>
            </w:tcBorders>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642 907</w:t>
            </w:r>
          </w:p>
        </w:tc>
      </w:tr>
      <w:tr w:rsidR="00D71B06" w:rsidRPr="0046554E" w:rsidTr="00D12CD0">
        <w:trPr>
          <w:trHeight w:val="286"/>
        </w:trPr>
        <w:tc>
          <w:tcPr>
            <w:tcW w:w="6912" w:type="dxa"/>
            <w:tcBorders>
              <w:top w:val="nil"/>
              <w:left w:val="nil"/>
              <w:bottom w:val="nil"/>
              <w:right w:val="nil"/>
            </w:tcBorders>
            <w:hideMark/>
          </w:tcPr>
          <w:p w:rsidR="00D71B06" w:rsidRPr="006A4C42" w:rsidRDefault="00D71B06" w:rsidP="00D71B06">
            <w:pPr>
              <w:rPr>
                <w:rFonts w:cs="Arial"/>
                <w:bCs/>
                <w:color w:val="000000"/>
                <w:sz w:val="20"/>
                <w:lang w:val="ru-RU"/>
              </w:rPr>
            </w:pPr>
            <w:r w:rsidRPr="006A4C42">
              <w:rPr>
                <w:rFonts w:cs="Arial"/>
                <w:bCs/>
                <w:color w:val="000000"/>
                <w:sz w:val="20"/>
                <w:lang w:val="ru-RU"/>
              </w:rPr>
              <w:t>Экономического Сотрудничества и Развития (ОЭСР)</w:t>
            </w:r>
          </w:p>
        </w:tc>
        <w:tc>
          <w:tcPr>
            <w:tcW w:w="1560" w:type="dxa"/>
            <w:vMerge/>
            <w:tcBorders>
              <w:top w:val="nil"/>
              <w:left w:val="nil"/>
              <w:bottom w:val="nil"/>
              <w:right w:val="nil"/>
            </w:tcBorders>
            <w:hideMark/>
          </w:tcPr>
          <w:p w:rsidR="00D71B06" w:rsidRPr="006A4C42" w:rsidRDefault="00D71B06" w:rsidP="00D71B06">
            <w:pPr>
              <w:jc w:val="right"/>
              <w:rPr>
                <w:rFonts w:cs="Arial"/>
                <w:bCs/>
                <w:color w:val="000000"/>
                <w:sz w:val="20"/>
                <w:lang w:val="ru-RU"/>
              </w:rPr>
            </w:pPr>
          </w:p>
        </w:tc>
        <w:tc>
          <w:tcPr>
            <w:tcW w:w="1275" w:type="dxa"/>
            <w:vMerge/>
            <w:tcBorders>
              <w:top w:val="nil"/>
              <w:left w:val="nil"/>
              <w:bottom w:val="nil"/>
              <w:right w:val="nil"/>
            </w:tcBorders>
            <w:hideMark/>
          </w:tcPr>
          <w:p w:rsidR="00D71B06" w:rsidRPr="006A4C42" w:rsidRDefault="00D71B06" w:rsidP="00D71B06">
            <w:pPr>
              <w:jc w:val="right"/>
              <w:rPr>
                <w:rFonts w:cs="Arial"/>
                <w:bCs/>
                <w:color w:val="000000"/>
                <w:sz w:val="20"/>
                <w:lang w:val="ru-RU"/>
              </w:rPr>
            </w:pPr>
          </w:p>
        </w:tc>
      </w:tr>
      <w:tr w:rsidR="00D71B06" w:rsidRPr="006A4C42" w:rsidTr="00D12CD0">
        <w:trPr>
          <w:trHeight w:val="276"/>
        </w:trPr>
        <w:tc>
          <w:tcPr>
            <w:tcW w:w="6912" w:type="dxa"/>
            <w:tcBorders>
              <w:top w:val="nil"/>
              <w:left w:val="nil"/>
              <w:bottom w:val="nil"/>
              <w:right w:val="nil"/>
            </w:tcBorders>
            <w:hideMark/>
          </w:tcPr>
          <w:p w:rsidR="00D71B06" w:rsidRPr="006A4C42" w:rsidRDefault="00D71B06" w:rsidP="00D71B06">
            <w:pPr>
              <w:rPr>
                <w:rFonts w:cs="Arial"/>
                <w:bCs/>
                <w:color w:val="000000"/>
                <w:sz w:val="20"/>
                <w:lang w:val="ru-RU"/>
              </w:rPr>
            </w:pPr>
            <w:r w:rsidRPr="006A4C42">
              <w:rPr>
                <w:rFonts w:cs="Arial"/>
                <w:bCs/>
                <w:color w:val="000000"/>
                <w:sz w:val="20"/>
                <w:lang w:val="ru-RU"/>
              </w:rPr>
              <w:t>Топ-20 российских банков*</w:t>
            </w:r>
          </w:p>
        </w:tc>
        <w:tc>
          <w:tcPr>
            <w:tcW w:w="1560" w:type="dxa"/>
            <w:tcBorders>
              <w:top w:val="nil"/>
              <w:left w:val="nil"/>
              <w:bottom w:val="nil"/>
              <w:right w:val="nil"/>
            </w:tcBorders>
            <w:noWrap/>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63 453</w:t>
            </w:r>
          </w:p>
        </w:tc>
        <w:tc>
          <w:tcPr>
            <w:tcW w:w="1275" w:type="dxa"/>
            <w:tcBorders>
              <w:top w:val="nil"/>
              <w:left w:val="nil"/>
              <w:bottom w:val="nil"/>
              <w:right w:val="nil"/>
            </w:tcBorders>
            <w:noWrap/>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112 543</w:t>
            </w:r>
          </w:p>
        </w:tc>
      </w:tr>
      <w:tr w:rsidR="00D71B06" w:rsidRPr="006A4C42" w:rsidTr="00D12CD0">
        <w:trPr>
          <w:trHeight w:val="251"/>
        </w:trPr>
        <w:tc>
          <w:tcPr>
            <w:tcW w:w="6912" w:type="dxa"/>
            <w:tcBorders>
              <w:top w:val="nil"/>
              <w:left w:val="nil"/>
              <w:bottom w:val="nil"/>
              <w:right w:val="nil"/>
            </w:tcBorders>
            <w:hideMark/>
          </w:tcPr>
          <w:p w:rsidR="00D71B06" w:rsidRPr="006A4C42" w:rsidRDefault="00D71B06" w:rsidP="00D71B06">
            <w:pPr>
              <w:rPr>
                <w:rFonts w:cs="Arial"/>
                <w:bCs/>
                <w:color w:val="000000"/>
                <w:sz w:val="20"/>
                <w:lang w:val="ru-RU"/>
              </w:rPr>
            </w:pPr>
            <w:r w:rsidRPr="006A4C42">
              <w:rPr>
                <w:rFonts w:cs="Arial"/>
                <w:bCs/>
                <w:color w:val="000000"/>
                <w:sz w:val="20"/>
                <w:lang w:val="ru-RU"/>
              </w:rPr>
              <w:t>Прочие банки и финансовые учреждения</w:t>
            </w:r>
          </w:p>
        </w:tc>
        <w:tc>
          <w:tcPr>
            <w:tcW w:w="1560" w:type="dxa"/>
            <w:tcBorders>
              <w:top w:val="nil"/>
              <w:left w:val="nil"/>
              <w:bottom w:val="single" w:sz="4" w:space="0" w:color="auto"/>
              <w:right w:val="nil"/>
            </w:tcBorders>
            <w:noWrap/>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88 432</w:t>
            </w:r>
          </w:p>
        </w:tc>
        <w:tc>
          <w:tcPr>
            <w:tcW w:w="1275" w:type="dxa"/>
            <w:tcBorders>
              <w:top w:val="nil"/>
              <w:left w:val="nil"/>
              <w:bottom w:val="single" w:sz="4" w:space="0" w:color="auto"/>
              <w:right w:val="nil"/>
            </w:tcBorders>
            <w:noWrap/>
            <w:hideMark/>
          </w:tcPr>
          <w:p w:rsidR="00D71B06" w:rsidRPr="006A4C42" w:rsidRDefault="00D71B06" w:rsidP="00D71B06">
            <w:pPr>
              <w:jc w:val="right"/>
              <w:rPr>
                <w:rFonts w:cs="Arial"/>
                <w:bCs/>
                <w:color w:val="000000"/>
                <w:sz w:val="20"/>
                <w:lang w:val="ru-RU"/>
              </w:rPr>
            </w:pPr>
            <w:r w:rsidRPr="006A4C42">
              <w:rPr>
                <w:rFonts w:cs="Arial"/>
                <w:bCs/>
                <w:color w:val="000000"/>
                <w:sz w:val="20"/>
                <w:lang w:val="ru-RU"/>
              </w:rPr>
              <w:t>243 267</w:t>
            </w:r>
          </w:p>
        </w:tc>
      </w:tr>
      <w:tr w:rsidR="00D71B06" w:rsidRPr="00DB0AC3" w:rsidTr="00D12CD0">
        <w:trPr>
          <w:trHeight w:val="255"/>
        </w:trPr>
        <w:tc>
          <w:tcPr>
            <w:tcW w:w="6912" w:type="dxa"/>
            <w:vMerge w:val="restart"/>
            <w:tcBorders>
              <w:top w:val="nil"/>
              <w:left w:val="nil"/>
              <w:bottom w:val="nil"/>
              <w:right w:val="nil"/>
            </w:tcBorders>
            <w:hideMark/>
          </w:tcPr>
          <w:p w:rsidR="00D71B06" w:rsidRPr="00DB0AC3" w:rsidRDefault="00D71B06" w:rsidP="00D71B06">
            <w:pPr>
              <w:rPr>
                <w:rFonts w:cs="Arial"/>
                <w:b/>
                <w:bCs/>
                <w:color w:val="000000"/>
                <w:sz w:val="20"/>
                <w:lang w:val="ru-RU"/>
              </w:rPr>
            </w:pPr>
          </w:p>
          <w:p w:rsidR="00D71B06" w:rsidRPr="00DB0AC3" w:rsidRDefault="00D71B06" w:rsidP="006B50F4">
            <w:pPr>
              <w:rPr>
                <w:rFonts w:cs="Arial"/>
                <w:b/>
                <w:bCs/>
                <w:color w:val="000000"/>
                <w:sz w:val="20"/>
                <w:lang w:val="ru-RU"/>
              </w:rPr>
            </w:pPr>
            <w:r w:rsidRPr="00DB0AC3">
              <w:rPr>
                <w:rFonts w:cs="Arial"/>
                <w:b/>
                <w:bCs/>
                <w:color w:val="000000"/>
                <w:sz w:val="20"/>
                <w:lang w:val="ru-RU"/>
              </w:rPr>
              <w:t xml:space="preserve">Корреспондентские счета и </w:t>
            </w:r>
            <w:r w:rsidR="006B50F4">
              <w:rPr>
                <w:rFonts w:cs="Arial"/>
                <w:b/>
                <w:bCs/>
                <w:color w:val="000000"/>
                <w:sz w:val="20"/>
                <w:lang w:val="ru-RU"/>
              </w:rPr>
              <w:t xml:space="preserve">краткосрочные </w:t>
            </w:r>
            <w:r w:rsidRPr="00DB0AC3">
              <w:rPr>
                <w:rFonts w:cs="Arial"/>
                <w:b/>
                <w:bCs/>
                <w:color w:val="000000"/>
                <w:sz w:val="20"/>
                <w:lang w:val="ru-RU"/>
              </w:rPr>
              <w:t>депозиты в банках</w:t>
            </w:r>
          </w:p>
        </w:tc>
        <w:tc>
          <w:tcPr>
            <w:tcW w:w="1560" w:type="dxa"/>
            <w:vMerge w:val="restart"/>
            <w:tcBorders>
              <w:top w:val="single" w:sz="4" w:space="0" w:color="auto"/>
              <w:left w:val="nil"/>
              <w:bottom w:val="single" w:sz="4" w:space="0" w:color="auto"/>
              <w:right w:val="nil"/>
            </w:tcBorders>
            <w:hideMark/>
          </w:tcPr>
          <w:p w:rsidR="00D71B06" w:rsidRPr="00DB0AC3" w:rsidRDefault="00D71B06" w:rsidP="00D71B06">
            <w:pPr>
              <w:jc w:val="right"/>
              <w:rPr>
                <w:rFonts w:cs="Arial"/>
                <w:b/>
                <w:bCs/>
                <w:color w:val="000000"/>
                <w:sz w:val="20"/>
                <w:lang w:val="ru-RU"/>
              </w:rPr>
            </w:pPr>
          </w:p>
          <w:p w:rsidR="00D71B06" w:rsidRPr="00DB0AC3" w:rsidRDefault="00D71B06" w:rsidP="00D71B06">
            <w:pPr>
              <w:jc w:val="right"/>
              <w:rPr>
                <w:rFonts w:cs="Arial"/>
                <w:b/>
                <w:bCs/>
                <w:color w:val="000000"/>
                <w:sz w:val="20"/>
                <w:lang w:val="ru-RU"/>
              </w:rPr>
            </w:pPr>
            <w:r w:rsidRPr="00DB0AC3">
              <w:rPr>
                <w:rFonts w:cs="Arial"/>
                <w:b/>
                <w:bCs/>
                <w:color w:val="000000"/>
                <w:sz w:val="20"/>
                <w:lang w:val="ru-RU"/>
              </w:rPr>
              <w:t>174 904</w:t>
            </w:r>
          </w:p>
        </w:tc>
        <w:tc>
          <w:tcPr>
            <w:tcW w:w="1275" w:type="dxa"/>
            <w:vMerge w:val="restart"/>
            <w:tcBorders>
              <w:top w:val="single" w:sz="4" w:space="0" w:color="auto"/>
              <w:left w:val="nil"/>
              <w:bottom w:val="single" w:sz="4" w:space="0" w:color="auto"/>
              <w:right w:val="nil"/>
            </w:tcBorders>
            <w:hideMark/>
          </w:tcPr>
          <w:p w:rsidR="00D71B06" w:rsidRPr="00DB0AC3" w:rsidRDefault="00D71B06" w:rsidP="00D71B06">
            <w:pPr>
              <w:jc w:val="right"/>
              <w:rPr>
                <w:rFonts w:cs="Arial"/>
                <w:b/>
                <w:bCs/>
                <w:color w:val="000000"/>
                <w:sz w:val="20"/>
                <w:lang w:val="ru-RU"/>
              </w:rPr>
            </w:pPr>
          </w:p>
          <w:p w:rsidR="00D71B06" w:rsidRPr="00DB0AC3" w:rsidRDefault="00D71B06" w:rsidP="00D71B06">
            <w:pPr>
              <w:jc w:val="right"/>
              <w:rPr>
                <w:rFonts w:cs="Arial"/>
                <w:b/>
                <w:bCs/>
                <w:color w:val="000000"/>
                <w:sz w:val="20"/>
                <w:lang w:val="ru-RU"/>
              </w:rPr>
            </w:pPr>
            <w:r w:rsidRPr="00DB0AC3">
              <w:rPr>
                <w:rFonts w:cs="Arial"/>
                <w:b/>
                <w:bCs/>
                <w:color w:val="000000"/>
                <w:sz w:val="20"/>
                <w:lang w:val="ru-RU"/>
              </w:rPr>
              <w:t>4 062 846</w:t>
            </w:r>
          </w:p>
        </w:tc>
      </w:tr>
      <w:tr w:rsidR="00D71B06" w:rsidRPr="00DB0AC3" w:rsidTr="00D12CD0">
        <w:trPr>
          <w:trHeight w:val="270"/>
        </w:trPr>
        <w:tc>
          <w:tcPr>
            <w:tcW w:w="6912" w:type="dxa"/>
            <w:vMerge/>
            <w:tcBorders>
              <w:top w:val="nil"/>
              <w:left w:val="nil"/>
              <w:bottom w:val="nil"/>
              <w:right w:val="nil"/>
            </w:tcBorders>
            <w:hideMark/>
          </w:tcPr>
          <w:p w:rsidR="00D71B06" w:rsidRPr="00DB0AC3" w:rsidRDefault="00D71B06" w:rsidP="00D71B06">
            <w:pPr>
              <w:rPr>
                <w:rFonts w:cs="Arial"/>
                <w:b/>
                <w:bCs/>
                <w:color w:val="000000"/>
                <w:sz w:val="20"/>
                <w:lang w:val="ru-RU"/>
              </w:rPr>
            </w:pPr>
          </w:p>
        </w:tc>
        <w:tc>
          <w:tcPr>
            <w:tcW w:w="1560" w:type="dxa"/>
            <w:vMerge/>
            <w:tcBorders>
              <w:top w:val="nil"/>
              <w:left w:val="nil"/>
              <w:bottom w:val="single" w:sz="4" w:space="0" w:color="auto"/>
              <w:right w:val="nil"/>
            </w:tcBorders>
            <w:hideMark/>
          </w:tcPr>
          <w:p w:rsidR="00D71B06" w:rsidRPr="00DB0AC3" w:rsidRDefault="00D71B06" w:rsidP="00D71B06">
            <w:pPr>
              <w:rPr>
                <w:rFonts w:cs="Arial"/>
                <w:b/>
                <w:bCs/>
                <w:color w:val="000000"/>
                <w:sz w:val="20"/>
                <w:lang w:val="ru-RU"/>
              </w:rPr>
            </w:pPr>
          </w:p>
        </w:tc>
        <w:tc>
          <w:tcPr>
            <w:tcW w:w="1275" w:type="dxa"/>
            <w:vMerge/>
            <w:tcBorders>
              <w:top w:val="nil"/>
              <w:left w:val="nil"/>
              <w:bottom w:val="single" w:sz="4" w:space="0" w:color="auto"/>
              <w:right w:val="nil"/>
            </w:tcBorders>
            <w:hideMark/>
          </w:tcPr>
          <w:p w:rsidR="00D71B06" w:rsidRPr="00DB0AC3" w:rsidRDefault="00D71B06" w:rsidP="00D71B06">
            <w:pPr>
              <w:rPr>
                <w:rFonts w:cs="Arial"/>
                <w:b/>
                <w:bCs/>
                <w:color w:val="000000"/>
                <w:sz w:val="20"/>
                <w:lang w:val="ru-RU"/>
              </w:rPr>
            </w:pPr>
          </w:p>
        </w:tc>
      </w:tr>
    </w:tbl>
    <w:p w:rsidR="0062600E" w:rsidRPr="00DB0AC3" w:rsidRDefault="00DA2245" w:rsidP="00C06AC5">
      <w:pPr>
        <w:pStyle w:val="aff3"/>
        <w:shd w:val="clear" w:color="auto" w:fill="auto"/>
        <w:spacing w:line="180" w:lineRule="exact"/>
        <w:jc w:val="both"/>
        <w:rPr>
          <w:rStyle w:val="aff2"/>
          <w:i/>
          <w:iCs/>
          <w:color w:val="000000" w:themeColor="text1"/>
          <w:sz w:val="20"/>
          <w:szCs w:val="20"/>
        </w:rPr>
      </w:pPr>
      <w:r w:rsidRPr="00DB0AC3">
        <w:rPr>
          <w:rStyle w:val="aff2"/>
          <w:i/>
          <w:iCs/>
          <w:color w:val="000000" w:themeColor="text1"/>
          <w:sz w:val="20"/>
          <w:szCs w:val="20"/>
        </w:rPr>
        <w:t xml:space="preserve">*согласно рейтингу РБК по величине чистых активов (на 31.12.2012) и «Эксперт Ра» (на 31.12.2013)-нет рейтинга на </w:t>
      </w:r>
      <w:r w:rsidR="006B50F4">
        <w:rPr>
          <w:rStyle w:val="aff2"/>
          <w:i/>
          <w:iCs/>
          <w:color w:val="000000" w:themeColor="text1"/>
          <w:sz w:val="20"/>
          <w:szCs w:val="20"/>
        </w:rPr>
        <w:t>3</w:t>
      </w:r>
      <w:r w:rsidR="006B50F4" w:rsidRPr="00DB0AC3">
        <w:rPr>
          <w:rStyle w:val="aff2"/>
          <w:i/>
          <w:iCs/>
          <w:color w:val="000000" w:themeColor="text1"/>
          <w:sz w:val="20"/>
          <w:szCs w:val="20"/>
        </w:rPr>
        <w:t>1</w:t>
      </w:r>
      <w:r w:rsidRPr="00DB0AC3">
        <w:rPr>
          <w:rStyle w:val="aff2"/>
          <w:i/>
          <w:iCs/>
          <w:color w:val="000000" w:themeColor="text1"/>
          <w:sz w:val="20"/>
          <w:szCs w:val="20"/>
        </w:rPr>
        <w:t>.</w:t>
      </w:r>
      <w:r w:rsidR="006B50F4">
        <w:rPr>
          <w:rStyle w:val="aff2"/>
          <w:i/>
          <w:iCs/>
          <w:color w:val="000000" w:themeColor="text1"/>
          <w:sz w:val="20"/>
          <w:szCs w:val="20"/>
        </w:rPr>
        <w:t>12</w:t>
      </w:r>
      <w:r w:rsidRPr="00DB0AC3">
        <w:rPr>
          <w:rStyle w:val="aff2"/>
          <w:i/>
          <w:iCs/>
          <w:color w:val="000000" w:themeColor="text1"/>
          <w:sz w:val="20"/>
          <w:szCs w:val="20"/>
        </w:rPr>
        <w:t>.1</w:t>
      </w:r>
      <w:r w:rsidR="006B50F4">
        <w:rPr>
          <w:rStyle w:val="aff2"/>
          <w:i/>
          <w:iCs/>
          <w:color w:val="000000" w:themeColor="text1"/>
          <w:sz w:val="20"/>
          <w:szCs w:val="20"/>
        </w:rPr>
        <w:t>4</w:t>
      </w:r>
    </w:p>
    <w:p w:rsidR="00FD1A48" w:rsidRPr="00DB0AC3" w:rsidRDefault="00FD1A48" w:rsidP="00D71B06">
      <w:pPr>
        <w:pStyle w:val="aff3"/>
        <w:shd w:val="clear" w:color="auto" w:fill="auto"/>
        <w:spacing w:line="180" w:lineRule="exact"/>
        <w:rPr>
          <w:i w:val="0"/>
          <w:iCs w:val="0"/>
          <w:sz w:val="20"/>
          <w:szCs w:val="20"/>
        </w:rPr>
      </w:pPr>
    </w:p>
    <w:p w:rsidR="0062600E" w:rsidRPr="00DB0AC3" w:rsidRDefault="00D71B06" w:rsidP="00C06AC5">
      <w:pPr>
        <w:pStyle w:val="aff3"/>
        <w:shd w:val="clear" w:color="auto" w:fill="auto"/>
        <w:spacing w:line="180" w:lineRule="exact"/>
        <w:jc w:val="both"/>
        <w:rPr>
          <w:i w:val="0"/>
          <w:iCs w:val="0"/>
          <w:sz w:val="20"/>
          <w:szCs w:val="20"/>
        </w:rPr>
      </w:pPr>
      <w:r w:rsidRPr="00DB0AC3">
        <w:rPr>
          <w:i w:val="0"/>
          <w:iCs w:val="0"/>
          <w:sz w:val="20"/>
          <w:szCs w:val="20"/>
        </w:rPr>
        <w:t>Все корреспондентские счета и расчетные счета в торговых системах являются текущими и не имеют обеспечения.</w:t>
      </w:r>
    </w:p>
    <w:p w:rsidR="0062600E" w:rsidRPr="00DB0AC3" w:rsidRDefault="0062600E" w:rsidP="00C06AC5">
      <w:pPr>
        <w:pStyle w:val="aff3"/>
        <w:shd w:val="clear" w:color="auto" w:fill="auto"/>
        <w:spacing w:line="180" w:lineRule="exact"/>
        <w:jc w:val="both"/>
        <w:rPr>
          <w:i w:val="0"/>
          <w:iCs w:val="0"/>
          <w:sz w:val="20"/>
          <w:szCs w:val="20"/>
        </w:rPr>
      </w:pPr>
    </w:p>
    <w:p w:rsidR="0062600E" w:rsidRPr="00DB0AC3" w:rsidRDefault="00D71B06" w:rsidP="00C06AC5">
      <w:pPr>
        <w:pStyle w:val="aff3"/>
        <w:shd w:val="clear" w:color="auto" w:fill="auto"/>
        <w:spacing w:line="180" w:lineRule="exact"/>
        <w:jc w:val="both"/>
        <w:rPr>
          <w:i w:val="0"/>
          <w:iCs w:val="0"/>
          <w:sz w:val="20"/>
          <w:szCs w:val="20"/>
        </w:rPr>
      </w:pPr>
      <w:r w:rsidRPr="00DB0AC3">
        <w:rPr>
          <w:i w:val="0"/>
          <w:iCs w:val="0"/>
          <w:sz w:val="20"/>
          <w:szCs w:val="20"/>
        </w:rPr>
        <w:t>На 31 декабря 2014 года средства в сумме 3</w:t>
      </w:r>
      <w:r w:rsidR="006B50F4">
        <w:rPr>
          <w:i w:val="0"/>
          <w:iCs w:val="0"/>
          <w:sz w:val="20"/>
          <w:szCs w:val="20"/>
        </w:rPr>
        <w:t> </w:t>
      </w:r>
      <w:r w:rsidRPr="00DB0AC3">
        <w:rPr>
          <w:i w:val="0"/>
          <w:iCs w:val="0"/>
          <w:sz w:val="20"/>
          <w:szCs w:val="20"/>
        </w:rPr>
        <w:t>117</w:t>
      </w:r>
      <w:r w:rsidR="00FD1A48" w:rsidRPr="00DB0AC3">
        <w:rPr>
          <w:i w:val="0"/>
          <w:iCs w:val="0"/>
          <w:sz w:val="20"/>
          <w:szCs w:val="20"/>
        </w:rPr>
        <w:t xml:space="preserve">тысяч рублей </w:t>
      </w:r>
      <w:r w:rsidRPr="00DB0AC3">
        <w:rPr>
          <w:i w:val="0"/>
          <w:iCs w:val="0"/>
          <w:sz w:val="20"/>
          <w:szCs w:val="20"/>
        </w:rPr>
        <w:t>или 1.78% средств (на 31 декабря 2013: 642</w:t>
      </w:r>
      <w:r w:rsidR="00A46D6C" w:rsidRPr="00DB0AC3">
        <w:rPr>
          <w:i w:val="0"/>
          <w:iCs w:val="0"/>
          <w:sz w:val="20"/>
          <w:szCs w:val="20"/>
        </w:rPr>
        <w:t> </w:t>
      </w:r>
      <w:r w:rsidRPr="00DB0AC3">
        <w:rPr>
          <w:i w:val="0"/>
          <w:iCs w:val="0"/>
          <w:sz w:val="20"/>
          <w:szCs w:val="20"/>
        </w:rPr>
        <w:t>907</w:t>
      </w:r>
      <w:r w:rsidR="00A46D6C" w:rsidRPr="00DB0AC3">
        <w:rPr>
          <w:i w:val="0"/>
          <w:iCs w:val="0"/>
          <w:sz w:val="20"/>
          <w:szCs w:val="20"/>
        </w:rPr>
        <w:t> </w:t>
      </w:r>
      <w:r w:rsidR="00FD1A48" w:rsidRPr="00DB0AC3">
        <w:rPr>
          <w:i w:val="0"/>
          <w:iCs w:val="0"/>
          <w:sz w:val="20"/>
          <w:szCs w:val="20"/>
        </w:rPr>
        <w:t xml:space="preserve">тысяч рублей </w:t>
      </w:r>
      <w:r w:rsidRPr="00DB0AC3">
        <w:rPr>
          <w:i w:val="0"/>
          <w:iCs w:val="0"/>
          <w:sz w:val="20"/>
          <w:szCs w:val="20"/>
        </w:rPr>
        <w:t xml:space="preserve">или 72.4%) были размещены в крупных международных банках стран ОЭСР на корреспондентских счетах и </w:t>
      </w:r>
      <w:r w:rsidR="006B50F4">
        <w:rPr>
          <w:i w:val="0"/>
          <w:iCs w:val="0"/>
          <w:sz w:val="20"/>
          <w:szCs w:val="20"/>
        </w:rPr>
        <w:t xml:space="preserve">в </w:t>
      </w:r>
      <w:r w:rsidRPr="00DB0AC3">
        <w:rPr>
          <w:i w:val="0"/>
          <w:iCs w:val="0"/>
          <w:sz w:val="20"/>
          <w:szCs w:val="20"/>
        </w:rPr>
        <w:t>депозитах «овернайт». На обе отчетные даты эти остатки относились к двум крупным европейским финансовым институтам.</w:t>
      </w:r>
    </w:p>
    <w:p w:rsidR="00D71B06" w:rsidRPr="00DB0AC3" w:rsidRDefault="00D71B06" w:rsidP="00A46D6C">
      <w:pPr>
        <w:pStyle w:val="ABC-paragrahinNotes"/>
        <w:spacing w:before="240"/>
        <w:rPr>
          <w:rFonts w:cs="Arial"/>
          <w:lang w:val="ru-RU"/>
        </w:rPr>
      </w:pPr>
      <w:r w:rsidRPr="00DB0AC3">
        <w:rPr>
          <w:rFonts w:cs="Arial"/>
          <w:lang w:val="ru-RU"/>
        </w:rPr>
        <w:t>Денежные средства по расчетам с торговыми системами и брокерами по состоянию на 31 декабря 2014 года и 31 декабря 2013 года, представлены расчетными счетами в ЗАО АКБ «Национальный клиринговый центр», НКО ЗАО НРД и у других брокеров.</w:t>
      </w:r>
    </w:p>
    <w:p w:rsidR="0062600E" w:rsidRPr="00DB0AC3" w:rsidRDefault="00D71B06" w:rsidP="00C06AC5">
      <w:pPr>
        <w:pStyle w:val="aff3"/>
        <w:shd w:val="clear" w:color="auto" w:fill="auto"/>
        <w:spacing w:line="180" w:lineRule="exact"/>
        <w:jc w:val="both"/>
        <w:rPr>
          <w:i w:val="0"/>
          <w:iCs w:val="0"/>
          <w:sz w:val="20"/>
          <w:szCs w:val="20"/>
        </w:rPr>
      </w:pPr>
      <w:r w:rsidRPr="00DB0AC3">
        <w:rPr>
          <w:i w:val="0"/>
          <w:iCs w:val="0"/>
          <w:sz w:val="20"/>
          <w:szCs w:val="20"/>
        </w:rPr>
        <w:t>Страновой, валютный и процентный анализ, а также анализ по срокам погашения денежных средств и их эквивалентов представлен в Примечании 33.</w:t>
      </w:r>
    </w:p>
    <w:p w:rsidR="00D71B06" w:rsidRPr="00DB0AC3" w:rsidRDefault="00D71B06" w:rsidP="00D71B06">
      <w:pPr>
        <w:pStyle w:val="aff3"/>
        <w:shd w:val="clear" w:color="auto" w:fill="auto"/>
        <w:spacing w:line="180" w:lineRule="exact"/>
        <w:rPr>
          <w:i w:val="0"/>
          <w:iCs w:val="0"/>
          <w:sz w:val="20"/>
          <w:szCs w:val="20"/>
        </w:rPr>
      </w:pPr>
    </w:p>
    <w:p w:rsidR="00D71B06" w:rsidRPr="00DB0AC3" w:rsidRDefault="00D71B06" w:rsidP="00D71B06">
      <w:pPr>
        <w:pStyle w:val="aff3"/>
        <w:shd w:val="clear" w:color="auto" w:fill="auto"/>
        <w:spacing w:line="180" w:lineRule="exact"/>
        <w:rPr>
          <w:i w:val="0"/>
          <w:iCs w:val="0"/>
          <w:sz w:val="20"/>
          <w:szCs w:val="20"/>
        </w:rPr>
      </w:pPr>
    </w:p>
    <w:p w:rsidR="006572FF" w:rsidRPr="00DB0AC3" w:rsidRDefault="00D71B06" w:rsidP="00EF7F4A">
      <w:pPr>
        <w:pStyle w:val="1"/>
        <w:keepLines/>
        <w:numPr>
          <w:ilvl w:val="0"/>
          <w:numId w:val="3"/>
        </w:numPr>
        <w:spacing w:before="0"/>
        <w:rPr>
          <w:rFonts w:cs="Arial"/>
          <w:lang w:val="ru-RU"/>
        </w:rPr>
      </w:pPr>
      <w:bookmarkStart w:id="53" w:name="_Toc441479793"/>
      <w:bookmarkEnd w:id="47"/>
      <w:bookmarkEnd w:id="52"/>
      <w:r w:rsidRPr="00DB0AC3">
        <w:rPr>
          <w:rFonts w:cs="Arial"/>
          <w:lang w:val="ru-RU"/>
        </w:rPr>
        <w:t>Обязательные резервы в Центральном Банке Российской Федерации</w:t>
      </w:r>
      <w:bookmarkEnd w:id="53"/>
    </w:p>
    <w:p w:rsidR="008E3EDA" w:rsidRPr="00DB0AC3" w:rsidRDefault="00ED600A">
      <w:pPr>
        <w:pStyle w:val="210"/>
        <w:shd w:val="clear" w:color="auto" w:fill="auto"/>
        <w:spacing w:line="216" w:lineRule="exact"/>
        <w:ind w:firstLine="0"/>
        <w:jc w:val="both"/>
        <w:rPr>
          <w:b w:val="0"/>
          <w:bCs w:val="0"/>
          <w:sz w:val="20"/>
          <w:szCs w:val="20"/>
        </w:rPr>
      </w:pPr>
      <w:r w:rsidRPr="00DB0AC3">
        <w:rPr>
          <w:b w:val="0"/>
          <w:sz w:val="20"/>
          <w:szCs w:val="20"/>
        </w:rPr>
        <w:t xml:space="preserve">Обязательные резервы в </w:t>
      </w:r>
      <w:r w:rsidR="006B50F4">
        <w:rPr>
          <w:b w:val="0"/>
          <w:sz w:val="20"/>
          <w:szCs w:val="20"/>
        </w:rPr>
        <w:t>Банке России</w:t>
      </w:r>
      <w:r w:rsidRPr="00DB0AC3">
        <w:rPr>
          <w:b w:val="0"/>
          <w:sz w:val="20"/>
          <w:szCs w:val="20"/>
        </w:rPr>
        <w:t xml:space="preserve"> представляют собой средства, депонированные в </w:t>
      </w:r>
      <w:r w:rsidR="006B50F4">
        <w:rPr>
          <w:b w:val="0"/>
          <w:sz w:val="20"/>
          <w:szCs w:val="20"/>
        </w:rPr>
        <w:t>Банке России</w:t>
      </w:r>
      <w:r w:rsidRPr="00DB0AC3">
        <w:rPr>
          <w:b w:val="0"/>
          <w:sz w:val="20"/>
          <w:szCs w:val="20"/>
        </w:rPr>
        <w:t xml:space="preserve">, по которым не начисляются проценты и которые не предназначены для финансирования ежедневных операций Банка.  Кредитные организации обязаны держать беспроцентный денежный вклад (обязательный резерв) в </w:t>
      </w:r>
      <w:r w:rsidR="006B50F4">
        <w:rPr>
          <w:b w:val="0"/>
          <w:sz w:val="20"/>
          <w:szCs w:val="20"/>
        </w:rPr>
        <w:t>Банке России</w:t>
      </w:r>
      <w:r w:rsidRPr="00DB0AC3">
        <w:rPr>
          <w:b w:val="0"/>
          <w:sz w:val="20"/>
          <w:szCs w:val="20"/>
        </w:rPr>
        <w:t xml:space="preserve">, сумма которого зависит от величины привлеченных кредитной организацией средств. Снятие средств с такого депозита строго ограничено по закону. Обязательный резерв Банка в </w:t>
      </w:r>
      <w:r w:rsidR="006B50F4">
        <w:rPr>
          <w:b w:val="0"/>
          <w:sz w:val="20"/>
          <w:szCs w:val="20"/>
        </w:rPr>
        <w:t xml:space="preserve">Банке России </w:t>
      </w:r>
      <w:r w:rsidRPr="00DB0AC3">
        <w:rPr>
          <w:b w:val="0"/>
          <w:sz w:val="20"/>
          <w:szCs w:val="20"/>
        </w:rPr>
        <w:t xml:space="preserve">на 31 декабря 2014 года составил  1 396 639 </w:t>
      </w:r>
      <w:r w:rsidR="00FD1A48" w:rsidRPr="00DB0AC3">
        <w:rPr>
          <w:b w:val="0"/>
          <w:sz w:val="20"/>
          <w:szCs w:val="20"/>
        </w:rPr>
        <w:t>тысяч рублей</w:t>
      </w:r>
      <w:r w:rsidRPr="00DB0AC3">
        <w:rPr>
          <w:b w:val="0"/>
          <w:sz w:val="20"/>
          <w:szCs w:val="20"/>
        </w:rPr>
        <w:t xml:space="preserve">  (31 декабря 2013: 1 390</w:t>
      </w:r>
      <w:r w:rsidR="007A7C18">
        <w:rPr>
          <w:b w:val="0"/>
          <w:sz w:val="20"/>
          <w:szCs w:val="20"/>
        </w:rPr>
        <w:t> </w:t>
      </w:r>
      <w:r w:rsidRPr="00DB0AC3">
        <w:rPr>
          <w:b w:val="0"/>
          <w:sz w:val="20"/>
          <w:szCs w:val="20"/>
        </w:rPr>
        <w:t>737</w:t>
      </w:r>
      <w:r w:rsidR="007A7C18">
        <w:rPr>
          <w:b w:val="0"/>
          <w:sz w:val="20"/>
          <w:szCs w:val="20"/>
        </w:rPr>
        <w:t xml:space="preserve"> </w:t>
      </w:r>
      <w:r w:rsidR="00FD1A48" w:rsidRPr="00DB0AC3">
        <w:rPr>
          <w:b w:val="0"/>
          <w:sz w:val="20"/>
          <w:szCs w:val="20"/>
        </w:rPr>
        <w:t>тысяч рублей</w:t>
      </w:r>
      <w:r w:rsidRPr="00DB0AC3">
        <w:rPr>
          <w:b w:val="0"/>
          <w:sz w:val="20"/>
          <w:szCs w:val="20"/>
        </w:rPr>
        <w:t>).</w:t>
      </w:r>
    </w:p>
    <w:p w:rsidR="006572FF" w:rsidRPr="00DB0AC3" w:rsidRDefault="00ED600A" w:rsidP="00BC6DEC">
      <w:pPr>
        <w:pStyle w:val="1"/>
        <w:keepNext w:val="0"/>
        <w:pageBreakBefore/>
        <w:widowControl w:val="0"/>
        <w:numPr>
          <w:ilvl w:val="0"/>
          <w:numId w:val="3"/>
        </w:numPr>
        <w:spacing w:before="0"/>
        <w:rPr>
          <w:rFonts w:cs="Arial"/>
          <w:lang w:val="ru-RU"/>
        </w:rPr>
      </w:pPr>
      <w:bookmarkStart w:id="54" w:name="_Денежные_средства_и"/>
      <w:bookmarkStart w:id="55" w:name="_Toc441479794"/>
      <w:bookmarkEnd w:id="54"/>
      <w:r w:rsidRPr="00DB0AC3">
        <w:rPr>
          <w:rFonts w:cs="Arial"/>
          <w:lang w:val="ru-RU"/>
        </w:rPr>
        <w:lastRenderedPageBreak/>
        <w:t>Средства в других банках</w:t>
      </w:r>
      <w:bookmarkEnd w:id="55"/>
    </w:p>
    <w:tbl>
      <w:tblPr>
        <w:tblW w:w="9513" w:type="dxa"/>
        <w:tblInd w:w="93" w:type="dxa"/>
        <w:tblLook w:val="04A0"/>
      </w:tblPr>
      <w:tblGrid>
        <w:gridCol w:w="6846"/>
        <w:gridCol w:w="1391"/>
        <w:gridCol w:w="1276"/>
      </w:tblGrid>
      <w:tr w:rsidR="00ED600A" w:rsidRPr="00DB0AC3" w:rsidTr="00ED600A">
        <w:tc>
          <w:tcPr>
            <w:tcW w:w="6846" w:type="dxa"/>
            <w:tcBorders>
              <w:top w:val="nil"/>
              <w:left w:val="nil"/>
              <w:bottom w:val="single" w:sz="4" w:space="0" w:color="auto"/>
              <w:right w:val="nil"/>
            </w:tcBorders>
            <w:shd w:val="clear" w:color="000000" w:fill="FFFFFF"/>
            <w:vAlign w:val="bottom"/>
            <w:hideMark/>
          </w:tcPr>
          <w:p w:rsidR="00ED600A" w:rsidRPr="00DB0AC3" w:rsidRDefault="00ED600A" w:rsidP="00ED600A">
            <w:pPr>
              <w:ind w:left="88" w:hanging="88"/>
              <w:rPr>
                <w:rFonts w:cs="Arial"/>
                <w:i/>
                <w:iCs/>
                <w:color w:val="000000"/>
                <w:sz w:val="20"/>
                <w:lang w:val="ru-RU"/>
              </w:rPr>
            </w:pPr>
            <w:bookmarkStart w:id="56" w:name="_Toc324427335"/>
            <w:bookmarkStart w:id="57" w:name="_Toc324427377"/>
            <w:bookmarkStart w:id="58" w:name="_Toc324427688"/>
            <w:bookmarkStart w:id="59" w:name="_Toc324427730"/>
            <w:bookmarkStart w:id="60" w:name="_Toc290592294"/>
            <w:bookmarkStart w:id="61" w:name="_Toc290594562"/>
            <w:bookmarkStart w:id="62" w:name="_Toc290598532"/>
            <w:bookmarkStart w:id="63" w:name="_Ценные_бумаги,_оцениваемые"/>
            <w:bookmarkStart w:id="64" w:name="_Ref289785493"/>
            <w:bookmarkStart w:id="65" w:name="_Ref383702157"/>
            <w:bookmarkStart w:id="66" w:name="_Ref383702674"/>
            <w:bookmarkStart w:id="67" w:name="_Toc416086214"/>
            <w:bookmarkEnd w:id="56"/>
            <w:bookmarkEnd w:id="57"/>
            <w:bookmarkEnd w:id="58"/>
            <w:bookmarkEnd w:id="59"/>
            <w:bookmarkEnd w:id="60"/>
            <w:bookmarkEnd w:id="61"/>
            <w:bookmarkEnd w:id="62"/>
            <w:bookmarkEnd w:id="63"/>
            <w:r w:rsidRPr="00DB0AC3">
              <w:rPr>
                <w:rFonts w:cs="Arial"/>
                <w:i/>
                <w:iCs/>
                <w:color w:val="000000"/>
                <w:sz w:val="20"/>
                <w:lang w:val="ru-RU"/>
              </w:rPr>
              <w:t>(в тысячах российских рублей)</w:t>
            </w:r>
          </w:p>
        </w:tc>
        <w:tc>
          <w:tcPr>
            <w:tcW w:w="1391" w:type="dxa"/>
            <w:tcBorders>
              <w:top w:val="nil"/>
              <w:left w:val="nil"/>
              <w:bottom w:val="single" w:sz="4" w:space="0" w:color="auto"/>
              <w:right w:val="nil"/>
            </w:tcBorders>
            <w:shd w:val="clear" w:color="000000" w:fill="FFFFFF"/>
            <w:hideMark/>
          </w:tcPr>
          <w:p w:rsidR="00ED600A" w:rsidRPr="00DB0AC3" w:rsidRDefault="00ED600A" w:rsidP="00ED600A">
            <w:pPr>
              <w:jc w:val="right"/>
              <w:rPr>
                <w:rFonts w:cs="Arial"/>
                <w:b/>
                <w:bCs/>
                <w:color w:val="000000"/>
                <w:sz w:val="20"/>
                <w:lang w:val="ru-RU"/>
              </w:rPr>
            </w:pPr>
            <w:r w:rsidRPr="00DB0AC3">
              <w:rPr>
                <w:rFonts w:cs="Arial"/>
                <w:b/>
                <w:bCs/>
                <w:color w:val="000000"/>
                <w:sz w:val="20"/>
                <w:lang w:val="ru-RU"/>
              </w:rPr>
              <w:t>31 декабря 2014</w:t>
            </w:r>
          </w:p>
        </w:tc>
        <w:tc>
          <w:tcPr>
            <w:tcW w:w="1276" w:type="dxa"/>
            <w:tcBorders>
              <w:top w:val="nil"/>
              <w:left w:val="nil"/>
              <w:bottom w:val="single" w:sz="4" w:space="0" w:color="auto"/>
              <w:right w:val="nil"/>
            </w:tcBorders>
            <w:shd w:val="clear" w:color="000000" w:fill="FFFFFF"/>
            <w:hideMark/>
          </w:tcPr>
          <w:p w:rsidR="00ED600A" w:rsidRPr="00DB0AC3" w:rsidRDefault="00ED600A" w:rsidP="00ED600A">
            <w:pPr>
              <w:jc w:val="right"/>
              <w:rPr>
                <w:rFonts w:cs="Arial"/>
                <w:b/>
                <w:bCs/>
                <w:color w:val="000000"/>
                <w:sz w:val="20"/>
                <w:lang w:val="ru-RU"/>
              </w:rPr>
            </w:pPr>
            <w:r w:rsidRPr="00DB0AC3">
              <w:rPr>
                <w:rFonts w:cs="Arial"/>
                <w:b/>
                <w:bCs/>
                <w:color w:val="000000"/>
                <w:sz w:val="20"/>
                <w:lang w:val="ru-RU"/>
              </w:rPr>
              <w:t>31 декабря 2013</w:t>
            </w:r>
          </w:p>
        </w:tc>
      </w:tr>
    </w:tbl>
    <w:tbl>
      <w:tblPr>
        <w:tblStyle w:val="af7"/>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12"/>
        <w:gridCol w:w="1560"/>
        <w:gridCol w:w="1134"/>
      </w:tblGrid>
      <w:tr w:rsidR="00ED600A" w:rsidRPr="00DB0AC3" w:rsidTr="00ED600A">
        <w:trPr>
          <w:trHeight w:val="473"/>
        </w:trPr>
        <w:tc>
          <w:tcPr>
            <w:tcW w:w="6912" w:type="dxa"/>
            <w:hideMark/>
          </w:tcPr>
          <w:p w:rsidR="00ED600A" w:rsidRPr="00A27F77" w:rsidRDefault="00ED600A" w:rsidP="00ED600A">
            <w:pPr>
              <w:rPr>
                <w:rFonts w:cs="Arial"/>
                <w:bCs/>
                <w:color w:val="000000"/>
                <w:sz w:val="20"/>
                <w:lang w:val="ru-RU"/>
              </w:rPr>
            </w:pPr>
            <w:r w:rsidRPr="00A27F77">
              <w:rPr>
                <w:rFonts w:cs="Arial"/>
                <w:bCs/>
                <w:color w:val="000000"/>
                <w:sz w:val="20"/>
                <w:lang w:val="ru-RU"/>
              </w:rPr>
              <w:t> </w:t>
            </w:r>
          </w:p>
          <w:p w:rsidR="00ED600A" w:rsidRPr="00A27F77" w:rsidRDefault="00ED600A" w:rsidP="00880AD1">
            <w:pPr>
              <w:rPr>
                <w:rFonts w:cs="Arial"/>
                <w:bCs/>
                <w:color w:val="000000"/>
                <w:sz w:val="20"/>
                <w:lang w:val="ru-RU"/>
              </w:rPr>
            </w:pPr>
            <w:r w:rsidRPr="00A27F77">
              <w:rPr>
                <w:rFonts w:cs="Arial"/>
                <w:sz w:val="20"/>
                <w:lang w:val="ru-RU"/>
              </w:rPr>
              <w:t xml:space="preserve">Депозиты в </w:t>
            </w:r>
            <w:r w:rsidR="00880AD1">
              <w:rPr>
                <w:rFonts w:cs="Arial"/>
                <w:sz w:val="20"/>
                <w:lang w:val="ru-RU"/>
              </w:rPr>
              <w:t>Банке России</w:t>
            </w:r>
          </w:p>
        </w:tc>
        <w:tc>
          <w:tcPr>
            <w:tcW w:w="1560" w:type="dxa"/>
            <w:hideMark/>
          </w:tcPr>
          <w:p w:rsidR="00ED600A" w:rsidRPr="00A27F77" w:rsidRDefault="00ED600A" w:rsidP="00ED600A">
            <w:pPr>
              <w:jc w:val="right"/>
              <w:rPr>
                <w:rFonts w:cs="Arial"/>
                <w:bCs/>
                <w:color w:val="000000"/>
                <w:sz w:val="20"/>
                <w:lang w:val="ru-RU"/>
              </w:rPr>
            </w:pPr>
          </w:p>
          <w:p w:rsidR="00ED600A" w:rsidRPr="00A27F77" w:rsidRDefault="00ED600A" w:rsidP="00ED600A">
            <w:pPr>
              <w:jc w:val="right"/>
              <w:rPr>
                <w:rFonts w:cs="Arial"/>
                <w:bCs/>
                <w:color w:val="000000"/>
                <w:sz w:val="20"/>
                <w:lang w:val="ru-RU"/>
              </w:rPr>
            </w:pPr>
            <w:r w:rsidRPr="00A27F77">
              <w:rPr>
                <w:rFonts w:cs="Arial"/>
                <w:bCs/>
                <w:color w:val="000000"/>
                <w:sz w:val="20"/>
                <w:lang w:val="ru-RU"/>
              </w:rPr>
              <w:t>-</w:t>
            </w:r>
          </w:p>
        </w:tc>
        <w:tc>
          <w:tcPr>
            <w:tcW w:w="1134" w:type="dxa"/>
            <w:hideMark/>
          </w:tcPr>
          <w:p w:rsidR="00ED600A" w:rsidRPr="00A27F77" w:rsidRDefault="00ED600A" w:rsidP="00ED600A">
            <w:pPr>
              <w:jc w:val="right"/>
              <w:rPr>
                <w:rFonts w:cs="Arial"/>
                <w:bCs/>
                <w:color w:val="000000"/>
                <w:sz w:val="20"/>
                <w:lang w:val="ru-RU"/>
              </w:rPr>
            </w:pPr>
          </w:p>
          <w:p w:rsidR="00ED600A" w:rsidRPr="00A27F77" w:rsidRDefault="00ED600A" w:rsidP="00ED600A">
            <w:pPr>
              <w:jc w:val="right"/>
              <w:rPr>
                <w:rFonts w:cs="Arial"/>
                <w:bCs/>
                <w:color w:val="000000"/>
                <w:sz w:val="20"/>
                <w:lang w:val="ru-RU"/>
              </w:rPr>
            </w:pPr>
            <w:r w:rsidRPr="00A27F77">
              <w:rPr>
                <w:rFonts w:cs="Arial"/>
                <w:bCs/>
                <w:color w:val="000000"/>
                <w:sz w:val="20"/>
                <w:lang w:val="ru-RU"/>
              </w:rPr>
              <w:t>-</w:t>
            </w:r>
          </w:p>
        </w:tc>
      </w:tr>
      <w:tr w:rsidR="00ED600A" w:rsidRPr="00DB0AC3" w:rsidTr="00ED600A">
        <w:trPr>
          <w:trHeight w:val="268"/>
        </w:trPr>
        <w:tc>
          <w:tcPr>
            <w:tcW w:w="6912" w:type="dxa"/>
            <w:hideMark/>
          </w:tcPr>
          <w:p w:rsidR="00ED600A" w:rsidRPr="00A27F77" w:rsidRDefault="00ED600A" w:rsidP="00880AD1">
            <w:pPr>
              <w:rPr>
                <w:rFonts w:cs="Arial"/>
                <w:bCs/>
                <w:color w:val="000000"/>
                <w:sz w:val="20"/>
                <w:lang w:val="ru-RU"/>
              </w:rPr>
            </w:pPr>
            <w:r w:rsidRPr="00A27F77">
              <w:rPr>
                <w:rFonts w:cs="Arial"/>
                <w:sz w:val="20"/>
                <w:lang w:val="ru-RU"/>
              </w:rPr>
              <w:t xml:space="preserve">Страховые депозиты по операциям с </w:t>
            </w:r>
            <w:r w:rsidR="00880AD1">
              <w:rPr>
                <w:rFonts w:cs="Arial"/>
                <w:sz w:val="20"/>
                <w:lang w:val="ru-RU"/>
              </w:rPr>
              <w:t xml:space="preserve">платежными </w:t>
            </w:r>
            <w:r w:rsidRPr="00A27F77">
              <w:rPr>
                <w:rFonts w:cs="Arial"/>
                <w:sz w:val="20"/>
                <w:lang w:val="ru-RU"/>
              </w:rPr>
              <w:t>картами</w:t>
            </w:r>
          </w:p>
        </w:tc>
        <w:tc>
          <w:tcPr>
            <w:tcW w:w="1560" w:type="dxa"/>
            <w:hideMark/>
          </w:tcPr>
          <w:p w:rsidR="00ED600A" w:rsidRPr="00A27F77" w:rsidRDefault="00ED600A" w:rsidP="00ED600A">
            <w:pPr>
              <w:jc w:val="right"/>
              <w:rPr>
                <w:rFonts w:cs="Arial"/>
                <w:bCs/>
                <w:color w:val="000000"/>
                <w:sz w:val="20"/>
                <w:lang w:val="ru-RU"/>
              </w:rPr>
            </w:pPr>
            <w:r w:rsidRPr="00A27F77">
              <w:rPr>
                <w:rFonts w:cs="Arial"/>
                <w:bCs/>
                <w:color w:val="000000"/>
                <w:sz w:val="20"/>
                <w:lang w:val="ru-RU"/>
              </w:rPr>
              <w:t>18 003</w:t>
            </w:r>
          </w:p>
        </w:tc>
        <w:tc>
          <w:tcPr>
            <w:tcW w:w="1134" w:type="dxa"/>
            <w:hideMark/>
          </w:tcPr>
          <w:p w:rsidR="00ED600A" w:rsidRPr="00A27F77" w:rsidRDefault="00ED600A" w:rsidP="00ED600A">
            <w:pPr>
              <w:jc w:val="right"/>
              <w:rPr>
                <w:rFonts w:cs="Arial"/>
                <w:bCs/>
                <w:color w:val="000000"/>
                <w:sz w:val="20"/>
                <w:lang w:val="ru-RU"/>
              </w:rPr>
            </w:pPr>
            <w:r w:rsidRPr="00A27F77">
              <w:rPr>
                <w:rFonts w:cs="Arial"/>
                <w:bCs/>
                <w:color w:val="000000"/>
                <w:sz w:val="20"/>
                <w:lang w:val="ru-RU"/>
              </w:rPr>
              <w:t>10 473</w:t>
            </w:r>
          </w:p>
        </w:tc>
      </w:tr>
      <w:tr w:rsidR="00ED600A" w:rsidRPr="00DB0AC3" w:rsidTr="00ED600A">
        <w:trPr>
          <w:trHeight w:val="255"/>
        </w:trPr>
        <w:tc>
          <w:tcPr>
            <w:tcW w:w="6912" w:type="dxa"/>
            <w:hideMark/>
          </w:tcPr>
          <w:p w:rsidR="00ED600A" w:rsidRPr="00A27F77" w:rsidRDefault="00ED600A" w:rsidP="00ED600A">
            <w:pPr>
              <w:rPr>
                <w:rFonts w:cs="Arial"/>
                <w:sz w:val="20"/>
                <w:lang w:val="ru-RU"/>
              </w:rPr>
            </w:pPr>
            <w:r w:rsidRPr="00A27F77">
              <w:rPr>
                <w:rFonts w:cs="Arial"/>
                <w:sz w:val="20"/>
                <w:lang w:val="ru-RU"/>
              </w:rPr>
              <w:t>Страховые депозиты по выданным гарантиям</w:t>
            </w:r>
          </w:p>
        </w:tc>
        <w:tc>
          <w:tcPr>
            <w:tcW w:w="1560" w:type="dxa"/>
            <w:hideMark/>
          </w:tcPr>
          <w:p w:rsidR="00ED600A" w:rsidRPr="00A27F77" w:rsidRDefault="00ED600A" w:rsidP="00ED600A">
            <w:pPr>
              <w:jc w:val="right"/>
              <w:rPr>
                <w:rFonts w:cs="Arial"/>
                <w:sz w:val="20"/>
                <w:lang w:val="ru-RU"/>
              </w:rPr>
            </w:pPr>
            <w:r w:rsidRPr="00A27F77">
              <w:rPr>
                <w:rFonts w:cs="Arial"/>
                <w:sz w:val="20"/>
                <w:lang w:val="ru-RU"/>
              </w:rPr>
              <w:t>-</w:t>
            </w:r>
          </w:p>
        </w:tc>
        <w:tc>
          <w:tcPr>
            <w:tcW w:w="1134" w:type="dxa"/>
            <w:hideMark/>
          </w:tcPr>
          <w:p w:rsidR="00ED600A" w:rsidRPr="00A27F77" w:rsidRDefault="00ED600A" w:rsidP="00ED600A">
            <w:pPr>
              <w:jc w:val="right"/>
              <w:rPr>
                <w:rFonts w:cs="Arial"/>
                <w:bCs/>
                <w:color w:val="000000"/>
                <w:sz w:val="20"/>
                <w:lang w:val="ru-RU"/>
              </w:rPr>
            </w:pPr>
            <w:r w:rsidRPr="00A27F77">
              <w:rPr>
                <w:rFonts w:cs="Arial"/>
                <w:bCs/>
                <w:color w:val="000000"/>
                <w:sz w:val="20"/>
                <w:lang w:val="ru-RU"/>
              </w:rPr>
              <w:t>200</w:t>
            </w:r>
          </w:p>
        </w:tc>
      </w:tr>
      <w:tr w:rsidR="00ED600A" w:rsidRPr="00DB0AC3" w:rsidTr="00E6513B">
        <w:trPr>
          <w:trHeight w:val="255"/>
        </w:trPr>
        <w:tc>
          <w:tcPr>
            <w:tcW w:w="6912" w:type="dxa"/>
            <w:hideMark/>
          </w:tcPr>
          <w:p w:rsidR="00ED600A" w:rsidRPr="00A27F77" w:rsidRDefault="00ED600A" w:rsidP="00880AD1">
            <w:pPr>
              <w:rPr>
                <w:rFonts w:cs="Arial"/>
                <w:sz w:val="20"/>
                <w:lang w:val="ru-RU"/>
              </w:rPr>
            </w:pPr>
            <w:r w:rsidRPr="00A27F77">
              <w:rPr>
                <w:rFonts w:cs="Arial"/>
                <w:sz w:val="20"/>
                <w:lang w:val="ru-RU"/>
              </w:rPr>
              <w:t xml:space="preserve">Неснижаемые остатки по операциям с </w:t>
            </w:r>
            <w:r w:rsidR="00880AD1">
              <w:rPr>
                <w:rFonts w:cs="Arial"/>
                <w:sz w:val="20"/>
                <w:lang w:val="ru-RU"/>
              </w:rPr>
              <w:t xml:space="preserve">платежными </w:t>
            </w:r>
            <w:r w:rsidRPr="00A27F77">
              <w:rPr>
                <w:rFonts w:cs="Arial"/>
                <w:sz w:val="20"/>
                <w:lang w:val="ru-RU"/>
              </w:rPr>
              <w:t>картами</w:t>
            </w:r>
          </w:p>
        </w:tc>
        <w:tc>
          <w:tcPr>
            <w:tcW w:w="1560" w:type="dxa"/>
            <w:tcBorders>
              <w:bottom w:val="single" w:sz="4" w:space="0" w:color="auto"/>
            </w:tcBorders>
            <w:hideMark/>
          </w:tcPr>
          <w:p w:rsidR="00ED600A" w:rsidRPr="00A27F77" w:rsidRDefault="00ED600A" w:rsidP="00ED600A">
            <w:pPr>
              <w:jc w:val="right"/>
              <w:rPr>
                <w:rFonts w:cs="Arial"/>
                <w:sz w:val="20"/>
                <w:lang w:val="ru-RU"/>
              </w:rPr>
            </w:pPr>
            <w:r w:rsidRPr="00A27F77">
              <w:rPr>
                <w:rFonts w:cs="Arial"/>
                <w:sz w:val="20"/>
                <w:lang w:val="ru-RU"/>
              </w:rPr>
              <w:t xml:space="preserve">25 796   </w:t>
            </w:r>
          </w:p>
        </w:tc>
        <w:tc>
          <w:tcPr>
            <w:tcW w:w="1134" w:type="dxa"/>
            <w:tcBorders>
              <w:bottom w:val="single" w:sz="4" w:space="0" w:color="auto"/>
            </w:tcBorders>
            <w:hideMark/>
          </w:tcPr>
          <w:p w:rsidR="00ED600A" w:rsidRPr="00A27F77" w:rsidRDefault="00ED600A" w:rsidP="00ED600A">
            <w:pPr>
              <w:jc w:val="right"/>
              <w:rPr>
                <w:rFonts w:cs="Arial"/>
                <w:bCs/>
                <w:color w:val="000000"/>
                <w:sz w:val="20"/>
                <w:lang w:val="ru-RU"/>
              </w:rPr>
            </w:pPr>
            <w:r w:rsidRPr="00A27F77">
              <w:rPr>
                <w:rFonts w:cs="Arial"/>
                <w:bCs/>
                <w:color w:val="000000"/>
                <w:sz w:val="20"/>
                <w:lang w:val="ru-RU"/>
              </w:rPr>
              <w:t>-</w:t>
            </w:r>
          </w:p>
        </w:tc>
      </w:tr>
      <w:tr w:rsidR="00ED600A" w:rsidRPr="00DB0AC3" w:rsidTr="00E6513B">
        <w:trPr>
          <w:trHeight w:val="255"/>
        </w:trPr>
        <w:tc>
          <w:tcPr>
            <w:tcW w:w="6912" w:type="dxa"/>
            <w:hideMark/>
          </w:tcPr>
          <w:p w:rsidR="00ED600A" w:rsidRPr="00DB0AC3" w:rsidRDefault="00ED600A" w:rsidP="00ED600A">
            <w:pPr>
              <w:rPr>
                <w:rFonts w:cs="Arial"/>
                <w:b/>
                <w:sz w:val="20"/>
                <w:lang w:val="ru-RU"/>
              </w:rPr>
            </w:pPr>
          </w:p>
          <w:p w:rsidR="00682C98" w:rsidRPr="00DB0AC3" w:rsidRDefault="00ED600A" w:rsidP="00ED600A">
            <w:pPr>
              <w:rPr>
                <w:rFonts w:cs="Arial"/>
                <w:b/>
                <w:sz w:val="20"/>
                <w:lang w:val="ru-RU"/>
              </w:rPr>
            </w:pPr>
            <w:r w:rsidRPr="00DB0AC3">
              <w:rPr>
                <w:rFonts w:cs="Arial"/>
                <w:b/>
                <w:sz w:val="20"/>
                <w:lang w:val="ru-RU"/>
              </w:rPr>
              <w:t>Итого средств в других банках</w:t>
            </w:r>
          </w:p>
        </w:tc>
        <w:tc>
          <w:tcPr>
            <w:tcW w:w="1560" w:type="dxa"/>
            <w:tcBorders>
              <w:top w:val="single" w:sz="4" w:space="0" w:color="auto"/>
              <w:bottom w:val="single" w:sz="4" w:space="0" w:color="auto"/>
            </w:tcBorders>
            <w:hideMark/>
          </w:tcPr>
          <w:p w:rsidR="00ED600A" w:rsidRPr="00DB0AC3" w:rsidRDefault="00ED600A" w:rsidP="00ED600A">
            <w:pPr>
              <w:jc w:val="right"/>
              <w:rPr>
                <w:rFonts w:cs="Arial"/>
                <w:b/>
                <w:sz w:val="20"/>
                <w:lang w:val="ru-RU"/>
              </w:rPr>
            </w:pPr>
          </w:p>
          <w:p w:rsidR="00ED600A" w:rsidRPr="00DB0AC3" w:rsidRDefault="00ED600A" w:rsidP="00ED600A">
            <w:pPr>
              <w:jc w:val="right"/>
              <w:rPr>
                <w:rFonts w:cs="Arial"/>
                <w:b/>
                <w:sz w:val="20"/>
                <w:lang w:val="ru-RU"/>
              </w:rPr>
            </w:pPr>
            <w:r w:rsidRPr="00DB0AC3">
              <w:rPr>
                <w:rFonts w:cs="Arial"/>
                <w:b/>
                <w:sz w:val="20"/>
                <w:lang w:val="ru-RU"/>
              </w:rPr>
              <w:t>43 799</w:t>
            </w:r>
          </w:p>
        </w:tc>
        <w:tc>
          <w:tcPr>
            <w:tcW w:w="1134" w:type="dxa"/>
            <w:tcBorders>
              <w:top w:val="single" w:sz="4" w:space="0" w:color="auto"/>
              <w:bottom w:val="single" w:sz="4" w:space="0" w:color="auto"/>
            </w:tcBorders>
            <w:hideMark/>
          </w:tcPr>
          <w:p w:rsidR="00ED600A" w:rsidRPr="00DB0AC3" w:rsidRDefault="00ED600A" w:rsidP="00ED600A">
            <w:pPr>
              <w:jc w:val="right"/>
              <w:rPr>
                <w:rFonts w:cs="Arial"/>
                <w:b/>
                <w:bCs/>
                <w:color w:val="000000"/>
                <w:sz w:val="20"/>
                <w:lang w:val="ru-RU"/>
              </w:rPr>
            </w:pPr>
          </w:p>
          <w:p w:rsidR="00ED600A" w:rsidRPr="00DB0AC3" w:rsidRDefault="00ED600A" w:rsidP="00ED600A">
            <w:pPr>
              <w:jc w:val="right"/>
              <w:rPr>
                <w:rFonts w:cs="Arial"/>
                <w:b/>
                <w:bCs/>
                <w:color w:val="000000"/>
                <w:sz w:val="20"/>
                <w:lang w:val="ru-RU"/>
              </w:rPr>
            </w:pPr>
            <w:r w:rsidRPr="00DB0AC3">
              <w:rPr>
                <w:rFonts w:cs="Arial"/>
                <w:b/>
                <w:bCs/>
                <w:color w:val="000000"/>
                <w:sz w:val="20"/>
                <w:lang w:val="ru-RU"/>
              </w:rPr>
              <w:t>10 673</w:t>
            </w:r>
          </w:p>
        </w:tc>
      </w:tr>
      <w:tr w:rsidR="00682C98" w:rsidRPr="0046554E" w:rsidTr="00B54C87">
        <w:trPr>
          <w:trHeight w:val="255"/>
        </w:trPr>
        <w:tc>
          <w:tcPr>
            <w:tcW w:w="9606" w:type="dxa"/>
            <w:gridSpan w:val="3"/>
          </w:tcPr>
          <w:p w:rsidR="008E3EDA" w:rsidRPr="00DB0AC3" w:rsidRDefault="008E3EDA">
            <w:pPr>
              <w:keepNext/>
              <w:spacing w:before="240" w:after="60"/>
              <w:jc w:val="both"/>
              <w:outlineLvl w:val="1"/>
              <w:rPr>
                <w:rFonts w:cs="Arial"/>
                <w:sz w:val="20"/>
                <w:lang w:val="ru-RU"/>
              </w:rPr>
            </w:pPr>
          </w:p>
          <w:p w:rsidR="00682C98" w:rsidRPr="00DB0AC3" w:rsidRDefault="00DA2245" w:rsidP="00E6513B">
            <w:pPr>
              <w:jc w:val="both"/>
              <w:rPr>
                <w:rFonts w:cs="Arial"/>
                <w:sz w:val="20"/>
                <w:lang w:val="ru-RU"/>
              </w:rPr>
            </w:pPr>
            <w:r w:rsidRPr="00DB0AC3">
              <w:rPr>
                <w:rFonts w:cs="Arial"/>
                <w:sz w:val="20"/>
                <w:lang w:val="ru-RU"/>
              </w:rPr>
              <w:t>Имеющийся в наличии портфель межбанковских ссуд является инструментом краткосрочного размещения временно свободных денежных средств Банка.</w:t>
            </w:r>
          </w:p>
          <w:p w:rsidR="00682C98" w:rsidRPr="00DB0AC3" w:rsidRDefault="00DA2245">
            <w:pPr>
              <w:jc w:val="both"/>
              <w:rPr>
                <w:rFonts w:cs="Arial"/>
                <w:sz w:val="20"/>
                <w:lang w:val="ru-RU"/>
              </w:rPr>
            </w:pPr>
            <w:r w:rsidRPr="00DB0AC3">
              <w:rPr>
                <w:rFonts w:cs="Arial"/>
                <w:sz w:val="20"/>
                <w:lang w:val="ru-RU"/>
              </w:rPr>
              <w:t xml:space="preserve">По состоянию на 31 декабря 2013 года и  31 декабря 2014 у Банка не было размещенных депозитов до востребования в </w:t>
            </w:r>
            <w:r w:rsidR="00880AD1">
              <w:rPr>
                <w:rFonts w:cs="Arial"/>
                <w:sz w:val="20"/>
                <w:lang w:val="ru-RU"/>
              </w:rPr>
              <w:t>Банке России</w:t>
            </w:r>
            <w:r w:rsidRPr="00DB0AC3">
              <w:rPr>
                <w:rFonts w:cs="Arial"/>
                <w:sz w:val="20"/>
                <w:lang w:val="ru-RU"/>
              </w:rPr>
              <w:t>.</w:t>
            </w:r>
          </w:p>
          <w:p w:rsidR="00682C98" w:rsidRPr="00DB0AC3" w:rsidRDefault="00DA2245">
            <w:pPr>
              <w:jc w:val="both"/>
              <w:rPr>
                <w:rFonts w:cs="Arial"/>
                <w:sz w:val="20"/>
                <w:lang w:val="ru-RU"/>
              </w:rPr>
            </w:pPr>
            <w:r w:rsidRPr="00DB0AC3">
              <w:rPr>
                <w:rFonts w:cs="Arial"/>
                <w:sz w:val="20"/>
                <w:lang w:val="ru-RU"/>
              </w:rPr>
              <w:t xml:space="preserve">Страховые депозиты и неснижаемые остатки по операциям с </w:t>
            </w:r>
            <w:r w:rsidR="00880AD1">
              <w:rPr>
                <w:rFonts w:cs="Arial"/>
                <w:sz w:val="20"/>
                <w:lang w:val="ru-RU"/>
              </w:rPr>
              <w:t xml:space="preserve">платежными </w:t>
            </w:r>
            <w:r w:rsidRPr="00DB0AC3">
              <w:rPr>
                <w:rFonts w:cs="Arial"/>
                <w:sz w:val="20"/>
                <w:lang w:val="ru-RU"/>
              </w:rPr>
              <w:t xml:space="preserve">картами представляют собой денежные депозиты с ограничением по использованию, которые были размещены в крупных российских и европейских банках и являются обеспечением расчетов по </w:t>
            </w:r>
            <w:r w:rsidR="00EB0243">
              <w:rPr>
                <w:rFonts w:cs="Arial"/>
                <w:sz w:val="20"/>
                <w:lang w:val="ru-RU"/>
              </w:rPr>
              <w:t>платежным</w:t>
            </w:r>
            <w:r w:rsidR="007A7C18">
              <w:rPr>
                <w:rFonts w:cs="Arial"/>
                <w:sz w:val="20"/>
                <w:lang w:val="ru-RU"/>
              </w:rPr>
              <w:t xml:space="preserve"> </w:t>
            </w:r>
            <w:r w:rsidRPr="00DB0AC3">
              <w:rPr>
                <w:rFonts w:cs="Arial"/>
                <w:sz w:val="20"/>
                <w:lang w:val="ru-RU"/>
              </w:rPr>
              <w:t>картам.</w:t>
            </w:r>
          </w:p>
          <w:p w:rsidR="00682C98" w:rsidRPr="00DB0AC3" w:rsidRDefault="00DA2245">
            <w:pPr>
              <w:jc w:val="both"/>
              <w:rPr>
                <w:rFonts w:cs="Arial"/>
                <w:sz w:val="20"/>
                <w:lang w:val="ru-RU"/>
              </w:rPr>
            </w:pPr>
            <w:r w:rsidRPr="00DB0AC3">
              <w:rPr>
                <w:rFonts w:cs="Arial"/>
                <w:sz w:val="20"/>
                <w:lang w:val="ru-RU"/>
              </w:rPr>
              <w:t>На 31 декабря 2014 и 31 декабря 2013  все межбанковские кредиты и депозиты, размещенные в других банках, являлись текущими и необесцененными.</w:t>
            </w:r>
          </w:p>
          <w:p w:rsidR="008E3EDA" w:rsidRDefault="00DA2245" w:rsidP="009E14BF">
            <w:pPr>
              <w:jc w:val="both"/>
              <w:rPr>
                <w:rFonts w:cs="Arial"/>
                <w:sz w:val="20"/>
                <w:lang w:val="ru-RU"/>
              </w:rPr>
            </w:pPr>
            <w:r w:rsidRPr="00DB0AC3">
              <w:rPr>
                <w:rFonts w:cs="Arial"/>
                <w:sz w:val="20"/>
                <w:lang w:val="ru-RU"/>
              </w:rPr>
              <w:t>Страновой, валютный и процентный анализ, а также анализ по срокам погашения средств в других банках представлен в Примечании 33.</w:t>
            </w:r>
          </w:p>
          <w:p w:rsidR="0070405D" w:rsidRDefault="0070405D" w:rsidP="009E14BF">
            <w:pPr>
              <w:jc w:val="both"/>
              <w:rPr>
                <w:rFonts w:cs="Arial"/>
                <w:sz w:val="20"/>
                <w:lang w:val="ru-RU"/>
              </w:rPr>
            </w:pPr>
          </w:p>
          <w:p w:rsidR="0070405D" w:rsidRPr="00DB0AC3" w:rsidRDefault="0070405D" w:rsidP="009E14BF">
            <w:pPr>
              <w:jc w:val="both"/>
              <w:rPr>
                <w:rFonts w:cs="Arial"/>
                <w:bCs/>
                <w:color w:val="000000"/>
                <w:sz w:val="20"/>
                <w:lang w:val="ru-RU"/>
              </w:rPr>
            </w:pPr>
          </w:p>
          <w:p w:rsidR="008E3EDA" w:rsidRPr="00DB0AC3" w:rsidRDefault="008E3EDA">
            <w:pPr>
              <w:keepNext/>
              <w:keepLines/>
              <w:tabs>
                <w:tab w:val="left" w:pos="2483"/>
                <w:tab w:val="left" w:pos="4154"/>
                <w:tab w:val="left" w:pos="5963"/>
                <w:tab w:val="left" w:pos="7495"/>
                <w:tab w:val="left" w:pos="9192"/>
              </w:tabs>
              <w:jc w:val="both"/>
              <w:outlineLvl w:val="2"/>
              <w:rPr>
                <w:rFonts w:cs="Arial"/>
                <w:bCs/>
                <w:color w:val="000000"/>
                <w:sz w:val="20"/>
                <w:lang w:val="ru-RU"/>
              </w:rPr>
            </w:pPr>
          </w:p>
        </w:tc>
      </w:tr>
    </w:tbl>
    <w:p w:rsidR="006572FF" w:rsidRPr="00DB0AC3" w:rsidRDefault="00ED600A" w:rsidP="00BC6DEC">
      <w:pPr>
        <w:pStyle w:val="1"/>
        <w:keepLines/>
        <w:pageBreakBefore/>
        <w:numPr>
          <w:ilvl w:val="0"/>
          <w:numId w:val="3"/>
        </w:numPr>
        <w:spacing w:before="0"/>
        <w:jc w:val="both"/>
        <w:rPr>
          <w:rFonts w:cs="Arial"/>
          <w:lang w:val="ru-RU"/>
        </w:rPr>
      </w:pPr>
      <w:bookmarkStart w:id="68" w:name="_Toc441479795"/>
      <w:bookmarkEnd w:id="64"/>
      <w:bookmarkEnd w:id="65"/>
      <w:bookmarkEnd w:id="66"/>
      <w:bookmarkEnd w:id="67"/>
      <w:r w:rsidRPr="00DB0AC3">
        <w:rPr>
          <w:rFonts w:cs="Arial"/>
          <w:lang w:val="ru-RU"/>
        </w:rPr>
        <w:lastRenderedPageBreak/>
        <w:t>Кредиты клиентам</w:t>
      </w:r>
      <w:bookmarkEnd w:id="68"/>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367"/>
        <w:gridCol w:w="1733"/>
        <w:gridCol w:w="1723"/>
      </w:tblGrid>
      <w:tr w:rsidR="00ED600A" w:rsidRPr="00DB0AC3" w:rsidTr="00ED600A">
        <w:trPr>
          <w:trHeight w:val="471"/>
        </w:trPr>
        <w:tc>
          <w:tcPr>
            <w:tcW w:w="3241" w:type="pct"/>
            <w:vMerge w:val="restart"/>
            <w:noWrap/>
            <w:hideMark/>
          </w:tcPr>
          <w:p w:rsidR="00ED600A" w:rsidRPr="00DB0AC3" w:rsidRDefault="00ED600A" w:rsidP="00ED600A">
            <w:pPr>
              <w:rPr>
                <w:rFonts w:cs="Arial"/>
                <w:color w:val="000000"/>
                <w:sz w:val="20"/>
                <w:lang w:val="ru-RU"/>
              </w:rPr>
            </w:pPr>
            <w:bookmarkStart w:id="69" w:name="_Ref255499532"/>
            <w:bookmarkStart w:id="70" w:name="_Ref383702676"/>
            <w:bookmarkStart w:id="71" w:name="_Toc416086215"/>
          </w:p>
        </w:tc>
        <w:tc>
          <w:tcPr>
            <w:tcW w:w="882" w:type="pct"/>
            <w:tcBorders>
              <w:bottom w:val="single" w:sz="4" w:space="0" w:color="auto"/>
            </w:tcBorders>
            <w:hideMark/>
          </w:tcPr>
          <w:p w:rsidR="00ED600A" w:rsidRPr="00DB0AC3" w:rsidRDefault="00ED600A" w:rsidP="00ED600A">
            <w:pPr>
              <w:jc w:val="right"/>
              <w:rPr>
                <w:rFonts w:cs="Arial"/>
                <w:b/>
                <w:bCs/>
                <w:color w:val="000000"/>
                <w:sz w:val="20"/>
                <w:lang w:val="ru-RU"/>
              </w:rPr>
            </w:pPr>
            <w:r w:rsidRPr="00DB0AC3">
              <w:rPr>
                <w:rFonts w:cs="Arial"/>
                <w:b/>
                <w:bCs/>
                <w:color w:val="000000"/>
                <w:sz w:val="20"/>
                <w:lang w:val="ru-RU"/>
              </w:rPr>
              <w:t>31 декабря 2014</w:t>
            </w:r>
          </w:p>
        </w:tc>
        <w:tc>
          <w:tcPr>
            <w:tcW w:w="877" w:type="pct"/>
            <w:tcBorders>
              <w:bottom w:val="single" w:sz="4" w:space="0" w:color="auto"/>
            </w:tcBorders>
            <w:hideMark/>
          </w:tcPr>
          <w:p w:rsidR="00ED600A" w:rsidRPr="00DB0AC3" w:rsidRDefault="00ED600A" w:rsidP="00ED600A">
            <w:pPr>
              <w:jc w:val="right"/>
              <w:rPr>
                <w:rFonts w:cs="Arial"/>
                <w:b/>
                <w:bCs/>
                <w:color w:val="000000"/>
                <w:sz w:val="20"/>
                <w:lang w:val="ru-RU"/>
              </w:rPr>
            </w:pPr>
            <w:r w:rsidRPr="00DB0AC3">
              <w:rPr>
                <w:rFonts w:cs="Arial"/>
                <w:b/>
                <w:bCs/>
                <w:color w:val="000000"/>
                <w:sz w:val="20"/>
                <w:lang w:val="ru-RU"/>
              </w:rPr>
              <w:t>31 декабря 2013</w:t>
            </w:r>
          </w:p>
        </w:tc>
      </w:tr>
      <w:tr w:rsidR="00ED600A" w:rsidRPr="00DB0AC3" w:rsidTr="00ED600A">
        <w:trPr>
          <w:trHeight w:val="121"/>
        </w:trPr>
        <w:tc>
          <w:tcPr>
            <w:tcW w:w="3241" w:type="pct"/>
            <w:vMerge/>
            <w:noWrap/>
          </w:tcPr>
          <w:p w:rsidR="00ED600A" w:rsidRPr="00DB0AC3" w:rsidRDefault="00ED600A" w:rsidP="00ED600A">
            <w:pPr>
              <w:rPr>
                <w:rFonts w:cs="Arial"/>
                <w:color w:val="000000"/>
                <w:sz w:val="20"/>
                <w:lang w:val="ru-RU"/>
              </w:rPr>
            </w:pPr>
          </w:p>
        </w:tc>
        <w:tc>
          <w:tcPr>
            <w:tcW w:w="882" w:type="pct"/>
            <w:tcBorders>
              <w:top w:val="single" w:sz="4" w:space="0" w:color="auto"/>
            </w:tcBorders>
          </w:tcPr>
          <w:p w:rsidR="00ED600A" w:rsidRPr="00DB0AC3" w:rsidRDefault="00ED600A" w:rsidP="00ED600A">
            <w:pPr>
              <w:jc w:val="right"/>
              <w:rPr>
                <w:rFonts w:cs="Arial"/>
                <w:b/>
                <w:bCs/>
                <w:color w:val="000000"/>
                <w:sz w:val="20"/>
                <w:lang w:val="ru-RU"/>
              </w:rPr>
            </w:pPr>
          </w:p>
        </w:tc>
        <w:tc>
          <w:tcPr>
            <w:tcW w:w="877" w:type="pct"/>
            <w:tcBorders>
              <w:top w:val="single" w:sz="4" w:space="0" w:color="auto"/>
            </w:tcBorders>
          </w:tcPr>
          <w:p w:rsidR="00ED600A" w:rsidRPr="00DB0AC3" w:rsidRDefault="00ED600A" w:rsidP="00ED600A">
            <w:pPr>
              <w:jc w:val="right"/>
              <w:rPr>
                <w:rFonts w:cs="Arial"/>
                <w:b/>
                <w:bCs/>
                <w:color w:val="000000"/>
                <w:sz w:val="20"/>
                <w:lang w:val="ru-RU"/>
              </w:rPr>
            </w:pPr>
          </w:p>
        </w:tc>
      </w:tr>
      <w:tr w:rsidR="00ED600A" w:rsidRPr="00DB0AC3" w:rsidTr="00ED600A">
        <w:trPr>
          <w:trHeight w:val="300"/>
        </w:trPr>
        <w:tc>
          <w:tcPr>
            <w:tcW w:w="3241" w:type="pct"/>
            <w:noWrap/>
            <w:hideMark/>
          </w:tcPr>
          <w:p w:rsidR="00ED600A" w:rsidRPr="00DB0AC3" w:rsidRDefault="00ED600A" w:rsidP="00ED600A">
            <w:pPr>
              <w:rPr>
                <w:rFonts w:cs="Arial"/>
                <w:color w:val="000000"/>
                <w:sz w:val="20"/>
                <w:lang w:val="ru-RU"/>
              </w:rPr>
            </w:pPr>
          </w:p>
        </w:tc>
        <w:tc>
          <w:tcPr>
            <w:tcW w:w="882" w:type="pct"/>
            <w:hideMark/>
          </w:tcPr>
          <w:p w:rsidR="00ED600A" w:rsidRPr="00DB0AC3" w:rsidRDefault="00ED600A" w:rsidP="00ED600A">
            <w:pPr>
              <w:jc w:val="right"/>
              <w:rPr>
                <w:rFonts w:cs="Arial"/>
                <w:b/>
                <w:bCs/>
                <w:color w:val="000000"/>
                <w:sz w:val="20"/>
                <w:lang w:val="ru-RU"/>
              </w:rPr>
            </w:pPr>
          </w:p>
        </w:tc>
        <w:tc>
          <w:tcPr>
            <w:tcW w:w="877" w:type="pct"/>
            <w:hideMark/>
          </w:tcPr>
          <w:p w:rsidR="00ED600A" w:rsidRPr="00DB0AC3" w:rsidRDefault="00ED600A" w:rsidP="00ED600A">
            <w:pPr>
              <w:jc w:val="right"/>
              <w:rPr>
                <w:rFonts w:cs="Arial"/>
                <w:b/>
                <w:bCs/>
                <w:color w:val="000000"/>
                <w:sz w:val="20"/>
                <w:lang w:val="ru-RU"/>
              </w:rPr>
            </w:pPr>
          </w:p>
        </w:tc>
      </w:tr>
      <w:tr w:rsidR="00ED600A" w:rsidRPr="00DB0AC3" w:rsidTr="00ED600A">
        <w:trPr>
          <w:trHeight w:val="300"/>
        </w:trPr>
        <w:tc>
          <w:tcPr>
            <w:tcW w:w="3241" w:type="pct"/>
            <w:noWrap/>
            <w:hideMark/>
          </w:tcPr>
          <w:p w:rsidR="00ED600A" w:rsidRPr="00DB0AC3" w:rsidRDefault="00ED600A" w:rsidP="00ED600A">
            <w:pPr>
              <w:rPr>
                <w:rFonts w:cs="Arial"/>
                <w:color w:val="000000"/>
                <w:sz w:val="20"/>
                <w:lang w:val="ru-RU"/>
              </w:rPr>
            </w:pPr>
            <w:r w:rsidRPr="00DB0AC3">
              <w:rPr>
                <w:rFonts w:cs="Arial"/>
                <w:color w:val="000000"/>
                <w:sz w:val="20"/>
                <w:lang w:val="ru-RU"/>
              </w:rPr>
              <w:t>Кредиты клиентам</w:t>
            </w:r>
          </w:p>
        </w:tc>
        <w:tc>
          <w:tcPr>
            <w:tcW w:w="882" w:type="pct"/>
            <w:noWrap/>
            <w:hideMark/>
          </w:tcPr>
          <w:p w:rsidR="00ED600A" w:rsidRPr="00DB0AC3" w:rsidRDefault="00ED600A" w:rsidP="00F66FA3">
            <w:pPr>
              <w:jc w:val="right"/>
              <w:rPr>
                <w:rFonts w:cs="Arial"/>
                <w:color w:val="000000"/>
                <w:sz w:val="20"/>
                <w:lang w:val="ru-RU"/>
              </w:rPr>
            </w:pPr>
            <w:r w:rsidRPr="00DB0AC3">
              <w:rPr>
                <w:rFonts w:cs="Arial"/>
                <w:color w:val="000000"/>
                <w:sz w:val="20"/>
                <w:lang w:val="ru-RU"/>
              </w:rPr>
              <w:t>44 611 16</w:t>
            </w:r>
            <w:r w:rsidR="00F66FA3">
              <w:rPr>
                <w:rFonts w:cs="Arial"/>
                <w:color w:val="000000"/>
                <w:sz w:val="20"/>
                <w:lang w:val="ru-RU"/>
              </w:rPr>
              <w:t>8</w:t>
            </w:r>
          </w:p>
        </w:tc>
        <w:tc>
          <w:tcPr>
            <w:tcW w:w="877" w:type="pct"/>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37 214 969</w:t>
            </w:r>
          </w:p>
        </w:tc>
      </w:tr>
      <w:tr w:rsidR="00ED600A" w:rsidRPr="00DB0AC3" w:rsidTr="00ED600A">
        <w:trPr>
          <w:trHeight w:val="189"/>
        </w:trPr>
        <w:tc>
          <w:tcPr>
            <w:tcW w:w="3241" w:type="pct"/>
            <w:vMerge w:val="restart"/>
            <w:noWrap/>
            <w:hideMark/>
          </w:tcPr>
          <w:p w:rsidR="00ED600A" w:rsidRPr="00DB0AC3" w:rsidRDefault="00ED600A" w:rsidP="00ED600A">
            <w:pPr>
              <w:rPr>
                <w:rFonts w:cs="Arial"/>
                <w:color w:val="000000"/>
                <w:sz w:val="20"/>
                <w:lang w:val="ru-RU"/>
              </w:rPr>
            </w:pPr>
            <w:r w:rsidRPr="00DB0AC3">
              <w:rPr>
                <w:rFonts w:cs="Arial"/>
                <w:color w:val="000000"/>
                <w:sz w:val="20"/>
                <w:lang w:val="ru-RU"/>
              </w:rPr>
              <w:t>Просроченные кредиты</w:t>
            </w:r>
          </w:p>
        </w:tc>
        <w:tc>
          <w:tcPr>
            <w:tcW w:w="882" w:type="pct"/>
            <w:tcBorders>
              <w:bottom w:val="single" w:sz="4" w:space="0" w:color="auto"/>
            </w:tcBorders>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527 857</w:t>
            </w:r>
          </w:p>
        </w:tc>
        <w:tc>
          <w:tcPr>
            <w:tcW w:w="877" w:type="pct"/>
            <w:tcBorders>
              <w:bottom w:val="single" w:sz="4" w:space="0" w:color="auto"/>
            </w:tcBorders>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1 707 041</w:t>
            </w:r>
          </w:p>
        </w:tc>
      </w:tr>
      <w:tr w:rsidR="00ED600A" w:rsidRPr="00DB0AC3" w:rsidTr="00ED600A">
        <w:trPr>
          <w:trHeight w:val="98"/>
        </w:trPr>
        <w:tc>
          <w:tcPr>
            <w:tcW w:w="3241" w:type="pct"/>
            <w:vMerge/>
            <w:noWrap/>
          </w:tcPr>
          <w:p w:rsidR="00ED600A" w:rsidRPr="00DB0AC3" w:rsidRDefault="00ED600A" w:rsidP="00ED600A">
            <w:pPr>
              <w:rPr>
                <w:rFonts w:cs="Arial"/>
                <w:color w:val="000000"/>
                <w:sz w:val="20"/>
                <w:lang w:val="ru-RU"/>
              </w:rPr>
            </w:pPr>
          </w:p>
        </w:tc>
        <w:tc>
          <w:tcPr>
            <w:tcW w:w="882" w:type="pct"/>
            <w:tcBorders>
              <w:top w:val="single" w:sz="4" w:space="0" w:color="auto"/>
            </w:tcBorders>
            <w:noWrap/>
          </w:tcPr>
          <w:p w:rsidR="00ED600A" w:rsidRPr="00DB0AC3" w:rsidRDefault="00ED600A" w:rsidP="00ED600A">
            <w:pPr>
              <w:jc w:val="right"/>
              <w:rPr>
                <w:rFonts w:cs="Arial"/>
                <w:color w:val="000000"/>
                <w:sz w:val="20"/>
                <w:lang w:val="ru-RU"/>
              </w:rPr>
            </w:pPr>
          </w:p>
        </w:tc>
        <w:tc>
          <w:tcPr>
            <w:tcW w:w="877" w:type="pct"/>
            <w:tcBorders>
              <w:top w:val="single" w:sz="4" w:space="0" w:color="auto"/>
            </w:tcBorders>
            <w:noWrap/>
          </w:tcPr>
          <w:p w:rsidR="00ED600A" w:rsidRPr="00DB0AC3" w:rsidRDefault="00ED600A" w:rsidP="00ED600A">
            <w:pPr>
              <w:jc w:val="right"/>
              <w:rPr>
                <w:rFonts w:cs="Arial"/>
                <w:color w:val="000000"/>
                <w:sz w:val="20"/>
                <w:lang w:val="ru-RU"/>
              </w:rPr>
            </w:pPr>
          </w:p>
        </w:tc>
      </w:tr>
      <w:tr w:rsidR="00ED600A" w:rsidRPr="00DB0AC3" w:rsidTr="00ED600A">
        <w:trPr>
          <w:trHeight w:val="300"/>
        </w:trPr>
        <w:tc>
          <w:tcPr>
            <w:tcW w:w="3241" w:type="pct"/>
            <w:noWrap/>
            <w:hideMark/>
          </w:tcPr>
          <w:p w:rsidR="00ED600A" w:rsidRPr="00DB0AC3" w:rsidRDefault="00ED600A" w:rsidP="00ED600A">
            <w:pPr>
              <w:rPr>
                <w:rFonts w:cs="Arial"/>
                <w:color w:val="000000"/>
                <w:sz w:val="20"/>
                <w:lang w:val="ru-RU"/>
              </w:rPr>
            </w:pPr>
          </w:p>
        </w:tc>
        <w:tc>
          <w:tcPr>
            <w:tcW w:w="882" w:type="pct"/>
            <w:noWrap/>
            <w:hideMark/>
          </w:tcPr>
          <w:p w:rsidR="00ED600A" w:rsidRPr="00DB0AC3" w:rsidRDefault="00ED600A" w:rsidP="00ED600A">
            <w:pPr>
              <w:rPr>
                <w:rFonts w:cs="Arial"/>
                <w:color w:val="000000"/>
                <w:sz w:val="20"/>
                <w:lang w:val="ru-RU"/>
              </w:rPr>
            </w:pPr>
          </w:p>
        </w:tc>
        <w:tc>
          <w:tcPr>
            <w:tcW w:w="877" w:type="pct"/>
            <w:noWrap/>
            <w:hideMark/>
          </w:tcPr>
          <w:p w:rsidR="00ED600A" w:rsidRPr="00DB0AC3" w:rsidRDefault="00ED600A" w:rsidP="00ED600A">
            <w:pPr>
              <w:rPr>
                <w:rFonts w:cs="Arial"/>
                <w:color w:val="000000"/>
                <w:sz w:val="20"/>
                <w:lang w:val="ru-RU"/>
              </w:rPr>
            </w:pPr>
          </w:p>
        </w:tc>
      </w:tr>
      <w:tr w:rsidR="00ED600A" w:rsidRPr="00DB0AC3" w:rsidTr="00ED600A">
        <w:trPr>
          <w:trHeight w:val="300"/>
        </w:trPr>
        <w:tc>
          <w:tcPr>
            <w:tcW w:w="3241" w:type="pct"/>
            <w:noWrap/>
            <w:hideMark/>
          </w:tcPr>
          <w:p w:rsidR="00ED600A" w:rsidRPr="00DB0AC3" w:rsidRDefault="00ED600A" w:rsidP="00ED600A">
            <w:pPr>
              <w:rPr>
                <w:rFonts w:cs="Arial"/>
                <w:color w:val="000000"/>
                <w:sz w:val="20"/>
                <w:lang w:val="ru-RU"/>
              </w:rPr>
            </w:pPr>
            <w:r w:rsidRPr="00DB0AC3">
              <w:rPr>
                <w:rFonts w:cs="Arial"/>
                <w:color w:val="000000"/>
                <w:sz w:val="20"/>
                <w:lang w:val="ru-RU"/>
              </w:rPr>
              <w:t>Итого кредиты клиентам,  валовые</w:t>
            </w:r>
          </w:p>
        </w:tc>
        <w:tc>
          <w:tcPr>
            <w:tcW w:w="882" w:type="pct"/>
            <w:noWrap/>
            <w:hideMark/>
          </w:tcPr>
          <w:p w:rsidR="00ED600A" w:rsidRPr="00DB0AC3" w:rsidRDefault="00ED600A" w:rsidP="00CF408A">
            <w:pPr>
              <w:rPr>
                <w:rFonts w:cs="Arial"/>
                <w:color w:val="000000"/>
                <w:sz w:val="20"/>
                <w:lang w:val="ru-RU"/>
              </w:rPr>
            </w:pPr>
            <w:r w:rsidRPr="00DB0AC3">
              <w:rPr>
                <w:rFonts w:cs="Arial"/>
                <w:color w:val="000000"/>
                <w:sz w:val="20"/>
                <w:lang w:val="ru-RU"/>
              </w:rPr>
              <w:t xml:space="preserve">         45 139 02</w:t>
            </w:r>
            <w:r w:rsidR="00CF408A" w:rsidRPr="00DB0AC3">
              <w:rPr>
                <w:rFonts w:cs="Arial"/>
                <w:color w:val="000000"/>
                <w:sz w:val="20"/>
                <w:lang w:val="ru-RU"/>
              </w:rPr>
              <w:t>5</w:t>
            </w:r>
          </w:p>
        </w:tc>
        <w:tc>
          <w:tcPr>
            <w:tcW w:w="877" w:type="pct"/>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38 922 010</w:t>
            </w:r>
          </w:p>
        </w:tc>
      </w:tr>
      <w:tr w:rsidR="00ED600A" w:rsidRPr="00DB0AC3" w:rsidTr="00ED600A">
        <w:trPr>
          <w:trHeight w:val="300"/>
        </w:trPr>
        <w:tc>
          <w:tcPr>
            <w:tcW w:w="3241" w:type="pct"/>
            <w:noWrap/>
            <w:hideMark/>
          </w:tcPr>
          <w:p w:rsidR="00ED600A" w:rsidRPr="00DB0AC3" w:rsidRDefault="00ED600A" w:rsidP="00ED600A">
            <w:pPr>
              <w:rPr>
                <w:rFonts w:cs="Arial"/>
                <w:color w:val="000000"/>
                <w:sz w:val="20"/>
                <w:lang w:val="ru-RU"/>
              </w:rPr>
            </w:pPr>
            <w:r w:rsidRPr="00DB0AC3">
              <w:rPr>
                <w:rFonts w:cs="Arial"/>
                <w:color w:val="000000"/>
                <w:sz w:val="20"/>
                <w:lang w:val="ru-RU"/>
              </w:rPr>
              <w:t>Минус: резерв под обесценение кредитов клиентам</w:t>
            </w:r>
          </w:p>
        </w:tc>
        <w:tc>
          <w:tcPr>
            <w:tcW w:w="882" w:type="pct"/>
            <w:tcBorders>
              <w:bottom w:val="single" w:sz="4" w:space="0" w:color="auto"/>
            </w:tcBorders>
            <w:noWrap/>
            <w:hideMark/>
          </w:tcPr>
          <w:p w:rsidR="008E3EDA" w:rsidRPr="00DB0AC3" w:rsidRDefault="00ED600A">
            <w:pPr>
              <w:jc w:val="right"/>
              <w:rPr>
                <w:rFonts w:eastAsia="Times New Roman" w:cs="Arial"/>
                <w:b/>
                <w:bCs/>
                <w:color w:val="000000"/>
                <w:sz w:val="20"/>
                <w:lang w:val="ru-RU"/>
              </w:rPr>
            </w:pPr>
            <w:r w:rsidRPr="00DB0AC3">
              <w:rPr>
                <w:rFonts w:cs="Arial"/>
                <w:color w:val="000000"/>
                <w:sz w:val="20"/>
                <w:lang w:val="ru-RU"/>
              </w:rPr>
              <w:t>(34 163 772)</w:t>
            </w:r>
          </w:p>
        </w:tc>
        <w:tc>
          <w:tcPr>
            <w:tcW w:w="877" w:type="pct"/>
            <w:tcBorders>
              <w:bottom w:val="single" w:sz="4" w:space="0" w:color="auto"/>
            </w:tcBorders>
            <w:noWrap/>
            <w:hideMark/>
          </w:tcPr>
          <w:p w:rsidR="008E3EDA" w:rsidRPr="00DB0AC3" w:rsidRDefault="00ED600A">
            <w:pPr>
              <w:jc w:val="right"/>
              <w:rPr>
                <w:rFonts w:eastAsia="Times New Roman" w:cs="Arial"/>
                <w:b/>
                <w:bCs/>
                <w:color w:val="000000"/>
                <w:sz w:val="20"/>
                <w:lang w:val="ru-RU"/>
              </w:rPr>
            </w:pPr>
            <w:r w:rsidRPr="00DB0AC3">
              <w:rPr>
                <w:rFonts w:cs="Arial"/>
                <w:color w:val="000000"/>
                <w:sz w:val="20"/>
                <w:lang w:val="ru-RU"/>
              </w:rPr>
              <w:t xml:space="preserve">         (1 831 921)</w:t>
            </w:r>
          </w:p>
        </w:tc>
      </w:tr>
      <w:tr w:rsidR="00ED600A" w:rsidRPr="00DB0AC3" w:rsidTr="00ED600A">
        <w:trPr>
          <w:trHeight w:val="300"/>
        </w:trPr>
        <w:tc>
          <w:tcPr>
            <w:tcW w:w="3241" w:type="pct"/>
            <w:noWrap/>
            <w:hideMark/>
          </w:tcPr>
          <w:p w:rsidR="00ED600A" w:rsidRPr="00DB0AC3" w:rsidRDefault="00ED600A" w:rsidP="00ED600A">
            <w:pPr>
              <w:rPr>
                <w:rFonts w:cs="Arial"/>
                <w:color w:val="000000"/>
                <w:sz w:val="20"/>
                <w:lang w:val="ru-RU"/>
              </w:rPr>
            </w:pPr>
          </w:p>
        </w:tc>
        <w:tc>
          <w:tcPr>
            <w:tcW w:w="882" w:type="pct"/>
            <w:tcBorders>
              <w:top w:val="single" w:sz="4" w:space="0" w:color="auto"/>
            </w:tcBorders>
            <w:noWrap/>
            <w:hideMark/>
          </w:tcPr>
          <w:p w:rsidR="00ED600A" w:rsidRPr="00DB0AC3" w:rsidRDefault="00ED600A" w:rsidP="00ED600A">
            <w:pPr>
              <w:rPr>
                <w:rFonts w:cs="Arial"/>
                <w:color w:val="000000"/>
                <w:sz w:val="20"/>
                <w:lang w:val="ru-RU"/>
              </w:rPr>
            </w:pPr>
          </w:p>
        </w:tc>
        <w:tc>
          <w:tcPr>
            <w:tcW w:w="877" w:type="pct"/>
            <w:tcBorders>
              <w:top w:val="single" w:sz="4" w:space="0" w:color="auto"/>
            </w:tcBorders>
            <w:noWrap/>
            <w:hideMark/>
          </w:tcPr>
          <w:p w:rsidR="00ED600A" w:rsidRPr="00DB0AC3" w:rsidRDefault="00ED600A" w:rsidP="00ED600A">
            <w:pPr>
              <w:rPr>
                <w:rFonts w:cs="Arial"/>
                <w:color w:val="000000"/>
                <w:sz w:val="20"/>
                <w:lang w:val="ru-RU"/>
              </w:rPr>
            </w:pPr>
          </w:p>
        </w:tc>
      </w:tr>
      <w:tr w:rsidR="00ED600A" w:rsidRPr="00DB0AC3" w:rsidTr="00ED600A">
        <w:trPr>
          <w:trHeight w:val="300"/>
        </w:trPr>
        <w:tc>
          <w:tcPr>
            <w:tcW w:w="3241" w:type="pct"/>
            <w:noWrap/>
            <w:hideMark/>
          </w:tcPr>
          <w:p w:rsidR="00ED600A" w:rsidRPr="00DB0AC3" w:rsidRDefault="00ED600A" w:rsidP="00ED600A">
            <w:pPr>
              <w:rPr>
                <w:rFonts w:cs="Arial"/>
                <w:b/>
                <w:bCs/>
                <w:color w:val="000000"/>
                <w:sz w:val="20"/>
                <w:lang w:val="ru-RU"/>
              </w:rPr>
            </w:pPr>
            <w:r w:rsidRPr="00DB0AC3">
              <w:rPr>
                <w:rFonts w:cs="Arial"/>
                <w:b/>
                <w:bCs/>
                <w:color w:val="000000"/>
                <w:sz w:val="20"/>
                <w:lang w:val="ru-RU"/>
              </w:rPr>
              <w:t>Итого кредиты и авансы, выданные клиентам, чистые</w:t>
            </w:r>
          </w:p>
        </w:tc>
        <w:tc>
          <w:tcPr>
            <w:tcW w:w="882" w:type="pct"/>
            <w:tcBorders>
              <w:bottom w:val="double" w:sz="4" w:space="0" w:color="auto"/>
            </w:tcBorders>
            <w:noWrap/>
            <w:hideMark/>
          </w:tcPr>
          <w:p w:rsidR="00ED600A" w:rsidRPr="00DB0AC3" w:rsidRDefault="00ED600A" w:rsidP="00CF408A">
            <w:pPr>
              <w:jc w:val="right"/>
              <w:rPr>
                <w:rFonts w:cs="Arial"/>
                <w:b/>
                <w:bCs/>
                <w:color w:val="000000"/>
                <w:sz w:val="20"/>
                <w:lang w:val="ru-RU"/>
              </w:rPr>
            </w:pPr>
            <w:r w:rsidRPr="00DB0AC3">
              <w:rPr>
                <w:rFonts w:cs="Arial"/>
                <w:b/>
                <w:bCs/>
                <w:color w:val="000000"/>
                <w:sz w:val="20"/>
                <w:lang w:val="ru-RU"/>
              </w:rPr>
              <w:t>10 975 25</w:t>
            </w:r>
            <w:r w:rsidR="00CF408A" w:rsidRPr="00DB0AC3">
              <w:rPr>
                <w:rFonts w:cs="Arial"/>
                <w:b/>
                <w:bCs/>
                <w:color w:val="000000"/>
                <w:sz w:val="20"/>
                <w:lang w:val="ru-RU"/>
              </w:rPr>
              <w:t>3</w:t>
            </w:r>
          </w:p>
        </w:tc>
        <w:tc>
          <w:tcPr>
            <w:tcW w:w="877" w:type="pct"/>
            <w:tcBorders>
              <w:bottom w:val="double" w:sz="4" w:space="0" w:color="auto"/>
            </w:tcBorders>
            <w:noWrap/>
            <w:hideMark/>
          </w:tcPr>
          <w:p w:rsidR="00ED600A" w:rsidRPr="00DB0AC3" w:rsidRDefault="00ED600A" w:rsidP="00ED600A">
            <w:pPr>
              <w:jc w:val="right"/>
              <w:rPr>
                <w:rFonts w:cs="Arial"/>
                <w:b/>
                <w:bCs/>
                <w:color w:val="000000"/>
                <w:sz w:val="20"/>
                <w:lang w:val="ru-RU"/>
              </w:rPr>
            </w:pPr>
            <w:r w:rsidRPr="00DB0AC3">
              <w:rPr>
                <w:rFonts w:cs="Arial"/>
                <w:b/>
                <w:bCs/>
                <w:color w:val="000000"/>
                <w:sz w:val="20"/>
                <w:lang w:val="ru-RU"/>
              </w:rPr>
              <w:t>37 090 089</w:t>
            </w:r>
          </w:p>
        </w:tc>
      </w:tr>
    </w:tbl>
    <w:p w:rsidR="00ED600A" w:rsidRPr="00DB0AC3" w:rsidRDefault="00ED600A" w:rsidP="00ED600A">
      <w:pPr>
        <w:rPr>
          <w:rFonts w:cs="Arial"/>
          <w:sz w:val="20"/>
          <w:lang w:val="ru-RU"/>
        </w:rPr>
      </w:pPr>
    </w:p>
    <w:p w:rsidR="00ED600A" w:rsidRPr="00DB0AC3" w:rsidRDefault="00ED600A" w:rsidP="00ED600A">
      <w:pPr>
        <w:rPr>
          <w:rFonts w:cs="Arial"/>
          <w:sz w:val="20"/>
          <w:lang w:val="ru-RU"/>
        </w:rPr>
      </w:pPr>
    </w:p>
    <w:p w:rsidR="00ED600A" w:rsidRPr="00DB0AC3" w:rsidRDefault="00ED600A" w:rsidP="00ED600A">
      <w:pPr>
        <w:pStyle w:val="210"/>
        <w:shd w:val="clear" w:color="auto" w:fill="auto"/>
        <w:spacing w:line="180" w:lineRule="exact"/>
        <w:ind w:firstLine="0"/>
        <w:rPr>
          <w:rFonts w:eastAsia="SimSun"/>
          <w:b w:val="0"/>
          <w:bCs w:val="0"/>
          <w:color w:val="000000"/>
          <w:sz w:val="20"/>
          <w:szCs w:val="20"/>
        </w:rPr>
      </w:pPr>
      <w:r w:rsidRPr="00DB0AC3">
        <w:rPr>
          <w:rFonts w:eastAsia="SimSun"/>
          <w:b w:val="0"/>
          <w:sz w:val="20"/>
          <w:szCs w:val="20"/>
        </w:rPr>
        <w:t>Движение резерва на обесценение по кредитам клиентам представлено в следующей таблице:</w:t>
      </w:r>
    </w:p>
    <w:p w:rsidR="00ED600A" w:rsidRPr="00DB0AC3" w:rsidRDefault="00ED600A" w:rsidP="00ED600A">
      <w:pPr>
        <w:rPr>
          <w:rFonts w:cs="Arial"/>
          <w:sz w:val="20"/>
          <w:lang w:val="ru-RU"/>
        </w:rPr>
      </w:pPr>
    </w:p>
    <w:p w:rsidR="00ED600A" w:rsidRPr="00DB0AC3" w:rsidRDefault="00ED600A" w:rsidP="00ED600A">
      <w:pPr>
        <w:rPr>
          <w:rFonts w:cs="Arial"/>
          <w:sz w:val="20"/>
          <w:lang w:val="ru-RU"/>
        </w:rPr>
      </w:pPr>
    </w:p>
    <w:tbl>
      <w:tblPr>
        <w:tblW w:w="5000" w:type="pct"/>
        <w:tblLook w:val="04A0"/>
      </w:tblPr>
      <w:tblGrid>
        <w:gridCol w:w="6232"/>
        <w:gridCol w:w="1851"/>
        <w:gridCol w:w="1740"/>
      </w:tblGrid>
      <w:tr w:rsidR="00ED600A" w:rsidRPr="00DB0AC3" w:rsidTr="00ED600A">
        <w:trPr>
          <w:trHeight w:val="300"/>
        </w:trPr>
        <w:tc>
          <w:tcPr>
            <w:tcW w:w="3292" w:type="pct"/>
            <w:tcBorders>
              <w:top w:val="nil"/>
              <w:left w:val="nil"/>
              <w:bottom w:val="nil"/>
              <w:right w:val="nil"/>
            </w:tcBorders>
            <w:shd w:val="clear" w:color="auto" w:fill="auto"/>
            <w:noWrap/>
            <w:vAlign w:val="bottom"/>
            <w:hideMark/>
          </w:tcPr>
          <w:p w:rsidR="00ED600A" w:rsidRPr="00DB0AC3" w:rsidRDefault="00ED600A" w:rsidP="00ED600A">
            <w:pPr>
              <w:rPr>
                <w:rFonts w:cs="Arial"/>
                <w:color w:val="000000"/>
                <w:sz w:val="20"/>
                <w:lang w:val="ru-RU"/>
              </w:rPr>
            </w:pPr>
          </w:p>
        </w:tc>
        <w:tc>
          <w:tcPr>
            <w:tcW w:w="885" w:type="pct"/>
            <w:tcBorders>
              <w:top w:val="nil"/>
              <w:left w:val="nil"/>
              <w:bottom w:val="single" w:sz="4" w:space="0" w:color="auto"/>
              <w:right w:val="nil"/>
            </w:tcBorders>
            <w:shd w:val="clear" w:color="auto" w:fill="auto"/>
            <w:vAlign w:val="bottom"/>
            <w:hideMark/>
          </w:tcPr>
          <w:p w:rsidR="00ED600A" w:rsidRPr="00DB0AC3" w:rsidRDefault="00ED600A" w:rsidP="00ED600A">
            <w:pPr>
              <w:jc w:val="center"/>
              <w:rPr>
                <w:rFonts w:cs="Arial"/>
                <w:b/>
                <w:bCs/>
                <w:color w:val="000000"/>
                <w:sz w:val="20"/>
                <w:lang w:val="ru-RU"/>
              </w:rPr>
            </w:pPr>
            <w:r w:rsidRPr="00DB0AC3">
              <w:rPr>
                <w:rFonts w:cs="Arial"/>
                <w:b/>
                <w:bCs/>
                <w:color w:val="000000"/>
                <w:sz w:val="20"/>
                <w:lang w:val="ru-RU"/>
              </w:rPr>
              <w:t>2014</w:t>
            </w:r>
          </w:p>
        </w:tc>
        <w:tc>
          <w:tcPr>
            <w:tcW w:w="823" w:type="pct"/>
            <w:tcBorders>
              <w:top w:val="nil"/>
              <w:left w:val="nil"/>
              <w:bottom w:val="single" w:sz="4" w:space="0" w:color="auto"/>
              <w:right w:val="nil"/>
            </w:tcBorders>
            <w:shd w:val="clear" w:color="auto" w:fill="auto"/>
            <w:vAlign w:val="bottom"/>
            <w:hideMark/>
          </w:tcPr>
          <w:p w:rsidR="00ED600A" w:rsidRPr="00DB0AC3" w:rsidRDefault="00ED600A" w:rsidP="00ED600A">
            <w:pPr>
              <w:jc w:val="center"/>
              <w:rPr>
                <w:rFonts w:cs="Arial"/>
                <w:b/>
                <w:bCs/>
                <w:color w:val="000000"/>
                <w:sz w:val="20"/>
                <w:lang w:val="ru-RU"/>
              </w:rPr>
            </w:pPr>
            <w:r w:rsidRPr="00DB0AC3">
              <w:rPr>
                <w:rFonts w:cs="Arial"/>
                <w:b/>
                <w:bCs/>
                <w:color w:val="000000"/>
                <w:sz w:val="20"/>
                <w:lang w:val="ru-RU"/>
              </w:rPr>
              <w:t>2013</w:t>
            </w:r>
          </w:p>
        </w:tc>
      </w:tr>
      <w:tr w:rsidR="00ED600A" w:rsidRPr="00DB0AC3" w:rsidTr="00ED600A">
        <w:trPr>
          <w:trHeight w:val="300"/>
        </w:trPr>
        <w:tc>
          <w:tcPr>
            <w:tcW w:w="3292" w:type="pct"/>
            <w:tcBorders>
              <w:top w:val="nil"/>
              <w:left w:val="nil"/>
              <w:bottom w:val="nil"/>
              <w:right w:val="nil"/>
            </w:tcBorders>
            <w:shd w:val="clear" w:color="auto" w:fill="auto"/>
            <w:noWrap/>
            <w:vAlign w:val="bottom"/>
            <w:hideMark/>
          </w:tcPr>
          <w:p w:rsidR="00ED600A" w:rsidRPr="00DB0AC3" w:rsidRDefault="00ED600A" w:rsidP="00ED600A">
            <w:pPr>
              <w:rPr>
                <w:rFonts w:cs="Arial"/>
                <w:color w:val="000000"/>
                <w:sz w:val="20"/>
                <w:lang w:val="ru-RU"/>
              </w:rPr>
            </w:pPr>
            <w:r w:rsidRPr="00DB0AC3">
              <w:rPr>
                <w:rFonts w:cs="Arial"/>
                <w:color w:val="000000"/>
                <w:sz w:val="20"/>
                <w:lang w:val="ru-RU"/>
              </w:rPr>
              <w:t>На начало года</w:t>
            </w:r>
          </w:p>
        </w:tc>
        <w:tc>
          <w:tcPr>
            <w:tcW w:w="885" w:type="pct"/>
            <w:tcBorders>
              <w:top w:val="nil"/>
              <w:left w:val="nil"/>
              <w:bottom w:val="nil"/>
              <w:right w:val="nil"/>
            </w:tcBorders>
            <w:shd w:val="clear" w:color="auto" w:fill="auto"/>
            <w:noWrap/>
            <w:vAlign w:val="bottom"/>
            <w:hideMark/>
          </w:tcPr>
          <w:p w:rsidR="0062600E" w:rsidRPr="00DB0AC3" w:rsidRDefault="00ED600A" w:rsidP="00C06AC5">
            <w:pPr>
              <w:jc w:val="right"/>
              <w:rPr>
                <w:rFonts w:cs="Arial"/>
                <w:b/>
                <w:bCs/>
                <w:color w:val="000000"/>
                <w:sz w:val="20"/>
                <w:lang w:val="ru-RU"/>
              </w:rPr>
            </w:pPr>
            <w:r w:rsidRPr="00DB0AC3">
              <w:rPr>
                <w:rFonts w:cs="Arial"/>
                <w:color w:val="000000"/>
                <w:sz w:val="20"/>
                <w:lang w:val="ru-RU"/>
              </w:rPr>
              <w:t xml:space="preserve">           (1 831 921)</w:t>
            </w:r>
          </w:p>
        </w:tc>
        <w:tc>
          <w:tcPr>
            <w:tcW w:w="823" w:type="pct"/>
            <w:tcBorders>
              <w:top w:val="nil"/>
              <w:left w:val="nil"/>
              <w:bottom w:val="nil"/>
              <w:right w:val="nil"/>
            </w:tcBorders>
            <w:shd w:val="clear" w:color="auto" w:fill="auto"/>
            <w:noWrap/>
            <w:vAlign w:val="bottom"/>
            <w:hideMark/>
          </w:tcPr>
          <w:p w:rsidR="0062600E" w:rsidRPr="00DB0AC3" w:rsidRDefault="00ED600A" w:rsidP="00C06AC5">
            <w:pPr>
              <w:jc w:val="right"/>
              <w:rPr>
                <w:rFonts w:cs="Arial"/>
                <w:b/>
                <w:bCs/>
                <w:color w:val="000000"/>
                <w:sz w:val="20"/>
                <w:lang w:val="ru-RU"/>
              </w:rPr>
            </w:pPr>
            <w:r w:rsidRPr="00DB0AC3">
              <w:rPr>
                <w:rFonts w:cs="Arial"/>
                <w:color w:val="000000"/>
                <w:sz w:val="20"/>
                <w:lang w:val="ru-RU"/>
              </w:rPr>
              <w:t xml:space="preserve">            (988 235)</w:t>
            </w:r>
          </w:p>
        </w:tc>
      </w:tr>
      <w:tr w:rsidR="00ED600A" w:rsidRPr="00DB0AC3" w:rsidTr="00ED600A">
        <w:trPr>
          <w:trHeight w:val="300"/>
        </w:trPr>
        <w:tc>
          <w:tcPr>
            <w:tcW w:w="3292" w:type="pct"/>
            <w:tcBorders>
              <w:top w:val="nil"/>
              <w:left w:val="nil"/>
              <w:bottom w:val="nil"/>
              <w:right w:val="nil"/>
            </w:tcBorders>
            <w:shd w:val="clear" w:color="auto" w:fill="auto"/>
            <w:noWrap/>
            <w:vAlign w:val="bottom"/>
            <w:hideMark/>
          </w:tcPr>
          <w:p w:rsidR="00ED600A" w:rsidRPr="00DB0AC3" w:rsidRDefault="00ED600A" w:rsidP="00ED600A">
            <w:pPr>
              <w:rPr>
                <w:rFonts w:cs="Arial"/>
                <w:color w:val="000000"/>
                <w:sz w:val="20"/>
                <w:lang w:val="ru-RU"/>
              </w:rPr>
            </w:pPr>
            <w:r w:rsidRPr="00DB0AC3">
              <w:rPr>
                <w:rFonts w:cs="Arial"/>
                <w:color w:val="000000"/>
                <w:sz w:val="20"/>
                <w:lang w:val="ru-RU"/>
              </w:rPr>
              <w:t>Начисление резерва в отчетном году</w:t>
            </w:r>
          </w:p>
        </w:tc>
        <w:tc>
          <w:tcPr>
            <w:tcW w:w="885" w:type="pct"/>
            <w:tcBorders>
              <w:top w:val="nil"/>
              <w:left w:val="nil"/>
              <w:bottom w:val="nil"/>
              <w:right w:val="nil"/>
            </w:tcBorders>
            <w:shd w:val="clear" w:color="auto" w:fill="auto"/>
            <w:noWrap/>
            <w:vAlign w:val="bottom"/>
            <w:hideMark/>
          </w:tcPr>
          <w:p w:rsidR="0062600E" w:rsidRPr="00DB0AC3" w:rsidRDefault="00ED600A" w:rsidP="00C06AC5">
            <w:pPr>
              <w:jc w:val="right"/>
              <w:rPr>
                <w:rFonts w:cs="Arial"/>
                <w:b/>
                <w:bCs/>
                <w:color w:val="000000"/>
                <w:sz w:val="20"/>
                <w:lang w:val="ru-RU"/>
              </w:rPr>
            </w:pPr>
            <w:r w:rsidRPr="00DB0AC3">
              <w:rPr>
                <w:rFonts w:cs="Arial"/>
                <w:color w:val="000000"/>
                <w:sz w:val="20"/>
                <w:lang w:val="ru-RU"/>
              </w:rPr>
              <w:t xml:space="preserve">         (32</w:t>
            </w:r>
            <w:r w:rsidR="00A46D6C" w:rsidRPr="00DB0AC3">
              <w:rPr>
                <w:rFonts w:cs="Arial"/>
                <w:color w:val="000000"/>
                <w:sz w:val="20"/>
                <w:lang w:val="ru-RU"/>
              </w:rPr>
              <w:t> </w:t>
            </w:r>
            <w:r w:rsidRPr="00DB0AC3">
              <w:rPr>
                <w:rFonts w:cs="Arial"/>
                <w:color w:val="000000"/>
                <w:sz w:val="20"/>
                <w:lang w:val="ru-RU"/>
              </w:rPr>
              <w:t>3</w:t>
            </w:r>
            <w:r w:rsidR="00132C76" w:rsidRPr="00DB0AC3">
              <w:rPr>
                <w:rFonts w:cs="Arial"/>
                <w:color w:val="000000"/>
                <w:sz w:val="20"/>
                <w:lang w:val="en-US"/>
              </w:rPr>
              <w:t>49</w:t>
            </w:r>
            <w:r w:rsidR="00A46D6C" w:rsidRPr="00DB0AC3">
              <w:rPr>
                <w:rFonts w:cs="Arial"/>
                <w:color w:val="000000"/>
                <w:sz w:val="20"/>
                <w:lang w:val="ru-RU"/>
              </w:rPr>
              <w:t> </w:t>
            </w:r>
            <w:r w:rsidR="00132C76" w:rsidRPr="00DB0AC3">
              <w:rPr>
                <w:rFonts w:cs="Arial"/>
                <w:color w:val="000000"/>
                <w:sz w:val="20"/>
                <w:lang w:val="en-US"/>
              </w:rPr>
              <w:t>683</w:t>
            </w:r>
            <w:r w:rsidRPr="00DB0AC3">
              <w:rPr>
                <w:rFonts w:cs="Arial"/>
                <w:color w:val="000000"/>
                <w:sz w:val="20"/>
                <w:lang w:val="ru-RU"/>
              </w:rPr>
              <w:t>)</w:t>
            </w:r>
          </w:p>
        </w:tc>
        <w:tc>
          <w:tcPr>
            <w:tcW w:w="823" w:type="pct"/>
            <w:tcBorders>
              <w:top w:val="nil"/>
              <w:left w:val="nil"/>
              <w:bottom w:val="nil"/>
              <w:right w:val="nil"/>
            </w:tcBorders>
            <w:shd w:val="clear" w:color="auto" w:fill="auto"/>
            <w:noWrap/>
            <w:vAlign w:val="bottom"/>
            <w:hideMark/>
          </w:tcPr>
          <w:p w:rsidR="0062600E" w:rsidRPr="00DB0AC3" w:rsidRDefault="00ED600A" w:rsidP="00C06AC5">
            <w:pPr>
              <w:jc w:val="right"/>
              <w:rPr>
                <w:rFonts w:cs="Arial"/>
                <w:b/>
                <w:bCs/>
                <w:color w:val="000000"/>
                <w:sz w:val="20"/>
                <w:lang w:val="ru-RU"/>
              </w:rPr>
            </w:pPr>
            <w:r w:rsidRPr="00DB0AC3">
              <w:rPr>
                <w:rFonts w:cs="Arial"/>
                <w:color w:val="000000"/>
                <w:sz w:val="20"/>
                <w:lang w:val="ru-RU"/>
              </w:rPr>
              <w:t xml:space="preserve">            (925 457)</w:t>
            </w:r>
          </w:p>
        </w:tc>
      </w:tr>
      <w:tr w:rsidR="00ED600A" w:rsidRPr="00DB0AC3" w:rsidTr="00ED600A">
        <w:trPr>
          <w:trHeight w:val="600"/>
        </w:trPr>
        <w:tc>
          <w:tcPr>
            <w:tcW w:w="3292" w:type="pct"/>
            <w:tcBorders>
              <w:top w:val="nil"/>
              <w:left w:val="nil"/>
              <w:bottom w:val="nil"/>
              <w:right w:val="nil"/>
            </w:tcBorders>
            <w:shd w:val="clear" w:color="auto" w:fill="auto"/>
            <w:vAlign w:val="bottom"/>
            <w:hideMark/>
          </w:tcPr>
          <w:p w:rsidR="00ED600A" w:rsidRPr="00DB0AC3" w:rsidRDefault="00ED600A" w:rsidP="00ED600A">
            <w:pPr>
              <w:rPr>
                <w:rFonts w:cs="Arial"/>
                <w:color w:val="000000"/>
                <w:sz w:val="20"/>
                <w:lang w:val="ru-RU"/>
              </w:rPr>
            </w:pPr>
            <w:r w:rsidRPr="00DB0AC3">
              <w:rPr>
                <w:rFonts w:cs="Arial"/>
                <w:color w:val="000000"/>
                <w:sz w:val="20"/>
                <w:lang w:val="ru-RU"/>
              </w:rPr>
              <w:t>Кредиты и авансы клиентам, списанные в отчетном году как безнадежные</w:t>
            </w:r>
          </w:p>
        </w:tc>
        <w:tc>
          <w:tcPr>
            <w:tcW w:w="885" w:type="pct"/>
            <w:tcBorders>
              <w:top w:val="nil"/>
              <w:left w:val="nil"/>
              <w:bottom w:val="nil"/>
              <w:right w:val="nil"/>
            </w:tcBorders>
            <w:shd w:val="clear" w:color="auto" w:fill="auto"/>
            <w:noWrap/>
            <w:vAlign w:val="bottom"/>
            <w:hideMark/>
          </w:tcPr>
          <w:p w:rsidR="00ED600A" w:rsidRPr="00DB0AC3" w:rsidRDefault="00132C76" w:rsidP="00A46D6C">
            <w:pPr>
              <w:jc w:val="right"/>
              <w:rPr>
                <w:rFonts w:cs="Arial"/>
                <w:color w:val="000000"/>
                <w:sz w:val="20"/>
                <w:lang w:val="en-US"/>
              </w:rPr>
            </w:pPr>
            <w:r w:rsidRPr="00DB0AC3">
              <w:rPr>
                <w:rFonts w:cs="Arial"/>
                <w:color w:val="000000"/>
                <w:sz w:val="20"/>
                <w:lang w:val="en-US"/>
              </w:rPr>
              <w:t>17</w:t>
            </w:r>
            <w:r w:rsidR="00A46D6C" w:rsidRPr="00DB0AC3">
              <w:rPr>
                <w:rFonts w:cs="Arial"/>
                <w:color w:val="000000"/>
                <w:sz w:val="20"/>
                <w:lang w:val="ru-RU"/>
              </w:rPr>
              <w:t> </w:t>
            </w:r>
            <w:r w:rsidRPr="00DB0AC3">
              <w:rPr>
                <w:rFonts w:cs="Arial"/>
                <w:color w:val="000000"/>
                <w:sz w:val="20"/>
                <w:lang w:val="en-US"/>
              </w:rPr>
              <w:t>832</w:t>
            </w:r>
          </w:p>
        </w:tc>
        <w:tc>
          <w:tcPr>
            <w:tcW w:w="823" w:type="pct"/>
            <w:tcBorders>
              <w:top w:val="nil"/>
              <w:left w:val="nil"/>
              <w:bottom w:val="nil"/>
              <w:right w:val="nil"/>
            </w:tcBorders>
            <w:shd w:val="clear" w:color="auto" w:fill="auto"/>
            <w:noWrap/>
            <w:vAlign w:val="bottom"/>
            <w:hideMark/>
          </w:tcPr>
          <w:p w:rsidR="00ED600A" w:rsidRPr="00DB0AC3" w:rsidRDefault="00ED600A" w:rsidP="00A46D6C">
            <w:pPr>
              <w:jc w:val="right"/>
              <w:rPr>
                <w:rFonts w:cs="Arial"/>
                <w:color w:val="000000"/>
                <w:sz w:val="20"/>
                <w:lang w:val="ru-RU"/>
              </w:rPr>
            </w:pPr>
            <w:r w:rsidRPr="00DB0AC3">
              <w:rPr>
                <w:rFonts w:cs="Arial"/>
                <w:color w:val="000000"/>
                <w:sz w:val="20"/>
                <w:lang w:val="ru-RU"/>
              </w:rPr>
              <w:t>81 771</w:t>
            </w:r>
          </w:p>
        </w:tc>
      </w:tr>
      <w:tr w:rsidR="00ED600A" w:rsidRPr="00DB0AC3" w:rsidTr="00ED600A">
        <w:trPr>
          <w:trHeight w:val="300"/>
        </w:trPr>
        <w:tc>
          <w:tcPr>
            <w:tcW w:w="3292" w:type="pct"/>
            <w:tcBorders>
              <w:top w:val="nil"/>
              <w:left w:val="nil"/>
              <w:bottom w:val="nil"/>
              <w:right w:val="nil"/>
            </w:tcBorders>
            <w:shd w:val="clear" w:color="auto" w:fill="auto"/>
            <w:vAlign w:val="bottom"/>
            <w:hideMark/>
          </w:tcPr>
          <w:p w:rsidR="00ED600A" w:rsidRPr="00DB0AC3" w:rsidRDefault="00ED600A" w:rsidP="00ED600A">
            <w:pPr>
              <w:rPr>
                <w:rFonts w:cs="Arial"/>
                <w:color w:val="000000"/>
                <w:sz w:val="20"/>
                <w:lang w:val="ru-RU"/>
              </w:rPr>
            </w:pPr>
          </w:p>
        </w:tc>
        <w:tc>
          <w:tcPr>
            <w:tcW w:w="885" w:type="pct"/>
            <w:tcBorders>
              <w:top w:val="nil"/>
              <w:left w:val="nil"/>
              <w:bottom w:val="nil"/>
              <w:right w:val="nil"/>
            </w:tcBorders>
            <w:shd w:val="clear" w:color="auto" w:fill="auto"/>
            <w:noWrap/>
            <w:vAlign w:val="bottom"/>
            <w:hideMark/>
          </w:tcPr>
          <w:p w:rsidR="0062600E" w:rsidRPr="00DB0AC3" w:rsidRDefault="0062600E" w:rsidP="00C06AC5">
            <w:pPr>
              <w:jc w:val="right"/>
              <w:rPr>
                <w:rFonts w:cs="Arial"/>
                <w:b/>
                <w:i/>
                <w:color w:val="000000"/>
                <w:sz w:val="20"/>
                <w:lang w:val="ru-RU"/>
              </w:rPr>
            </w:pPr>
          </w:p>
        </w:tc>
        <w:tc>
          <w:tcPr>
            <w:tcW w:w="823" w:type="pct"/>
            <w:tcBorders>
              <w:top w:val="nil"/>
              <w:left w:val="nil"/>
              <w:bottom w:val="nil"/>
              <w:right w:val="nil"/>
            </w:tcBorders>
            <w:shd w:val="clear" w:color="auto" w:fill="auto"/>
            <w:noWrap/>
            <w:vAlign w:val="bottom"/>
            <w:hideMark/>
          </w:tcPr>
          <w:p w:rsidR="0062600E" w:rsidRPr="00DB0AC3" w:rsidRDefault="0062600E" w:rsidP="00C06AC5">
            <w:pPr>
              <w:jc w:val="right"/>
              <w:rPr>
                <w:rFonts w:cs="Arial"/>
                <w:b/>
                <w:i/>
                <w:color w:val="000000"/>
                <w:sz w:val="20"/>
                <w:lang w:val="ru-RU"/>
              </w:rPr>
            </w:pPr>
          </w:p>
        </w:tc>
      </w:tr>
      <w:tr w:rsidR="00ED600A" w:rsidRPr="00DB0AC3" w:rsidTr="00ED600A">
        <w:trPr>
          <w:trHeight w:val="315"/>
        </w:trPr>
        <w:tc>
          <w:tcPr>
            <w:tcW w:w="3292" w:type="pct"/>
            <w:tcBorders>
              <w:top w:val="nil"/>
              <w:left w:val="nil"/>
              <w:bottom w:val="nil"/>
              <w:right w:val="nil"/>
            </w:tcBorders>
            <w:shd w:val="clear" w:color="auto" w:fill="auto"/>
            <w:noWrap/>
            <w:vAlign w:val="bottom"/>
            <w:hideMark/>
          </w:tcPr>
          <w:p w:rsidR="00ED600A" w:rsidRPr="00DB0AC3" w:rsidRDefault="00ED600A" w:rsidP="00ED600A">
            <w:pPr>
              <w:rPr>
                <w:rFonts w:cs="Arial"/>
                <w:b/>
                <w:bCs/>
                <w:color w:val="000000"/>
                <w:sz w:val="20"/>
                <w:lang w:val="ru-RU"/>
              </w:rPr>
            </w:pPr>
            <w:r w:rsidRPr="00DB0AC3">
              <w:rPr>
                <w:rFonts w:cs="Arial"/>
                <w:b/>
                <w:bCs/>
                <w:color w:val="000000"/>
                <w:sz w:val="20"/>
                <w:lang w:val="ru-RU"/>
              </w:rPr>
              <w:t>На конец года</w:t>
            </w:r>
          </w:p>
        </w:tc>
        <w:tc>
          <w:tcPr>
            <w:tcW w:w="885" w:type="pct"/>
            <w:tcBorders>
              <w:top w:val="single" w:sz="4" w:space="0" w:color="auto"/>
              <w:left w:val="nil"/>
              <w:bottom w:val="double" w:sz="6" w:space="0" w:color="auto"/>
              <w:right w:val="nil"/>
            </w:tcBorders>
            <w:shd w:val="clear" w:color="auto" w:fill="auto"/>
            <w:noWrap/>
            <w:vAlign w:val="bottom"/>
            <w:hideMark/>
          </w:tcPr>
          <w:p w:rsidR="0062600E" w:rsidRPr="00DB0AC3" w:rsidRDefault="00ED600A" w:rsidP="00C06AC5">
            <w:pPr>
              <w:jc w:val="right"/>
              <w:rPr>
                <w:rFonts w:cs="Arial"/>
                <w:b/>
                <w:bCs/>
                <w:color w:val="000000"/>
                <w:sz w:val="20"/>
                <w:lang w:val="ru-RU"/>
              </w:rPr>
            </w:pPr>
            <w:r w:rsidRPr="00DB0AC3">
              <w:rPr>
                <w:rFonts w:cs="Arial"/>
                <w:b/>
                <w:bCs/>
                <w:color w:val="000000"/>
                <w:sz w:val="20"/>
                <w:lang w:val="ru-RU"/>
              </w:rPr>
              <w:t xml:space="preserve">         (34 163 772)</w:t>
            </w:r>
          </w:p>
        </w:tc>
        <w:tc>
          <w:tcPr>
            <w:tcW w:w="823" w:type="pct"/>
            <w:tcBorders>
              <w:top w:val="single" w:sz="4" w:space="0" w:color="auto"/>
              <w:left w:val="nil"/>
              <w:bottom w:val="double" w:sz="6" w:space="0" w:color="auto"/>
              <w:right w:val="nil"/>
            </w:tcBorders>
            <w:shd w:val="clear" w:color="auto" w:fill="auto"/>
            <w:noWrap/>
            <w:vAlign w:val="bottom"/>
            <w:hideMark/>
          </w:tcPr>
          <w:p w:rsidR="0062600E" w:rsidRPr="00DB0AC3" w:rsidRDefault="00ED600A" w:rsidP="00C06AC5">
            <w:pPr>
              <w:jc w:val="right"/>
              <w:rPr>
                <w:rFonts w:cs="Arial"/>
                <w:b/>
                <w:bCs/>
                <w:color w:val="000000"/>
                <w:sz w:val="20"/>
                <w:lang w:val="ru-RU"/>
              </w:rPr>
            </w:pPr>
            <w:r w:rsidRPr="00DB0AC3">
              <w:rPr>
                <w:rFonts w:cs="Arial"/>
                <w:b/>
                <w:bCs/>
                <w:color w:val="000000"/>
                <w:sz w:val="20"/>
                <w:lang w:val="ru-RU"/>
              </w:rPr>
              <w:t xml:space="preserve">         (1 831 921)</w:t>
            </w:r>
          </w:p>
        </w:tc>
      </w:tr>
    </w:tbl>
    <w:p w:rsidR="00ED600A" w:rsidRPr="00DB0AC3" w:rsidRDefault="00ED600A" w:rsidP="00ED600A">
      <w:pPr>
        <w:rPr>
          <w:rFonts w:cs="Arial"/>
          <w:sz w:val="20"/>
          <w:lang w:val="ru-RU"/>
        </w:rPr>
      </w:pPr>
    </w:p>
    <w:p w:rsidR="00ED600A" w:rsidRPr="00DB0AC3" w:rsidRDefault="00ED600A" w:rsidP="00ED600A">
      <w:pPr>
        <w:rPr>
          <w:rFonts w:cs="Arial"/>
          <w:sz w:val="20"/>
          <w:lang w:val="ru-RU"/>
        </w:rPr>
      </w:pPr>
    </w:p>
    <w:p w:rsidR="00B84C94" w:rsidRPr="00DB0AC3" w:rsidRDefault="00B84C94" w:rsidP="00B84C94">
      <w:pPr>
        <w:pStyle w:val="afb"/>
        <w:tabs>
          <w:tab w:val="left" w:pos="567"/>
          <w:tab w:val="left" w:pos="851"/>
        </w:tabs>
        <w:jc w:val="both"/>
        <w:rPr>
          <w:rFonts w:ascii="Arial" w:eastAsia="Times New Roman" w:hAnsi="Arial" w:cs="Arial"/>
          <w:color w:val="000000"/>
        </w:rPr>
      </w:pPr>
      <w:r w:rsidRPr="00DB0AC3">
        <w:rPr>
          <w:rFonts w:ascii="Arial" w:eastAsia="Times New Roman" w:hAnsi="Arial" w:cs="Arial"/>
          <w:color w:val="000000"/>
        </w:rPr>
        <w:t xml:space="preserve">На 31 декабря 2014 года произошло значительное увеличение резерва на обесценение по кредитам, что имеет следующее объяснение. </w:t>
      </w:r>
      <w:r w:rsidR="008C4320" w:rsidRPr="00DB0AC3">
        <w:rPr>
          <w:rFonts w:ascii="Arial" w:eastAsia="Times New Roman" w:hAnsi="Arial" w:cs="Arial"/>
          <w:color w:val="000000"/>
        </w:rPr>
        <w:t>П</w:t>
      </w:r>
      <w:r w:rsidRPr="00DB0AC3">
        <w:rPr>
          <w:rFonts w:ascii="Arial" w:eastAsia="Times New Roman" w:hAnsi="Arial" w:cs="Arial"/>
          <w:color w:val="000000"/>
        </w:rPr>
        <w:t>роверка качества кредитного портфеля Банка проводилась в декабре 2014 г. – феврале 2015 г.</w:t>
      </w:r>
      <w:r w:rsidR="00126C3B">
        <w:rPr>
          <w:rFonts w:ascii="Arial" w:eastAsia="Times New Roman" w:hAnsi="Arial" w:cs="Arial"/>
          <w:color w:val="000000"/>
        </w:rPr>
        <w:t xml:space="preserve"> Банком России и АСВ</w:t>
      </w:r>
      <w:r w:rsidRPr="00DB0AC3">
        <w:rPr>
          <w:rFonts w:ascii="Arial" w:eastAsia="Times New Roman" w:hAnsi="Arial" w:cs="Arial"/>
          <w:color w:val="000000"/>
        </w:rPr>
        <w:t xml:space="preserve">, а после </w:t>
      </w:r>
      <w:r w:rsidR="00126C3B">
        <w:rPr>
          <w:rFonts w:ascii="Arial" w:eastAsia="Times New Roman" w:hAnsi="Arial" w:cs="Arial"/>
          <w:color w:val="000000"/>
        </w:rPr>
        <w:t xml:space="preserve">принятия </w:t>
      </w:r>
      <w:r w:rsidRPr="00DB0AC3">
        <w:rPr>
          <w:rFonts w:ascii="Arial" w:eastAsia="Times New Roman" w:hAnsi="Arial" w:cs="Arial"/>
          <w:color w:val="000000"/>
        </w:rPr>
        <w:t xml:space="preserve">решения о финансовом оздоровлении Банка и выборе </w:t>
      </w:r>
      <w:r w:rsidR="008C4320" w:rsidRPr="00DB0AC3">
        <w:rPr>
          <w:rFonts w:ascii="Arial" w:eastAsia="Times New Roman" w:hAnsi="Arial" w:cs="Arial"/>
          <w:color w:val="000000"/>
        </w:rPr>
        <w:t>банка</w:t>
      </w:r>
      <w:r w:rsidRPr="00DB0AC3">
        <w:rPr>
          <w:rFonts w:ascii="Arial" w:eastAsia="Times New Roman" w:hAnsi="Arial" w:cs="Arial"/>
          <w:color w:val="000000"/>
        </w:rPr>
        <w:t>-инвестора в июне 2015 года</w:t>
      </w:r>
      <w:r w:rsidR="007A7C18">
        <w:rPr>
          <w:rFonts w:ascii="Arial" w:eastAsia="Times New Roman" w:hAnsi="Arial" w:cs="Arial"/>
          <w:color w:val="000000"/>
        </w:rPr>
        <w:t xml:space="preserve"> </w:t>
      </w:r>
      <w:r w:rsidR="00126C3B">
        <w:rPr>
          <w:rFonts w:ascii="Arial" w:eastAsia="Times New Roman" w:hAnsi="Arial" w:cs="Arial"/>
          <w:color w:val="000000"/>
        </w:rPr>
        <w:t>-</w:t>
      </w:r>
      <w:r w:rsidR="007A7C18">
        <w:rPr>
          <w:rFonts w:ascii="Arial" w:eastAsia="Times New Roman" w:hAnsi="Arial" w:cs="Arial"/>
          <w:color w:val="000000"/>
        </w:rPr>
        <w:t xml:space="preserve"> </w:t>
      </w:r>
      <w:r w:rsidR="00126C3B">
        <w:rPr>
          <w:rFonts w:ascii="Arial" w:eastAsia="Times New Roman" w:hAnsi="Arial" w:cs="Arial"/>
          <w:color w:val="000000"/>
        </w:rPr>
        <w:t>также самим Банком при участии Банка МФК</w:t>
      </w:r>
      <w:r w:rsidRPr="00DB0AC3">
        <w:rPr>
          <w:rFonts w:ascii="Arial" w:eastAsia="Times New Roman" w:hAnsi="Arial" w:cs="Arial"/>
          <w:color w:val="000000"/>
        </w:rPr>
        <w:t xml:space="preserve">. Данная оценка базировалась на анализе всей доступной информации о бизнесе заемщиков. В результате было выявлено, что существенная часть ссуд в кредитном портфеле  являлась перераспределением фактически дефолтных ссуд заемщиков на другие компании, или искусственно занижалась оценка риска по фактически дефолтным ссудам (многочисленные пролонгации сроков возврата кредита и процентов  без учета их в оценке рисков или проч.). Реальная деятельность компаниями не велась, или были выявлены иные обстоятельства, позволяющие сделать выводы о том, что задолженность по кредитам не будет погашена. </w:t>
      </w:r>
    </w:p>
    <w:p w:rsidR="00B84C94" w:rsidRPr="00DB0AC3" w:rsidRDefault="00B84C94" w:rsidP="00B84C94">
      <w:pPr>
        <w:pStyle w:val="afb"/>
        <w:tabs>
          <w:tab w:val="left" w:pos="567"/>
          <w:tab w:val="left" w:pos="851"/>
        </w:tabs>
        <w:jc w:val="both"/>
        <w:rPr>
          <w:rFonts w:ascii="Arial" w:eastAsia="Times New Roman" w:hAnsi="Arial" w:cs="Arial"/>
          <w:color w:val="000000"/>
        </w:rPr>
      </w:pPr>
      <w:r w:rsidRPr="00DB0AC3">
        <w:rPr>
          <w:rFonts w:ascii="Arial" w:eastAsia="Times New Roman" w:hAnsi="Arial" w:cs="Arial"/>
          <w:color w:val="000000"/>
        </w:rPr>
        <w:t>В декабре 2014 г. – феврале 2015 г. Банком России</w:t>
      </w:r>
      <w:r w:rsidR="00126C3B">
        <w:rPr>
          <w:rFonts w:ascii="Arial" w:eastAsia="Times New Roman" w:hAnsi="Arial" w:cs="Arial"/>
          <w:color w:val="000000"/>
        </w:rPr>
        <w:t xml:space="preserve"> и АСВ</w:t>
      </w:r>
      <w:r w:rsidRPr="00DB0AC3">
        <w:rPr>
          <w:rFonts w:ascii="Arial" w:eastAsia="Times New Roman" w:hAnsi="Arial" w:cs="Arial"/>
          <w:color w:val="000000"/>
        </w:rPr>
        <w:t xml:space="preserve"> проводилась выборочная проверка качества кредитного портфеля Банка для принятия решения по вопросу об отзыве банковской лицензии или оздоровлении Банка. Уровень потерь при выборочной проверке был определен </w:t>
      </w:r>
      <w:r w:rsidR="00126C3B">
        <w:rPr>
          <w:rFonts w:ascii="Arial" w:eastAsia="Times New Roman" w:hAnsi="Arial" w:cs="Arial"/>
          <w:color w:val="000000"/>
        </w:rPr>
        <w:t>Банком России и</w:t>
      </w:r>
      <w:r w:rsidRPr="00DB0AC3">
        <w:rPr>
          <w:rFonts w:ascii="Arial" w:eastAsia="Times New Roman" w:hAnsi="Arial" w:cs="Arial"/>
          <w:color w:val="000000"/>
        </w:rPr>
        <w:t>АСВ в размере 28 млрд. руб. Оценка в отчетности величины потерь в кредитном портфеле на начало года в размере 34 млрд. руб. (не выборочным, а сплошным порядком) сопоставима с оценками</w:t>
      </w:r>
      <w:r w:rsidR="00126C3B">
        <w:rPr>
          <w:rFonts w:ascii="Arial" w:eastAsia="Times New Roman" w:hAnsi="Arial" w:cs="Arial"/>
          <w:color w:val="000000"/>
        </w:rPr>
        <w:t xml:space="preserve"> Банка России и </w:t>
      </w:r>
      <w:r w:rsidRPr="00DB0AC3">
        <w:rPr>
          <w:rFonts w:ascii="Arial" w:eastAsia="Times New Roman" w:hAnsi="Arial" w:cs="Arial"/>
          <w:color w:val="000000"/>
        </w:rPr>
        <w:t xml:space="preserve"> АСВ. </w:t>
      </w:r>
      <w:r w:rsidR="00126C3B">
        <w:rPr>
          <w:rFonts w:ascii="Arial" w:eastAsia="Times New Roman" w:hAnsi="Arial" w:cs="Arial"/>
          <w:color w:val="000000"/>
        </w:rPr>
        <w:t>Адекватность</w:t>
      </w:r>
      <w:r w:rsidRPr="00DB0AC3">
        <w:rPr>
          <w:rFonts w:ascii="Arial" w:eastAsia="Times New Roman" w:hAnsi="Arial" w:cs="Arial"/>
          <w:color w:val="000000"/>
        </w:rPr>
        <w:t xml:space="preserve"> данных оценок также подтверждается длящимися дефолтами по ссудам на момент составления отчетности и началом многочисленных процессов  о банкротстве по заемщикам в проблемной части кредитного портфеля.</w:t>
      </w:r>
    </w:p>
    <w:p w:rsidR="00B84C94" w:rsidRPr="00DB0AC3" w:rsidRDefault="00B84C94" w:rsidP="00B84C94">
      <w:pPr>
        <w:pStyle w:val="afb"/>
        <w:tabs>
          <w:tab w:val="left" w:pos="567"/>
          <w:tab w:val="left" w:pos="851"/>
        </w:tabs>
        <w:jc w:val="both"/>
        <w:rPr>
          <w:rFonts w:ascii="Arial" w:eastAsia="Times New Roman" w:hAnsi="Arial" w:cs="Arial"/>
          <w:color w:val="000000"/>
        </w:rPr>
      </w:pPr>
    </w:p>
    <w:p w:rsidR="008C4320" w:rsidRPr="00DB0AC3" w:rsidRDefault="008C4320" w:rsidP="00B84C94">
      <w:pPr>
        <w:pStyle w:val="afb"/>
        <w:tabs>
          <w:tab w:val="left" w:pos="567"/>
          <w:tab w:val="left" w:pos="851"/>
        </w:tabs>
        <w:jc w:val="both"/>
        <w:rPr>
          <w:rFonts w:ascii="Arial" w:eastAsia="Times New Roman" w:hAnsi="Arial" w:cs="Arial"/>
          <w:color w:val="000000"/>
        </w:rPr>
      </w:pPr>
    </w:p>
    <w:p w:rsidR="00FD65C6" w:rsidRPr="00DB0AC3" w:rsidRDefault="00FD65C6"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9E14BF" w:rsidRDefault="009E14BF" w:rsidP="00ED600A">
      <w:pPr>
        <w:pStyle w:val="210"/>
        <w:shd w:val="clear" w:color="auto" w:fill="auto"/>
        <w:spacing w:line="180" w:lineRule="exact"/>
        <w:ind w:firstLine="0"/>
        <w:rPr>
          <w:b w:val="0"/>
          <w:sz w:val="20"/>
          <w:szCs w:val="20"/>
        </w:rPr>
      </w:pPr>
    </w:p>
    <w:p w:rsidR="00ED600A" w:rsidRPr="00DB0AC3" w:rsidRDefault="00ED600A" w:rsidP="00ED600A">
      <w:pPr>
        <w:pStyle w:val="210"/>
        <w:shd w:val="clear" w:color="auto" w:fill="auto"/>
        <w:spacing w:line="180" w:lineRule="exact"/>
        <w:ind w:firstLine="0"/>
        <w:rPr>
          <w:b w:val="0"/>
          <w:sz w:val="20"/>
          <w:szCs w:val="20"/>
        </w:rPr>
      </w:pPr>
      <w:r w:rsidRPr="00DB0AC3">
        <w:rPr>
          <w:b w:val="0"/>
          <w:sz w:val="20"/>
          <w:szCs w:val="20"/>
        </w:rPr>
        <w:t xml:space="preserve">Ниже представлена структура кредитного портфеля </w:t>
      </w:r>
      <w:r w:rsidR="00126C3B">
        <w:rPr>
          <w:b w:val="0"/>
          <w:sz w:val="20"/>
          <w:szCs w:val="20"/>
        </w:rPr>
        <w:t>Б</w:t>
      </w:r>
      <w:r w:rsidRPr="00DB0AC3">
        <w:rPr>
          <w:b w:val="0"/>
          <w:sz w:val="20"/>
          <w:szCs w:val="20"/>
        </w:rPr>
        <w:t>анка по отраслям экономики:</w:t>
      </w:r>
    </w:p>
    <w:p w:rsidR="00ED600A" w:rsidRPr="00DB0AC3" w:rsidRDefault="00ED600A" w:rsidP="00ED600A">
      <w:pPr>
        <w:pStyle w:val="210"/>
        <w:shd w:val="clear" w:color="auto" w:fill="auto"/>
        <w:spacing w:line="180" w:lineRule="exact"/>
        <w:ind w:firstLine="0"/>
        <w:rPr>
          <w:b w:val="0"/>
          <w:sz w:val="20"/>
          <w:szCs w:val="20"/>
        </w:rPr>
      </w:pPr>
    </w:p>
    <w:tbl>
      <w:tblPr>
        <w:tblStyle w:val="af7"/>
        <w:tblW w:w="8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1985"/>
        <w:gridCol w:w="850"/>
        <w:gridCol w:w="1843"/>
        <w:gridCol w:w="792"/>
      </w:tblGrid>
      <w:tr w:rsidR="00FD65C6" w:rsidRPr="00DB0AC3" w:rsidTr="00FD65C6">
        <w:trPr>
          <w:trHeight w:val="99"/>
        </w:trPr>
        <w:tc>
          <w:tcPr>
            <w:tcW w:w="3510" w:type="dxa"/>
            <w:vMerge w:val="restart"/>
            <w:noWrap/>
            <w:hideMark/>
          </w:tcPr>
          <w:p w:rsidR="00FD65C6" w:rsidRPr="00DB0AC3" w:rsidRDefault="00FD65C6" w:rsidP="00ED600A">
            <w:pPr>
              <w:rPr>
                <w:rFonts w:cs="Arial"/>
                <w:color w:val="000000"/>
                <w:sz w:val="20"/>
                <w:lang w:val="ru-RU"/>
              </w:rPr>
            </w:pPr>
          </w:p>
        </w:tc>
        <w:tc>
          <w:tcPr>
            <w:tcW w:w="2835" w:type="dxa"/>
            <w:gridSpan w:val="2"/>
            <w:noWrap/>
            <w:hideMark/>
          </w:tcPr>
          <w:p w:rsidR="00B454C2" w:rsidRPr="00DB0AC3" w:rsidRDefault="00D137C9">
            <w:pPr>
              <w:jc w:val="center"/>
              <w:rPr>
                <w:rFonts w:cs="Arial"/>
                <w:b/>
                <w:color w:val="000000"/>
                <w:sz w:val="20"/>
                <w:lang w:val="ru-RU"/>
              </w:rPr>
            </w:pPr>
            <w:r w:rsidRPr="00DB0AC3">
              <w:rPr>
                <w:rFonts w:cs="Arial"/>
                <w:b/>
                <w:color w:val="000000"/>
                <w:sz w:val="20"/>
                <w:lang w:val="ru-RU"/>
              </w:rPr>
              <w:t>31 декабря 2014</w:t>
            </w:r>
          </w:p>
        </w:tc>
        <w:tc>
          <w:tcPr>
            <w:tcW w:w="2635" w:type="dxa"/>
            <w:gridSpan w:val="2"/>
            <w:noWrap/>
            <w:hideMark/>
          </w:tcPr>
          <w:p w:rsidR="00B454C2" w:rsidRPr="00DB0AC3" w:rsidRDefault="00D137C9">
            <w:pPr>
              <w:jc w:val="center"/>
              <w:rPr>
                <w:rFonts w:eastAsia="Times New Roman" w:cs="Arial"/>
                <w:color w:val="000000"/>
                <w:sz w:val="20"/>
                <w:lang w:val="ru-RU"/>
              </w:rPr>
            </w:pPr>
            <w:r w:rsidRPr="00DB0AC3">
              <w:rPr>
                <w:rFonts w:cs="Arial"/>
                <w:b/>
                <w:color w:val="000000"/>
                <w:sz w:val="20"/>
                <w:lang w:val="ru-RU"/>
              </w:rPr>
              <w:t>31 декабря 2013</w:t>
            </w:r>
          </w:p>
        </w:tc>
      </w:tr>
      <w:tr w:rsidR="00ED600A" w:rsidRPr="00DB0AC3" w:rsidTr="00FD65C6">
        <w:trPr>
          <w:trHeight w:val="188"/>
        </w:trPr>
        <w:tc>
          <w:tcPr>
            <w:tcW w:w="3510" w:type="dxa"/>
            <w:vMerge/>
            <w:noWrap/>
          </w:tcPr>
          <w:p w:rsidR="00ED600A" w:rsidRPr="00DB0AC3" w:rsidRDefault="00ED600A" w:rsidP="00ED600A">
            <w:pPr>
              <w:rPr>
                <w:rFonts w:cs="Arial"/>
                <w:color w:val="000000"/>
                <w:sz w:val="20"/>
                <w:lang w:val="ru-RU"/>
              </w:rPr>
            </w:pPr>
          </w:p>
        </w:tc>
        <w:tc>
          <w:tcPr>
            <w:tcW w:w="1985" w:type="dxa"/>
            <w:noWrap/>
          </w:tcPr>
          <w:p w:rsidR="00ED600A" w:rsidRPr="00DB0AC3" w:rsidRDefault="00ED600A" w:rsidP="00ED600A">
            <w:pPr>
              <w:jc w:val="right"/>
              <w:rPr>
                <w:rFonts w:cs="Arial"/>
                <w:color w:val="000000"/>
                <w:sz w:val="20"/>
                <w:lang w:val="ru-RU"/>
              </w:rPr>
            </w:pPr>
          </w:p>
        </w:tc>
        <w:tc>
          <w:tcPr>
            <w:tcW w:w="850" w:type="dxa"/>
            <w:noWrap/>
          </w:tcPr>
          <w:p w:rsidR="00ED600A" w:rsidRPr="00DB0AC3" w:rsidRDefault="00ED600A" w:rsidP="00ED600A">
            <w:pPr>
              <w:rPr>
                <w:rFonts w:cs="Arial"/>
                <w:color w:val="000000"/>
                <w:sz w:val="20"/>
                <w:lang w:val="ru-RU"/>
              </w:rPr>
            </w:pPr>
          </w:p>
        </w:tc>
        <w:tc>
          <w:tcPr>
            <w:tcW w:w="1843" w:type="dxa"/>
            <w:noWrap/>
          </w:tcPr>
          <w:p w:rsidR="00ED600A" w:rsidRPr="00DB0AC3" w:rsidRDefault="00ED600A" w:rsidP="00ED600A">
            <w:pPr>
              <w:jc w:val="right"/>
              <w:rPr>
                <w:rFonts w:cs="Arial"/>
                <w:color w:val="000000"/>
                <w:sz w:val="20"/>
                <w:lang w:val="ru-RU"/>
              </w:rPr>
            </w:pPr>
          </w:p>
        </w:tc>
        <w:tc>
          <w:tcPr>
            <w:tcW w:w="792" w:type="dxa"/>
            <w:noWrap/>
          </w:tcPr>
          <w:p w:rsidR="00ED600A" w:rsidRPr="00DB0AC3" w:rsidRDefault="00ED600A" w:rsidP="00ED600A">
            <w:pPr>
              <w:rPr>
                <w:rFonts w:cs="Arial"/>
                <w:color w:val="000000"/>
                <w:sz w:val="20"/>
                <w:lang w:val="ru-RU"/>
              </w:rPr>
            </w:pPr>
          </w:p>
        </w:tc>
      </w:tr>
      <w:tr w:rsidR="00ED600A" w:rsidRPr="00DB0AC3" w:rsidTr="00FD65C6">
        <w:trPr>
          <w:trHeight w:val="300"/>
        </w:trPr>
        <w:tc>
          <w:tcPr>
            <w:tcW w:w="3510" w:type="dxa"/>
            <w:noWrap/>
            <w:hideMark/>
          </w:tcPr>
          <w:p w:rsidR="00ED600A" w:rsidRPr="00DB0AC3" w:rsidRDefault="00ED600A" w:rsidP="00ED600A">
            <w:pPr>
              <w:rPr>
                <w:rFonts w:cs="Arial"/>
                <w:color w:val="000000"/>
                <w:sz w:val="20"/>
                <w:lang w:val="ru-RU"/>
              </w:rPr>
            </w:pPr>
          </w:p>
        </w:tc>
        <w:tc>
          <w:tcPr>
            <w:tcW w:w="1985" w:type="dxa"/>
            <w:noWrap/>
            <w:hideMark/>
          </w:tcPr>
          <w:p w:rsidR="00B454C2" w:rsidRPr="00DB0AC3" w:rsidRDefault="00D137C9">
            <w:pPr>
              <w:jc w:val="right"/>
              <w:rPr>
                <w:rFonts w:cs="Arial"/>
                <w:b/>
                <w:color w:val="000000"/>
                <w:sz w:val="20"/>
                <w:lang w:val="ru-RU"/>
              </w:rPr>
            </w:pPr>
            <w:r w:rsidRPr="00DB0AC3">
              <w:rPr>
                <w:rFonts w:cs="Arial"/>
                <w:b/>
                <w:color w:val="000000"/>
                <w:sz w:val="20"/>
                <w:lang w:val="ru-RU"/>
              </w:rPr>
              <w:t>Сумма</w:t>
            </w:r>
          </w:p>
        </w:tc>
        <w:tc>
          <w:tcPr>
            <w:tcW w:w="850" w:type="dxa"/>
            <w:noWrap/>
            <w:hideMark/>
          </w:tcPr>
          <w:p w:rsidR="00B454C2" w:rsidRPr="00DB0AC3" w:rsidRDefault="00D137C9">
            <w:pPr>
              <w:jc w:val="right"/>
              <w:rPr>
                <w:rFonts w:cs="Arial"/>
                <w:b/>
                <w:color w:val="000000"/>
                <w:sz w:val="20"/>
                <w:lang w:val="ru-RU"/>
              </w:rPr>
            </w:pPr>
            <w:r w:rsidRPr="00DB0AC3">
              <w:rPr>
                <w:rFonts w:cs="Arial"/>
                <w:b/>
                <w:color w:val="000000"/>
                <w:sz w:val="20"/>
                <w:lang w:val="ru-RU"/>
              </w:rPr>
              <w:t>%</w:t>
            </w:r>
          </w:p>
        </w:tc>
        <w:tc>
          <w:tcPr>
            <w:tcW w:w="1843" w:type="dxa"/>
            <w:noWrap/>
            <w:hideMark/>
          </w:tcPr>
          <w:p w:rsidR="00B454C2" w:rsidRPr="00DB0AC3" w:rsidRDefault="00D137C9">
            <w:pPr>
              <w:jc w:val="right"/>
              <w:rPr>
                <w:rFonts w:cs="Arial"/>
                <w:b/>
                <w:color w:val="000000"/>
                <w:sz w:val="20"/>
                <w:lang w:val="ru-RU"/>
              </w:rPr>
            </w:pPr>
            <w:r w:rsidRPr="00DB0AC3">
              <w:rPr>
                <w:rFonts w:cs="Arial"/>
                <w:b/>
                <w:color w:val="000000"/>
                <w:sz w:val="20"/>
                <w:lang w:val="ru-RU"/>
              </w:rPr>
              <w:t>Сумма</w:t>
            </w:r>
          </w:p>
        </w:tc>
        <w:tc>
          <w:tcPr>
            <w:tcW w:w="792" w:type="dxa"/>
            <w:noWrap/>
            <w:hideMark/>
          </w:tcPr>
          <w:p w:rsidR="00B454C2" w:rsidRPr="00DB0AC3" w:rsidRDefault="00D137C9">
            <w:pPr>
              <w:jc w:val="right"/>
              <w:rPr>
                <w:rFonts w:cs="Arial"/>
                <w:b/>
                <w:color w:val="000000"/>
                <w:sz w:val="20"/>
                <w:lang w:val="ru-RU"/>
              </w:rPr>
            </w:pPr>
            <w:r w:rsidRPr="00DB0AC3">
              <w:rPr>
                <w:rFonts w:cs="Arial"/>
                <w:b/>
                <w:color w:val="000000"/>
                <w:sz w:val="20"/>
                <w:lang w:val="ru-RU"/>
              </w:rPr>
              <w:t>%</w:t>
            </w:r>
          </w:p>
        </w:tc>
      </w:tr>
      <w:tr w:rsidR="00ED600A" w:rsidRPr="00DB0AC3" w:rsidTr="00FD65C6">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Оптовая и розничная торговля</w:t>
            </w:r>
          </w:p>
        </w:tc>
        <w:tc>
          <w:tcPr>
            <w:tcW w:w="1985" w:type="dxa"/>
            <w:noWrap/>
            <w:hideMark/>
          </w:tcPr>
          <w:p w:rsidR="00ED600A" w:rsidRPr="00DB0AC3" w:rsidRDefault="00ED600A" w:rsidP="0041262A">
            <w:pPr>
              <w:jc w:val="right"/>
              <w:rPr>
                <w:rFonts w:cs="Arial"/>
                <w:color w:val="000000"/>
                <w:sz w:val="20"/>
                <w:lang w:val="ru-RU"/>
              </w:rPr>
            </w:pPr>
            <w:r w:rsidRPr="00DB0AC3">
              <w:rPr>
                <w:rFonts w:cs="Arial"/>
                <w:color w:val="000000"/>
                <w:sz w:val="20"/>
                <w:lang w:val="ru-RU"/>
              </w:rPr>
              <w:t>15 778 97</w:t>
            </w:r>
            <w:r w:rsidR="0041262A" w:rsidRPr="00DB0AC3">
              <w:rPr>
                <w:rFonts w:cs="Arial"/>
                <w:color w:val="000000"/>
                <w:sz w:val="20"/>
                <w:lang w:val="ru-RU"/>
              </w:rPr>
              <w:t>3</w:t>
            </w:r>
          </w:p>
        </w:tc>
        <w:tc>
          <w:tcPr>
            <w:tcW w:w="850" w:type="dxa"/>
            <w:noWrap/>
            <w:hideMark/>
          </w:tcPr>
          <w:p w:rsidR="00ED600A" w:rsidRPr="00DB0AC3" w:rsidRDefault="00ED600A" w:rsidP="00827731">
            <w:pPr>
              <w:jc w:val="right"/>
              <w:rPr>
                <w:rFonts w:cs="Arial"/>
                <w:color w:val="000000"/>
                <w:sz w:val="20"/>
                <w:lang w:val="ru-RU"/>
              </w:rPr>
            </w:pPr>
            <w:r w:rsidRPr="00DB0AC3">
              <w:rPr>
                <w:rFonts w:cs="Arial"/>
                <w:color w:val="000000"/>
                <w:sz w:val="20"/>
                <w:lang w:val="ru-RU"/>
              </w:rPr>
              <w:t>3</w:t>
            </w:r>
            <w:r w:rsidR="00827731">
              <w:rPr>
                <w:rFonts w:cs="Arial"/>
                <w:color w:val="000000"/>
                <w:sz w:val="20"/>
                <w:lang w:val="ru-RU"/>
              </w:rPr>
              <w:t>4</w:t>
            </w:r>
            <w:r w:rsidRPr="00DB0AC3">
              <w:rPr>
                <w:rFonts w:cs="Arial"/>
                <w:color w:val="000000"/>
                <w:sz w:val="20"/>
                <w:lang w:val="ru-RU"/>
              </w:rPr>
              <w:t>.</w:t>
            </w:r>
            <w:r w:rsidR="00827731">
              <w:rPr>
                <w:rFonts w:cs="Arial"/>
                <w:color w:val="000000"/>
                <w:sz w:val="20"/>
                <w:lang w:val="ru-RU"/>
              </w:rPr>
              <w:t>9</w:t>
            </w:r>
          </w:p>
        </w:tc>
        <w:tc>
          <w:tcPr>
            <w:tcW w:w="1843" w:type="dxa"/>
            <w:noWrap/>
            <w:hideMark/>
          </w:tcPr>
          <w:p w:rsidR="00ED600A" w:rsidRPr="00DB0AC3" w:rsidRDefault="00320465" w:rsidP="00320465">
            <w:pPr>
              <w:jc w:val="right"/>
              <w:rPr>
                <w:rFonts w:cs="Arial"/>
                <w:color w:val="000000"/>
                <w:sz w:val="20"/>
                <w:lang w:val="en-US"/>
              </w:rPr>
            </w:pPr>
            <w:r w:rsidRPr="00DB0AC3">
              <w:rPr>
                <w:rFonts w:cs="Arial"/>
                <w:color w:val="000000"/>
                <w:sz w:val="20"/>
                <w:lang w:val="en-US"/>
              </w:rPr>
              <w:t>13 743 938</w:t>
            </w:r>
          </w:p>
        </w:tc>
        <w:tc>
          <w:tcPr>
            <w:tcW w:w="792" w:type="dxa"/>
            <w:noWrap/>
          </w:tcPr>
          <w:p w:rsidR="00ED600A" w:rsidRPr="00DB0AC3" w:rsidRDefault="00320465" w:rsidP="00ED600A">
            <w:pPr>
              <w:jc w:val="right"/>
              <w:rPr>
                <w:rFonts w:cs="Arial"/>
                <w:color w:val="000000"/>
                <w:sz w:val="20"/>
                <w:lang w:val="ru-RU"/>
              </w:rPr>
            </w:pPr>
            <w:r w:rsidRPr="00DB0AC3">
              <w:rPr>
                <w:rFonts w:cs="Arial"/>
                <w:color w:val="000000"/>
                <w:sz w:val="20"/>
                <w:lang w:val="en-US"/>
              </w:rPr>
              <w:t>35.3</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Строительство</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7 937 739</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17.6</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7 177 117</w:t>
            </w:r>
          </w:p>
        </w:tc>
        <w:tc>
          <w:tcPr>
            <w:tcW w:w="792"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18.4</w:t>
            </w:r>
          </w:p>
        </w:tc>
      </w:tr>
      <w:tr w:rsidR="00ED600A" w:rsidRPr="00DB0AC3" w:rsidTr="00320465">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Услуги</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7 164 155</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15.9</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5 878 919</w:t>
            </w:r>
          </w:p>
        </w:tc>
        <w:tc>
          <w:tcPr>
            <w:tcW w:w="792" w:type="dxa"/>
            <w:noWrap/>
          </w:tcPr>
          <w:p w:rsidR="00ED600A" w:rsidRPr="00DB0AC3" w:rsidRDefault="00320465" w:rsidP="00ED600A">
            <w:pPr>
              <w:jc w:val="right"/>
              <w:rPr>
                <w:rFonts w:cs="Arial"/>
                <w:color w:val="000000"/>
                <w:sz w:val="20"/>
                <w:lang w:val="ru-RU"/>
              </w:rPr>
            </w:pPr>
            <w:r w:rsidRPr="00DB0AC3">
              <w:rPr>
                <w:rFonts w:cs="Arial"/>
                <w:color w:val="000000"/>
                <w:sz w:val="20"/>
                <w:lang w:val="en-US"/>
              </w:rPr>
              <w:t>15.1</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Финансовый лизинг</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0</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0.0</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2 958 100</w:t>
            </w:r>
          </w:p>
        </w:tc>
        <w:tc>
          <w:tcPr>
            <w:tcW w:w="792"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7.6</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Промышленность</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8 304 063</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18.4</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2 075 762</w:t>
            </w:r>
          </w:p>
        </w:tc>
        <w:tc>
          <w:tcPr>
            <w:tcW w:w="792" w:type="dxa"/>
            <w:noWrap/>
            <w:hideMark/>
          </w:tcPr>
          <w:p w:rsidR="00ED600A" w:rsidRPr="00DB0AC3" w:rsidRDefault="00ED600A" w:rsidP="00ED600A">
            <w:pPr>
              <w:jc w:val="right"/>
              <w:rPr>
                <w:rFonts w:cs="Arial"/>
                <w:color w:val="000000"/>
                <w:sz w:val="20"/>
                <w:lang w:val="en-US"/>
              </w:rPr>
            </w:pPr>
            <w:r w:rsidRPr="00DB0AC3">
              <w:rPr>
                <w:rFonts w:cs="Arial"/>
                <w:color w:val="000000"/>
                <w:sz w:val="20"/>
                <w:lang w:val="ru-RU"/>
              </w:rPr>
              <w:t>5.3</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Сельское хозяйство</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752 543</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1.7</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1 233 177</w:t>
            </w:r>
          </w:p>
        </w:tc>
        <w:tc>
          <w:tcPr>
            <w:tcW w:w="792"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3.2</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Физические лица</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1 153 558</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2.6</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1 339 746</w:t>
            </w:r>
          </w:p>
        </w:tc>
        <w:tc>
          <w:tcPr>
            <w:tcW w:w="792"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3.4</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Транспорт</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155 755</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0.3</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995 510</w:t>
            </w:r>
          </w:p>
        </w:tc>
        <w:tc>
          <w:tcPr>
            <w:tcW w:w="792"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2.6</w:t>
            </w: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r w:rsidRPr="00DB0AC3">
              <w:rPr>
                <w:rFonts w:cs="Arial"/>
                <w:color w:val="000000"/>
                <w:sz w:val="20"/>
                <w:lang w:val="ru-RU"/>
              </w:rPr>
              <w:t>Лесное хозяйство</w:t>
            </w:r>
          </w:p>
        </w:tc>
        <w:tc>
          <w:tcPr>
            <w:tcW w:w="1985"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1 457 743</w:t>
            </w:r>
          </w:p>
        </w:tc>
        <w:tc>
          <w:tcPr>
            <w:tcW w:w="850"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3.2</w:t>
            </w:r>
          </w:p>
        </w:tc>
        <w:tc>
          <w:tcPr>
            <w:tcW w:w="1843" w:type="dxa"/>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27 496</w:t>
            </w:r>
          </w:p>
        </w:tc>
        <w:tc>
          <w:tcPr>
            <w:tcW w:w="792" w:type="dxa"/>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0.1</w:t>
            </w:r>
          </w:p>
        </w:tc>
      </w:tr>
      <w:tr w:rsidR="00ED600A" w:rsidRPr="00DB0AC3" w:rsidTr="00ED600A">
        <w:trPr>
          <w:trHeight w:val="202"/>
        </w:trPr>
        <w:tc>
          <w:tcPr>
            <w:tcW w:w="3510" w:type="dxa"/>
            <w:vMerge w:val="restart"/>
            <w:noWrap/>
            <w:hideMark/>
          </w:tcPr>
          <w:p w:rsidR="00ED600A" w:rsidRPr="00DB0AC3" w:rsidRDefault="00ED600A" w:rsidP="00ED600A">
            <w:pPr>
              <w:rPr>
                <w:rFonts w:cs="Arial"/>
                <w:color w:val="000000"/>
                <w:sz w:val="20"/>
                <w:lang w:val="ru-RU"/>
              </w:rPr>
            </w:pPr>
            <w:r w:rsidRPr="00DB0AC3">
              <w:rPr>
                <w:rFonts w:cs="Arial"/>
                <w:color w:val="000000"/>
                <w:sz w:val="20"/>
                <w:lang w:val="ru-RU"/>
              </w:rPr>
              <w:t>Прочие</w:t>
            </w:r>
          </w:p>
        </w:tc>
        <w:tc>
          <w:tcPr>
            <w:tcW w:w="1985" w:type="dxa"/>
            <w:tcBorders>
              <w:bottom w:val="single" w:sz="4" w:space="0" w:color="auto"/>
            </w:tcBorders>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2 434 496</w:t>
            </w:r>
          </w:p>
        </w:tc>
        <w:tc>
          <w:tcPr>
            <w:tcW w:w="850" w:type="dxa"/>
            <w:tcBorders>
              <w:bottom w:val="single" w:sz="4" w:space="0" w:color="auto"/>
            </w:tcBorders>
            <w:noWrap/>
            <w:hideMark/>
          </w:tcPr>
          <w:p w:rsidR="00ED600A" w:rsidRPr="00DB0AC3" w:rsidRDefault="00595C5F" w:rsidP="00827731">
            <w:pPr>
              <w:jc w:val="right"/>
              <w:rPr>
                <w:rFonts w:cs="Arial"/>
                <w:color w:val="000000"/>
                <w:sz w:val="20"/>
                <w:lang w:val="ru-RU"/>
              </w:rPr>
            </w:pPr>
            <w:r w:rsidRPr="00DB0AC3">
              <w:rPr>
                <w:rFonts w:cs="Arial"/>
                <w:color w:val="000000"/>
                <w:sz w:val="20"/>
                <w:lang w:val="ru-RU"/>
              </w:rPr>
              <w:t>5.</w:t>
            </w:r>
            <w:r w:rsidR="00827731">
              <w:rPr>
                <w:rFonts w:cs="Arial"/>
                <w:color w:val="000000"/>
                <w:sz w:val="20"/>
                <w:lang w:val="ru-RU"/>
              </w:rPr>
              <w:t>4</w:t>
            </w:r>
          </w:p>
        </w:tc>
        <w:tc>
          <w:tcPr>
            <w:tcW w:w="1843" w:type="dxa"/>
            <w:tcBorders>
              <w:bottom w:val="single" w:sz="4" w:space="0" w:color="auto"/>
            </w:tcBorders>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3 492 245</w:t>
            </w:r>
          </w:p>
        </w:tc>
        <w:tc>
          <w:tcPr>
            <w:tcW w:w="792" w:type="dxa"/>
            <w:tcBorders>
              <w:bottom w:val="single" w:sz="4" w:space="0" w:color="auto"/>
            </w:tcBorders>
            <w:noWrap/>
            <w:hideMark/>
          </w:tcPr>
          <w:p w:rsidR="00ED600A" w:rsidRPr="00DE469E" w:rsidRDefault="00320465" w:rsidP="00ED600A">
            <w:pPr>
              <w:jc w:val="right"/>
              <w:rPr>
                <w:rFonts w:cs="Arial"/>
                <w:color w:val="000000"/>
                <w:sz w:val="20"/>
                <w:lang w:val="ru-RU"/>
              </w:rPr>
            </w:pPr>
            <w:r w:rsidRPr="00DB0AC3">
              <w:rPr>
                <w:rFonts w:cs="Arial"/>
                <w:color w:val="000000"/>
                <w:sz w:val="20"/>
                <w:lang w:val="en-US"/>
              </w:rPr>
              <w:t>9</w:t>
            </w:r>
            <w:r w:rsidR="00DE469E">
              <w:rPr>
                <w:rFonts w:cs="Arial"/>
                <w:color w:val="000000"/>
                <w:sz w:val="20"/>
                <w:lang w:val="ru-RU"/>
              </w:rPr>
              <w:t>,0</w:t>
            </w:r>
          </w:p>
        </w:tc>
      </w:tr>
      <w:tr w:rsidR="00ED600A" w:rsidRPr="00DB0AC3" w:rsidTr="00ED600A">
        <w:trPr>
          <w:trHeight w:val="85"/>
        </w:trPr>
        <w:tc>
          <w:tcPr>
            <w:tcW w:w="3510" w:type="dxa"/>
            <w:vMerge/>
            <w:noWrap/>
          </w:tcPr>
          <w:p w:rsidR="00ED600A" w:rsidRPr="00DB0AC3" w:rsidRDefault="00ED600A" w:rsidP="00ED600A">
            <w:pPr>
              <w:rPr>
                <w:rFonts w:cs="Arial"/>
                <w:color w:val="000000"/>
                <w:sz w:val="20"/>
                <w:lang w:val="ru-RU"/>
              </w:rPr>
            </w:pPr>
          </w:p>
        </w:tc>
        <w:tc>
          <w:tcPr>
            <w:tcW w:w="1985" w:type="dxa"/>
            <w:tcBorders>
              <w:top w:val="single" w:sz="4" w:space="0" w:color="auto"/>
            </w:tcBorders>
            <w:noWrap/>
          </w:tcPr>
          <w:p w:rsidR="00ED600A" w:rsidRPr="00DB0AC3" w:rsidRDefault="00ED600A" w:rsidP="00ED600A">
            <w:pPr>
              <w:jc w:val="right"/>
              <w:rPr>
                <w:rFonts w:cs="Arial"/>
                <w:color w:val="000000"/>
                <w:sz w:val="20"/>
                <w:lang w:val="ru-RU"/>
              </w:rPr>
            </w:pPr>
          </w:p>
        </w:tc>
        <w:tc>
          <w:tcPr>
            <w:tcW w:w="850" w:type="dxa"/>
            <w:tcBorders>
              <w:top w:val="single" w:sz="4" w:space="0" w:color="auto"/>
            </w:tcBorders>
            <w:noWrap/>
          </w:tcPr>
          <w:p w:rsidR="00ED600A" w:rsidRPr="00DB0AC3" w:rsidRDefault="00ED600A" w:rsidP="00ED600A">
            <w:pPr>
              <w:jc w:val="right"/>
              <w:rPr>
                <w:rFonts w:cs="Arial"/>
                <w:color w:val="000000"/>
                <w:sz w:val="20"/>
                <w:lang w:val="ru-RU"/>
              </w:rPr>
            </w:pPr>
          </w:p>
        </w:tc>
        <w:tc>
          <w:tcPr>
            <w:tcW w:w="1843" w:type="dxa"/>
            <w:tcBorders>
              <w:top w:val="single" w:sz="4" w:space="0" w:color="auto"/>
            </w:tcBorders>
            <w:noWrap/>
          </w:tcPr>
          <w:p w:rsidR="00ED600A" w:rsidRPr="00DB0AC3" w:rsidRDefault="00ED600A" w:rsidP="00ED600A">
            <w:pPr>
              <w:jc w:val="right"/>
              <w:rPr>
                <w:rFonts w:cs="Arial"/>
                <w:color w:val="000000"/>
                <w:sz w:val="20"/>
                <w:lang w:val="ru-RU"/>
              </w:rPr>
            </w:pPr>
          </w:p>
        </w:tc>
        <w:tc>
          <w:tcPr>
            <w:tcW w:w="792" w:type="dxa"/>
            <w:tcBorders>
              <w:top w:val="single" w:sz="4" w:space="0" w:color="auto"/>
            </w:tcBorders>
            <w:noWrap/>
          </w:tcPr>
          <w:p w:rsidR="00ED600A" w:rsidRPr="00DB0AC3" w:rsidRDefault="00ED600A" w:rsidP="00ED600A">
            <w:pPr>
              <w:jc w:val="right"/>
              <w:rPr>
                <w:rFonts w:cs="Arial"/>
                <w:color w:val="000000"/>
                <w:sz w:val="20"/>
                <w:lang w:val="ru-RU"/>
              </w:rPr>
            </w:pPr>
          </w:p>
        </w:tc>
      </w:tr>
      <w:tr w:rsidR="00ED600A" w:rsidRPr="00DB0AC3" w:rsidTr="00ED600A">
        <w:trPr>
          <w:trHeight w:val="300"/>
        </w:trPr>
        <w:tc>
          <w:tcPr>
            <w:tcW w:w="3510" w:type="dxa"/>
            <w:noWrap/>
            <w:hideMark/>
          </w:tcPr>
          <w:p w:rsidR="00ED600A" w:rsidRPr="00DB0AC3" w:rsidRDefault="00ED600A" w:rsidP="00ED600A">
            <w:pPr>
              <w:rPr>
                <w:rFonts w:cs="Arial"/>
                <w:color w:val="000000"/>
                <w:sz w:val="20"/>
                <w:lang w:val="ru-RU"/>
              </w:rPr>
            </w:pPr>
          </w:p>
        </w:tc>
        <w:tc>
          <w:tcPr>
            <w:tcW w:w="1985" w:type="dxa"/>
            <w:noWrap/>
            <w:hideMark/>
          </w:tcPr>
          <w:p w:rsidR="00ED600A" w:rsidRPr="00DB0AC3" w:rsidRDefault="00ED600A" w:rsidP="00ED600A">
            <w:pPr>
              <w:rPr>
                <w:rFonts w:cs="Arial"/>
                <w:color w:val="000000"/>
                <w:sz w:val="20"/>
                <w:lang w:val="ru-RU"/>
              </w:rPr>
            </w:pPr>
          </w:p>
        </w:tc>
        <w:tc>
          <w:tcPr>
            <w:tcW w:w="850" w:type="dxa"/>
            <w:noWrap/>
            <w:hideMark/>
          </w:tcPr>
          <w:p w:rsidR="00ED600A" w:rsidRPr="00DB0AC3" w:rsidRDefault="00ED600A" w:rsidP="00ED600A">
            <w:pPr>
              <w:rPr>
                <w:rFonts w:cs="Arial"/>
                <w:color w:val="000000"/>
                <w:sz w:val="20"/>
                <w:lang w:val="ru-RU"/>
              </w:rPr>
            </w:pPr>
          </w:p>
        </w:tc>
        <w:tc>
          <w:tcPr>
            <w:tcW w:w="1843" w:type="dxa"/>
            <w:noWrap/>
            <w:hideMark/>
          </w:tcPr>
          <w:p w:rsidR="00ED600A" w:rsidRPr="00DB0AC3" w:rsidRDefault="00ED600A" w:rsidP="00ED600A">
            <w:pPr>
              <w:rPr>
                <w:rFonts w:cs="Arial"/>
                <w:color w:val="000000"/>
                <w:sz w:val="20"/>
                <w:lang w:val="ru-RU"/>
              </w:rPr>
            </w:pPr>
          </w:p>
        </w:tc>
        <w:tc>
          <w:tcPr>
            <w:tcW w:w="792" w:type="dxa"/>
            <w:noWrap/>
            <w:hideMark/>
          </w:tcPr>
          <w:p w:rsidR="00ED600A" w:rsidRPr="00DB0AC3" w:rsidRDefault="00ED600A" w:rsidP="00ED600A">
            <w:pPr>
              <w:rPr>
                <w:rFonts w:cs="Arial"/>
                <w:color w:val="000000"/>
                <w:sz w:val="20"/>
                <w:lang w:val="ru-RU"/>
              </w:rPr>
            </w:pPr>
          </w:p>
        </w:tc>
      </w:tr>
      <w:tr w:rsidR="00ED600A" w:rsidRPr="00DB0AC3" w:rsidTr="00ED600A">
        <w:trPr>
          <w:trHeight w:val="135"/>
        </w:trPr>
        <w:tc>
          <w:tcPr>
            <w:tcW w:w="3510" w:type="dxa"/>
            <w:vMerge w:val="restart"/>
            <w:noWrap/>
            <w:hideMark/>
          </w:tcPr>
          <w:p w:rsidR="00ED600A" w:rsidRPr="00DB0AC3" w:rsidRDefault="00ED600A" w:rsidP="00ED600A">
            <w:pPr>
              <w:rPr>
                <w:rFonts w:cs="Arial"/>
                <w:color w:val="000000"/>
                <w:sz w:val="20"/>
                <w:lang w:val="ru-RU"/>
              </w:rPr>
            </w:pPr>
            <w:r w:rsidRPr="00DB0AC3">
              <w:rPr>
                <w:rFonts w:cs="Arial"/>
                <w:color w:val="000000"/>
                <w:sz w:val="20"/>
                <w:lang w:val="ru-RU"/>
              </w:rPr>
              <w:t>Итого кредиты клиентам</w:t>
            </w:r>
          </w:p>
        </w:tc>
        <w:tc>
          <w:tcPr>
            <w:tcW w:w="1985" w:type="dxa"/>
            <w:tcBorders>
              <w:bottom w:val="double" w:sz="4" w:space="0" w:color="auto"/>
            </w:tcBorders>
            <w:noWrap/>
            <w:hideMark/>
          </w:tcPr>
          <w:p w:rsidR="00ED600A" w:rsidRPr="00DB0AC3" w:rsidRDefault="00ED600A" w:rsidP="0041262A">
            <w:pPr>
              <w:jc w:val="right"/>
              <w:rPr>
                <w:rFonts w:cs="Arial"/>
                <w:color w:val="000000"/>
                <w:sz w:val="20"/>
                <w:lang w:val="ru-RU"/>
              </w:rPr>
            </w:pPr>
            <w:r w:rsidRPr="00DB0AC3">
              <w:rPr>
                <w:rFonts w:cs="Arial"/>
                <w:color w:val="000000"/>
                <w:sz w:val="20"/>
                <w:lang w:val="ru-RU"/>
              </w:rPr>
              <w:t>45 139 02</w:t>
            </w:r>
            <w:r w:rsidR="0041262A" w:rsidRPr="00DB0AC3">
              <w:rPr>
                <w:rFonts w:cs="Arial"/>
                <w:color w:val="000000"/>
                <w:sz w:val="20"/>
                <w:lang w:val="ru-RU"/>
              </w:rPr>
              <w:t>5</w:t>
            </w:r>
          </w:p>
        </w:tc>
        <w:tc>
          <w:tcPr>
            <w:tcW w:w="850" w:type="dxa"/>
            <w:tcBorders>
              <w:bottom w:val="double" w:sz="4" w:space="0" w:color="auto"/>
            </w:tcBorders>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100</w:t>
            </w:r>
          </w:p>
        </w:tc>
        <w:tc>
          <w:tcPr>
            <w:tcW w:w="1843" w:type="dxa"/>
            <w:tcBorders>
              <w:bottom w:val="double" w:sz="4" w:space="0" w:color="auto"/>
            </w:tcBorders>
            <w:noWrap/>
            <w:hideMark/>
          </w:tcPr>
          <w:p w:rsidR="00ED600A" w:rsidRPr="00DB0AC3" w:rsidRDefault="00320465" w:rsidP="00ED600A">
            <w:pPr>
              <w:jc w:val="right"/>
              <w:rPr>
                <w:rFonts w:cs="Arial"/>
                <w:color w:val="000000"/>
                <w:sz w:val="20"/>
                <w:lang w:val="en-US"/>
              </w:rPr>
            </w:pPr>
            <w:r w:rsidRPr="00DB0AC3">
              <w:rPr>
                <w:rFonts w:cs="Arial"/>
                <w:color w:val="000000"/>
                <w:sz w:val="20"/>
                <w:lang w:val="en-US"/>
              </w:rPr>
              <w:t>38 922 010</w:t>
            </w:r>
          </w:p>
        </w:tc>
        <w:tc>
          <w:tcPr>
            <w:tcW w:w="792" w:type="dxa"/>
            <w:tcBorders>
              <w:bottom w:val="double" w:sz="4" w:space="0" w:color="auto"/>
            </w:tcBorders>
            <w:noWrap/>
            <w:hideMark/>
          </w:tcPr>
          <w:p w:rsidR="00ED600A" w:rsidRPr="00DB0AC3" w:rsidRDefault="00ED600A" w:rsidP="00ED600A">
            <w:pPr>
              <w:jc w:val="right"/>
              <w:rPr>
                <w:rFonts w:cs="Arial"/>
                <w:color w:val="000000"/>
                <w:sz w:val="20"/>
                <w:lang w:val="ru-RU"/>
              </w:rPr>
            </w:pPr>
            <w:r w:rsidRPr="00DB0AC3">
              <w:rPr>
                <w:rFonts w:cs="Arial"/>
                <w:color w:val="000000"/>
                <w:sz w:val="20"/>
                <w:lang w:val="ru-RU"/>
              </w:rPr>
              <w:t>100</w:t>
            </w:r>
          </w:p>
        </w:tc>
      </w:tr>
      <w:tr w:rsidR="00ED600A" w:rsidRPr="00DB0AC3" w:rsidTr="00ED600A">
        <w:trPr>
          <w:trHeight w:val="125"/>
        </w:trPr>
        <w:tc>
          <w:tcPr>
            <w:tcW w:w="3510" w:type="dxa"/>
            <w:vMerge/>
            <w:noWrap/>
          </w:tcPr>
          <w:p w:rsidR="00ED600A" w:rsidRPr="00DB0AC3" w:rsidRDefault="00ED600A" w:rsidP="00ED600A">
            <w:pPr>
              <w:rPr>
                <w:rFonts w:cs="Arial"/>
                <w:color w:val="000000"/>
                <w:sz w:val="20"/>
                <w:lang w:val="ru-RU"/>
              </w:rPr>
            </w:pPr>
          </w:p>
        </w:tc>
        <w:tc>
          <w:tcPr>
            <w:tcW w:w="1985" w:type="dxa"/>
            <w:tcBorders>
              <w:top w:val="double" w:sz="4" w:space="0" w:color="auto"/>
            </w:tcBorders>
            <w:noWrap/>
          </w:tcPr>
          <w:p w:rsidR="00ED600A" w:rsidRPr="00DB0AC3" w:rsidRDefault="00ED600A" w:rsidP="00ED600A">
            <w:pPr>
              <w:jc w:val="right"/>
              <w:rPr>
                <w:rFonts w:cs="Arial"/>
                <w:color w:val="000000"/>
                <w:sz w:val="20"/>
                <w:lang w:val="ru-RU"/>
              </w:rPr>
            </w:pPr>
          </w:p>
        </w:tc>
        <w:tc>
          <w:tcPr>
            <w:tcW w:w="850" w:type="dxa"/>
            <w:tcBorders>
              <w:top w:val="double" w:sz="4" w:space="0" w:color="auto"/>
            </w:tcBorders>
            <w:noWrap/>
          </w:tcPr>
          <w:p w:rsidR="00ED600A" w:rsidRPr="00DB0AC3" w:rsidRDefault="00ED600A" w:rsidP="00ED600A">
            <w:pPr>
              <w:jc w:val="right"/>
              <w:rPr>
                <w:rFonts w:cs="Arial"/>
                <w:color w:val="000000"/>
                <w:sz w:val="20"/>
                <w:lang w:val="ru-RU"/>
              </w:rPr>
            </w:pPr>
          </w:p>
        </w:tc>
        <w:tc>
          <w:tcPr>
            <w:tcW w:w="1843" w:type="dxa"/>
            <w:tcBorders>
              <w:top w:val="double" w:sz="4" w:space="0" w:color="auto"/>
            </w:tcBorders>
            <w:noWrap/>
          </w:tcPr>
          <w:p w:rsidR="00ED600A" w:rsidRPr="00DB0AC3" w:rsidRDefault="00ED600A" w:rsidP="00ED600A">
            <w:pPr>
              <w:jc w:val="right"/>
              <w:rPr>
                <w:rFonts w:cs="Arial"/>
                <w:color w:val="000000"/>
                <w:sz w:val="20"/>
                <w:lang w:val="ru-RU"/>
              </w:rPr>
            </w:pPr>
          </w:p>
        </w:tc>
        <w:tc>
          <w:tcPr>
            <w:tcW w:w="792" w:type="dxa"/>
            <w:tcBorders>
              <w:top w:val="double" w:sz="4" w:space="0" w:color="auto"/>
            </w:tcBorders>
            <w:noWrap/>
          </w:tcPr>
          <w:p w:rsidR="00ED600A" w:rsidRPr="00DB0AC3" w:rsidRDefault="00ED600A" w:rsidP="00ED600A">
            <w:pPr>
              <w:jc w:val="right"/>
              <w:rPr>
                <w:rFonts w:cs="Arial"/>
                <w:color w:val="000000"/>
                <w:sz w:val="20"/>
                <w:lang w:val="ru-RU"/>
              </w:rPr>
            </w:pPr>
          </w:p>
        </w:tc>
      </w:tr>
    </w:tbl>
    <w:p w:rsidR="00ED600A" w:rsidRPr="00DB0AC3" w:rsidRDefault="00ED600A" w:rsidP="00ED600A">
      <w:pPr>
        <w:pStyle w:val="210"/>
        <w:shd w:val="clear" w:color="auto" w:fill="auto"/>
        <w:spacing w:line="180" w:lineRule="exact"/>
        <w:ind w:firstLine="0"/>
        <w:rPr>
          <w:b w:val="0"/>
          <w:bCs w:val="0"/>
          <w:color w:val="000000"/>
          <w:sz w:val="20"/>
          <w:szCs w:val="20"/>
        </w:rPr>
      </w:pPr>
    </w:p>
    <w:p w:rsidR="008E3EDA" w:rsidRPr="00DB0AC3" w:rsidRDefault="00ED600A">
      <w:pPr>
        <w:pStyle w:val="210"/>
        <w:shd w:val="clear" w:color="auto" w:fill="auto"/>
        <w:spacing w:line="221" w:lineRule="exact"/>
        <w:ind w:firstLine="0"/>
        <w:jc w:val="both"/>
        <w:rPr>
          <w:sz w:val="20"/>
          <w:szCs w:val="20"/>
        </w:rPr>
      </w:pPr>
      <w:r w:rsidRPr="00DB0AC3">
        <w:rPr>
          <w:rFonts w:eastAsia="SimSun"/>
          <w:b w:val="0"/>
          <w:sz w:val="20"/>
          <w:szCs w:val="20"/>
        </w:rPr>
        <w:t xml:space="preserve">Страновой, валютный и процентный анализ, а также анализ по срокам погашения кредитов клиентам приводится в Примечании 33. Соответствующая информация о сделках со связанными сторонами раскрыта в Примечании </w:t>
      </w:r>
      <w:r w:rsidR="00126C3B">
        <w:rPr>
          <w:rFonts w:eastAsia="SimSun"/>
          <w:b w:val="0"/>
          <w:sz w:val="20"/>
          <w:szCs w:val="20"/>
        </w:rPr>
        <w:t>34</w:t>
      </w:r>
      <w:r w:rsidRPr="00DB0AC3">
        <w:rPr>
          <w:rFonts w:eastAsia="SimSun"/>
          <w:b w:val="0"/>
          <w:sz w:val="20"/>
          <w:szCs w:val="20"/>
        </w:rPr>
        <w:t>.</w:t>
      </w:r>
    </w:p>
    <w:p w:rsidR="006572FF" w:rsidRPr="00DB0AC3" w:rsidRDefault="00ED600A">
      <w:pPr>
        <w:pStyle w:val="1"/>
        <w:keepNext w:val="0"/>
        <w:widowControl w:val="0"/>
        <w:spacing w:before="480"/>
        <w:rPr>
          <w:rFonts w:cs="Arial"/>
          <w:lang w:val="ru-RU"/>
        </w:rPr>
      </w:pPr>
      <w:bookmarkStart w:id="72" w:name="_Toc441479796"/>
      <w:bookmarkEnd w:id="69"/>
      <w:bookmarkEnd w:id="70"/>
      <w:bookmarkEnd w:id="71"/>
      <w:r w:rsidRPr="00DB0AC3">
        <w:rPr>
          <w:rFonts w:cs="Arial"/>
          <w:lang w:val="ru-RU"/>
        </w:rPr>
        <w:t>Ценные бумаги, имеющиеся в наличии для продажи</w:t>
      </w:r>
      <w:bookmarkEnd w:id="72"/>
    </w:p>
    <w:p w:rsidR="00CF3EEF" w:rsidRPr="00DB0AC3" w:rsidRDefault="00CF3EEF" w:rsidP="00CF3EEF">
      <w:pPr>
        <w:rPr>
          <w:rFonts w:cs="Arial"/>
          <w:sz w:val="20"/>
          <w:lang w:val="ru-RU"/>
        </w:rPr>
      </w:pPr>
      <w:bookmarkStart w:id="73" w:name="_Кредиты_и_авансы"/>
      <w:bookmarkStart w:id="74" w:name="_Ref113247546"/>
      <w:bookmarkStart w:id="75" w:name="_Ref113248083"/>
      <w:bookmarkStart w:id="76" w:name="_Ref113248417"/>
      <w:bookmarkStart w:id="77" w:name="_Ref113267012"/>
      <w:bookmarkStart w:id="78" w:name="_Ref169437356"/>
      <w:bookmarkStart w:id="79" w:name="_Ref169437357"/>
      <w:bookmarkStart w:id="80" w:name="_Ref169526441"/>
      <w:bookmarkStart w:id="81" w:name="_Ref169680979"/>
      <w:bookmarkStart w:id="82" w:name="_Ref219379566"/>
      <w:bookmarkStart w:id="83" w:name="_Ref219379686"/>
      <w:bookmarkStart w:id="84" w:name="_Ref219446746"/>
      <w:bookmarkStart w:id="85" w:name="_Ref219446983"/>
      <w:bookmarkStart w:id="86" w:name="_Ref241849578"/>
      <w:bookmarkStart w:id="87" w:name="_Ref383702054"/>
      <w:bookmarkStart w:id="88" w:name="_Ref383702286"/>
      <w:bookmarkStart w:id="89" w:name="_Ref383702395"/>
      <w:bookmarkStart w:id="90" w:name="_Ref383702678"/>
      <w:bookmarkStart w:id="91" w:name="_Toc416086216"/>
      <w:bookmarkEnd w:id="73"/>
    </w:p>
    <w:p w:rsidR="00CF3EEF" w:rsidRPr="00DB0AC3" w:rsidRDefault="00CF3EEF" w:rsidP="00CF3EEF">
      <w:pPr>
        <w:pStyle w:val="210"/>
        <w:shd w:val="clear" w:color="auto" w:fill="auto"/>
        <w:spacing w:line="180" w:lineRule="exact"/>
        <w:ind w:firstLine="0"/>
        <w:rPr>
          <w:b w:val="0"/>
          <w:sz w:val="20"/>
          <w:szCs w:val="20"/>
        </w:rPr>
      </w:pPr>
      <w:r w:rsidRPr="00DB0AC3">
        <w:rPr>
          <w:b w:val="0"/>
          <w:sz w:val="20"/>
          <w:szCs w:val="20"/>
        </w:rPr>
        <w:t>Ценные бумаги, имеющиеся в наличии для продажи, представлены следующим образом:</w:t>
      </w:r>
    </w:p>
    <w:tbl>
      <w:tblPr>
        <w:tblW w:w="9087" w:type="dxa"/>
        <w:tblInd w:w="93" w:type="dxa"/>
        <w:tblLook w:val="04A0"/>
      </w:tblPr>
      <w:tblGrid>
        <w:gridCol w:w="5402"/>
        <w:gridCol w:w="1818"/>
        <w:gridCol w:w="1867"/>
      </w:tblGrid>
      <w:tr w:rsidR="00CF3EEF" w:rsidRPr="00DB0AC3" w:rsidTr="00A5221E">
        <w:trPr>
          <w:trHeight w:val="300"/>
        </w:trPr>
        <w:tc>
          <w:tcPr>
            <w:tcW w:w="5402"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p>
        </w:tc>
        <w:tc>
          <w:tcPr>
            <w:tcW w:w="1818" w:type="dxa"/>
            <w:tcBorders>
              <w:top w:val="nil"/>
              <w:left w:val="nil"/>
              <w:bottom w:val="single" w:sz="4" w:space="0" w:color="auto"/>
              <w:right w:val="nil"/>
            </w:tcBorders>
            <w:shd w:val="clear" w:color="auto" w:fill="auto"/>
            <w:vAlign w:val="bottom"/>
            <w:hideMark/>
          </w:tcPr>
          <w:p w:rsidR="00CF3EEF" w:rsidRPr="00DB0AC3" w:rsidRDefault="00CF3EEF" w:rsidP="005F69B3">
            <w:pPr>
              <w:jc w:val="right"/>
              <w:rPr>
                <w:rFonts w:cs="Arial"/>
                <w:b/>
                <w:bCs/>
                <w:color w:val="000000"/>
                <w:sz w:val="20"/>
                <w:lang w:val="ru-RU"/>
              </w:rPr>
            </w:pPr>
          </w:p>
          <w:p w:rsidR="00CF3EEF" w:rsidRPr="00DB0AC3" w:rsidRDefault="00CF3EEF" w:rsidP="005F69B3">
            <w:pPr>
              <w:jc w:val="right"/>
              <w:rPr>
                <w:rFonts w:cs="Arial"/>
                <w:b/>
                <w:bCs/>
                <w:color w:val="000000"/>
                <w:sz w:val="20"/>
                <w:lang w:val="ru-RU"/>
              </w:rPr>
            </w:pPr>
            <w:r w:rsidRPr="00DB0AC3">
              <w:rPr>
                <w:rFonts w:cs="Arial"/>
                <w:b/>
                <w:bCs/>
                <w:color w:val="000000"/>
                <w:sz w:val="20"/>
                <w:lang w:val="ru-RU"/>
              </w:rPr>
              <w:t>31 декабря 2014</w:t>
            </w:r>
          </w:p>
        </w:tc>
        <w:tc>
          <w:tcPr>
            <w:tcW w:w="1867" w:type="dxa"/>
            <w:tcBorders>
              <w:top w:val="nil"/>
              <w:left w:val="nil"/>
              <w:bottom w:val="single" w:sz="4" w:space="0" w:color="auto"/>
              <w:right w:val="nil"/>
            </w:tcBorders>
            <w:shd w:val="clear" w:color="auto" w:fill="auto"/>
            <w:vAlign w:val="bottom"/>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31 декабря 2013</w:t>
            </w:r>
          </w:p>
        </w:tc>
      </w:tr>
      <w:tr w:rsidR="00CF3EEF" w:rsidRPr="00DB0AC3" w:rsidTr="00A5221E">
        <w:trPr>
          <w:trHeight w:val="300"/>
        </w:trPr>
        <w:tc>
          <w:tcPr>
            <w:tcW w:w="5402" w:type="dxa"/>
            <w:tcBorders>
              <w:top w:val="nil"/>
              <w:left w:val="nil"/>
              <w:bottom w:val="nil"/>
              <w:right w:val="nil"/>
            </w:tcBorders>
            <w:shd w:val="clear" w:color="auto" w:fill="auto"/>
            <w:noWrap/>
            <w:vAlign w:val="bottom"/>
            <w:hideMark/>
          </w:tcPr>
          <w:p w:rsidR="00CF3EEF" w:rsidRPr="00DB0AC3" w:rsidRDefault="00CF3EEF" w:rsidP="005F69B3">
            <w:pPr>
              <w:rPr>
                <w:rFonts w:cs="Arial"/>
                <w:bCs/>
                <w:sz w:val="20"/>
                <w:lang w:val="ru-RU"/>
              </w:rPr>
            </w:pPr>
            <w:r w:rsidRPr="00DB0AC3">
              <w:rPr>
                <w:rFonts w:cs="Arial"/>
                <w:bCs/>
                <w:sz w:val="20"/>
                <w:lang w:val="ru-RU"/>
              </w:rPr>
              <w:t>Котируемые акции</w:t>
            </w:r>
          </w:p>
        </w:tc>
        <w:tc>
          <w:tcPr>
            <w:tcW w:w="1818" w:type="dxa"/>
            <w:tcBorders>
              <w:top w:val="nil"/>
              <w:left w:val="nil"/>
              <w:bottom w:val="nil"/>
              <w:right w:val="nil"/>
            </w:tcBorders>
            <w:shd w:val="clear" w:color="auto" w:fill="auto"/>
            <w:noWrap/>
            <w:vAlign w:val="bottom"/>
            <w:hideMark/>
          </w:tcPr>
          <w:p w:rsidR="00CF3EEF" w:rsidRPr="00DB0AC3" w:rsidRDefault="00CF3EEF" w:rsidP="00284273">
            <w:pPr>
              <w:jc w:val="right"/>
              <w:rPr>
                <w:rFonts w:cs="Arial"/>
                <w:color w:val="000000"/>
                <w:sz w:val="20"/>
              </w:rPr>
            </w:pPr>
            <w:r w:rsidRPr="00DB0AC3">
              <w:rPr>
                <w:rFonts w:cs="Arial"/>
                <w:color w:val="000000"/>
                <w:sz w:val="20"/>
              </w:rPr>
              <w:t>152 49</w:t>
            </w:r>
            <w:r w:rsidR="00284273" w:rsidRPr="00DB0AC3">
              <w:rPr>
                <w:rFonts w:cs="Arial"/>
                <w:color w:val="000000"/>
                <w:sz w:val="20"/>
              </w:rPr>
              <w:t>3</w:t>
            </w:r>
          </w:p>
        </w:tc>
        <w:tc>
          <w:tcPr>
            <w:tcW w:w="1867"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215 773</w:t>
            </w:r>
          </w:p>
        </w:tc>
      </w:tr>
      <w:tr w:rsidR="00CF3EEF" w:rsidRPr="00DB0AC3" w:rsidTr="00A5221E">
        <w:trPr>
          <w:trHeight w:val="300"/>
        </w:trPr>
        <w:tc>
          <w:tcPr>
            <w:tcW w:w="5402" w:type="dxa"/>
            <w:tcBorders>
              <w:top w:val="nil"/>
              <w:left w:val="nil"/>
              <w:bottom w:val="nil"/>
              <w:right w:val="nil"/>
            </w:tcBorders>
            <w:shd w:val="clear" w:color="auto" w:fill="auto"/>
            <w:noWrap/>
            <w:vAlign w:val="bottom"/>
            <w:hideMark/>
          </w:tcPr>
          <w:p w:rsidR="00CF3EEF" w:rsidRPr="00DB0AC3" w:rsidRDefault="00CF3EEF" w:rsidP="005F69B3">
            <w:pPr>
              <w:rPr>
                <w:rFonts w:cs="Arial"/>
                <w:bCs/>
                <w:sz w:val="20"/>
                <w:lang w:val="ru-RU"/>
              </w:rPr>
            </w:pPr>
            <w:r w:rsidRPr="00DB0AC3">
              <w:rPr>
                <w:rFonts w:cs="Arial"/>
                <w:bCs/>
                <w:sz w:val="20"/>
                <w:lang w:val="ru-RU"/>
              </w:rPr>
              <w:t>Некотируемые акции</w:t>
            </w:r>
          </w:p>
        </w:tc>
        <w:tc>
          <w:tcPr>
            <w:tcW w:w="1818" w:type="dxa"/>
            <w:tcBorders>
              <w:top w:val="nil"/>
              <w:left w:val="nil"/>
              <w:bottom w:val="nil"/>
              <w:right w:val="nil"/>
            </w:tcBorders>
            <w:shd w:val="clear" w:color="auto" w:fill="auto"/>
            <w:noWrap/>
            <w:vAlign w:val="bottom"/>
            <w:hideMark/>
          </w:tcPr>
          <w:p w:rsidR="00CF3EEF" w:rsidRPr="00DB0AC3" w:rsidRDefault="00DA2245" w:rsidP="005F69B3">
            <w:pPr>
              <w:jc w:val="right"/>
              <w:rPr>
                <w:rFonts w:cs="Arial"/>
                <w:color w:val="000000"/>
                <w:sz w:val="20"/>
              </w:rPr>
            </w:pPr>
            <w:r w:rsidRPr="00DB0AC3">
              <w:rPr>
                <w:rFonts w:cs="Arial"/>
                <w:color w:val="000000"/>
                <w:sz w:val="20"/>
              </w:rPr>
              <w:t>165 554</w:t>
            </w:r>
          </w:p>
        </w:tc>
        <w:tc>
          <w:tcPr>
            <w:tcW w:w="1867"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197 414</w:t>
            </w:r>
          </w:p>
        </w:tc>
      </w:tr>
      <w:tr w:rsidR="00CF3EEF" w:rsidRPr="00DB0AC3" w:rsidTr="00A5221E">
        <w:trPr>
          <w:trHeight w:val="300"/>
        </w:trPr>
        <w:tc>
          <w:tcPr>
            <w:tcW w:w="5402" w:type="dxa"/>
            <w:tcBorders>
              <w:top w:val="nil"/>
              <w:left w:val="nil"/>
              <w:bottom w:val="nil"/>
              <w:right w:val="nil"/>
            </w:tcBorders>
            <w:shd w:val="clear" w:color="auto" w:fill="auto"/>
            <w:noWrap/>
            <w:vAlign w:val="bottom"/>
            <w:hideMark/>
          </w:tcPr>
          <w:p w:rsidR="00CF3EEF" w:rsidRPr="00DB0AC3" w:rsidRDefault="00CF3EEF" w:rsidP="005F69B3">
            <w:pPr>
              <w:rPr>
                <w:rFonts w:cs="Arial"/>
                <w:bCs/>
                <w:sz w:val="20"/>
                <w:lang w:val="ru-RU"/>
              </w:rPr>
            </w:pPr>
            <w:r w:rsidRPr="00DB0AC3">
              <w:rPr>
                <w:rFonts w:cs="Arial"/>
                <w:bCs/>
                <w:sz w:val="20"/>
                <w:lang w:val="ru-RU"/>
              </w:rPr>
              <w:t>Доли участия в прочих компаниях</w:t>
            </w:r>
          </w:p>
        </w:tc>
        <w:tc>
          <w:tcPr>
            <w:tcW w:w="1818" w:type="dxa"/>
            <w:tcBorders>
              <w:top w:val="nil"/>
              <w:left w:val="nil"/>
              <w:bottom w:val="single" w:sz="4" w:space="0" w:color="auto"/>
              <w:right w:val="nil"/>
            </w:tcBorders>
            <w:shd w:val="clear" w:color="auto" w:fill="auto"/>
            <w:noWrap/>
            <w:vAlign w:val="bottom"/>
            <w:hideMark/>
          </w:tcPr>
          <w:p w:rsidR="00CF3EEF" w:rsidRPr="00DB0AC3" w:rsidRDefault="00CF3EEF" w:rsidP="005F69B3">
            <w:pPr>
              <w:jc w:val="right"/>
              <w:rPr>
                <w:rFonts w:cs="Arial"/>
                <w:color w:val="000000"/>
                <w:sz w:val="20"/>
              </w:rPr>
            </w:pPr>
            <w:r w:rsidRPr="00DB0AC3">
              <w:rPr>
                <w:rFonts w:cs="Arial"/>
                <w:color w:val="000000"/>
                <w:sz w:val="20"/>
              </w:rPr>
              <w:t>33 130</w:t>
            </w:r>
          </w:p>
        </w:tc>
        <w:tc>
          <w:tcPr>
            <w:tcW w:w="1867" w:type="dxa"/>
            <w:tcBorders>
              <w:top w:val="nil"/>
              <w:left w:val="nil"/>
              <w:bottom w:val="single" w:sz="4" w:space="0" w:color="auto"/>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33 130</w:t>
            </w:r>
          </w:p>
        </w:tc>
      </w:tr>
      <w:tr w:rsidR="00CF3EEF" w:rsidRPr="00DB0AC3" w:rsidTr="00A5221E">
        <w:trPr>
          <w:trHeight w:val="600"/>
        </w:trPr>
        <w:tc>
          <w:tcPr>
            <w:tcW w:w="5402" w:type="dxa"/>
            <w:tcBorders>
              <w:top w:val="nil"/>
              <w:left w:val="nil"/>
              <w:bottom w:val="nil"/>
              <w:right w:val="nil"/>
            </w:tcBorders>
            <w:shd w:val="clear" w:color="auto" w:fill="auto"/>
            <w:vAlign w:val="bottom"/>
            <w:hideMark/>
          </w:tcPr>
          <w:p w:rsidR="00CF3EEF" w:rsidRPr="00DB0AC3" w:rsidRDefault="00CF3EEF" w:rsidP="005F69B3">
            <w:pPr>
              <w:rPr>
                <w:rFonts w:cs="Arial"/>
                <w:bCs/>
                <w:sz w:val="20"/>
                <w:lang w:val="ru-RU"/>
              </w:rPr>
            </w:pPr>
            <w:r w:rsidRPr="00DB0AC3">
              <w:rPr>
                <w:rFonts w:cs="Arial"/>
                <w:bCs/>
                <w:sz w:val="20"/>
                <w:lang w:val="ru-RU"/>
              </w:rPr>
              <w:t xml:space="preserve">Итого финансовые активы,  имеющиеся в наличии для продажи, валовые </w:t>
            </w:r>
          </w:p>
        </w:tc>
        <w:tc>
          <w:tcPr>
            <w:tcW w:w="1818" w:type="dxa"/>
            <w:tcBorders>
              <w:top w:val="nil"/>
              <w:left w:val="nil"/>
              <w:bottom w:val="nil"/>
              <w:right w:val="nil"/>
            </w:tcBorders>
            <w:shd w:val="clear" w:color="auto" w:fill="auto"/>
            <w:noWrap/>
            <w:vAlign w:val="bottom"/>
            <w:hideMark/>
          </w:tcPr>
          <w:p w:rsidR="00CF3EEF" w:rsidRPr="00DB0AC3" w:rsidRDefault="00284273" w:rsidP="00431EC0">
            <w:pPr>
              <w:jc w:val="right"/>
              <w:rPr>
                <w:rFonts w:cs="Arial"/>
                <w:color w:val="000000"/>
                <w:sz w:val="20"/>
              </w:rPr>
            </w:pPr>
            <w:r w:rsidRPr="00DB0AC3">
              <w:rPr>
                <w:rFonts w:cs="Arial"/>
                <w:color w:val="000000"/>
                <w:sz w:val="20"/>
              </w:rPr>
              <w:t xml:space="preserve">351 </w:t>
            </w:r>
            <w:r w:rsidR="00431EC0" w:rsidRPr="00DB0AC3">
              <w:rPr>
                <w:rFonts w:cs="Arial"/>
                <w:color w:val="000000"/>
                <w:sz w:val="20"/>
              </w:rPr>
              <w:t>177</w:t>
            </w:r>
          </w:p>
        </w:tc>
        <w:tc>
          <w:tcPr>
            <w:tcW w:w="1867"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446 317</w:t>
            </w:r>
          </w:p>
        </w:tc>
      </w:tr>
      <w:tr w:rsidR="00CF3EEF" w:rsidRPr="00DB0AC3" w:rsidTr="00A5221E">
        <w:trPr>
          <w:trHeight w:val="300"/>
        </w:trPr>
        <w:tc>
          <w:tcPr>
            <w:tcW w:w="5402" w:type="dxa"/>
            <w:tcBorders>
              <w:top w:val="nil"/>
              <w:left w:val="nil"/>
              <w:bottom w:val="nil"/>
              <w:right w:val="nil"/>
            </w:tcBorders>
            <w:shd w:val="clear" w:color="auto" w:fill="auto"/>
            <w:noWrap/>
            <w:vAlign w:val="bottom"/>
            <w:hideMark/>
          </w:tcPr>
          <w:p w:rsidR="00CF3EEF" w:rsidRPr="00DB0AC3" w:rsidRDefault="00CF3EEF" w:rsidP="005F69B3">
            <w:pPr>
              <w:rPr>
                <w:rFonts w:cs="Arial"/>
                <w:bCs/>
                <w:sz w:val="20"/>
                <w:lang w:val="ru-RU"/>
              </w:rPr>
            </w:pPr>
            <w:r w:rsidRPr="00DB0AC3">
              <w:rPr>
                <w:rFonts w:cs="Arial"/>
                <w:bCs/>
                <w:sz w:val="20"/>
                <w:lang w:val="ru-RU"/>
              </w:rPr>
              <w:t>Минус: резерв под обесценение</w:t>
            </w:r>
          </w:p>
        </w:tc>
        <w:tc>
          <w:tcPr>
            <w:tcW w:w="1818" w:type="dxa"/>
            <w:tcBorders>
              <w:top w:val="nil"/>
              <w:left w:val="nil"/>
              <w:bottom w:val="single" w:sz="4" w:space="0" w:color="auto"/>
              <w:right w:val="nil"/>
            </w:tcBorders>
            <w:shd w:val="clear" w:color="auto" w:fill="auto"/>
            <w:noWrap/>
            <w:vAlign w:val="bottom"/>
            <w:hideMark/>
          </w:tcPr>
          <w:p w:rsidR="00CF3EEF" w:rsidRPr="00DB0AC3" w:rsidRDefault="00D137C9" w:rsidP="00431EC0">
            <w:pPr>
              <w:jc w:val="right"/>
              <w:rPr>
                <w:rFonts w:cs="Arial"/>
                <w:color w:val="000000"/>
                <w:sz w:val="20"/>
              </w:rPr>
            </w:pPr>
            <w:r w:rsidRPr="00DB0AC3">
              <w:rPr>
                <w:rFonts w:cs="Arial"/>
                <w:color w:val="000000"/>
                <w:sz w:val="20"/>
              </w:rPr>
              <w:t>(72 587)</w:t>
            </w:r>
          </w:p>
        </w:tc>
        <w:tc>
          <w:tcPr>
            <w:tcW w:w="1867" w:type="dxa"/>
            <w:tcBorders>
              <w:top w:val="nil"/>
              <w:left w:val="nil"/>
              <w:bottom w:val="single" w:sz="4" w:space="0" w:color="auto"/>
              <w:right w:val="nil"/>
            </w:tcBorders>
            <w:shd w:val="clear" w:color="auto" w:fill="auto"/>
            <w:noWrap/>
            <w:vAlign w:val="bottom"/>
            <w:hideMark/>
          </w:tcPr>
          <w:p w:rsidR="00CF3EEF" w:rsidRPr="00DB0AC3" w:rsidRDefault="00D137C9" w:rsidP="005F69B3">
            <w:pPr>
              <w:jc w:val="right"/>
              <w:rPr>
                <w:rFonts w:cs="Arial"/>
                <w:color w:val="000000"/>
                <w:sz w:val="20"/>
                <w:lang w:val="ru-RU"/>
              </w:rPr>
            </w:pPr>
            <w:r w:rsidRPr="00DB0AC3">
              <w:rPr>
                <w:rFonts w:cs="Arial"/>
                <w:color w:val="000000"/>
                <w:sz w:val="20"/>
                <w:lang w:val="ru-RU"/>
              </w:rPr>
              <w:t>(68 093)</w:t>
            </w:r>
          </w:p>
        </w:tc>
      </w:tr>
      <w:tr w:rsidR="00CF3EEF" w:rsidRPr="00DB0AC3" w:rsidTr="00A5221E">
        <w:trPr>
          <w:trHeight w:val="300"/>
        </w:trPr>
        <w:tc>
          <w:tcPr>
            <w:tcW w:w="5402"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p>
        </w:tc>
        <w:tc>
          <w:tcPr>
            <w:tcW w:w="1818"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p>
        </w:tc>
        <w:tc>
          <w:tcPr>
            <w:tcW w:w="1867"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p>
        </w:tc>
      </w:tr>
      <w:tr w:rsidR="00CF3EEF" w:rsidRPr="00DB0AC3" w:rsidTr="00A5221E">
        <w:trPr>
          <w:trHeight w:val="615"/>
        </w:trPr>
        <w:tc>
          <w:tcPr>
            <w:tcW w:w="5402" w:type="dxa"/>
            <w:tcBorders>
              <w:top w:val="nil"/>
              <w:left w:val="nil"/>
              <w:bottom w:val="nil"/>
              <w:right w:val="nil"/>
            </w:tcBorders>
            <w:shd w:val="clear" w:color="auto" w:fill="auto"/>
            <w:vAlign w:val="bottom"/>
            <w:hideMark/>
          </w:tcPr>
          <w:p w:rsidR="00CF3EEF" w:rsidRPr="00DB0AC3" w:rsidRDefault="00CF3EEF" w:rsidP="005F69B3">
            <w:pPr>
              <w:rPr>
                <w:rFonts w:cs="Arial"/>
                <w:b/>
                <w:sz w:val="20"/>
                <w:lang w:val="ru-RU"/>
              </w:rPr>
            </w:pPr>
            <w:r w:rsidRPr="00DB0AC3">
              <w:rPr>
                <w:rFonts w:cs="Arial"/>
                <w:b/>
                <w:sz w:val="20"/>
                <w:lang w:val="ru-RU"/>
              </w:rPr>
              <w:t xml:space="preserve">Итого финансовые активы,  имеющиеся в наличии для продажи, чистые </w:t>
            </w:r>
          </w:p>
        </w:tc>
        <w:tc>
          <w:tcPr>
            <w:tcW w:w="1818" w:type="dxa"/>
            <w:tcBorders>
              <w:top w:val="nil"/>
              <w:left w:val="nil"/>
              <w:bottom w:val="double" w:sz="6" w:space="0" w:color="auto"/>
              <w:right w:val="nil"/>
            </w:tcBorders>
            <w:shd w:val="clear" w:color="auto" w:fill="auto"/>
            <w:noWrap/>
            <w:vAlign w:val="bottom"/>
            <w:hideMark/>
          </w:tcPr>
          <w:p w:rsidR="00CF3EEF" w:rsidRPr="00DB0AC3" w:rsidRDefault="00CF3EEF" w:rsidP="005F69B3">
            <w:pPr>
              <w:jc w:val="right"/>
              <w:rPr>
                <w:rFonts w:cs="Arial"/>
                <w:b/>
                <w:sz w:val="20"/>
                <w:lang w:val="ru-RU"/>
              </w:rPr>
            </w:pPr>
            <w:r w:rsidRPr="00DB0AC3">
              <w:rPr>
                <w:rFonts w:cs="Arial"/>
                <w:b/>
                <w:sz w:val="20"/>
                <w:lang w:val="ru-RU"/>
              </w:rPr>
              <w:t>278 59</w:t>
            </w:r>
            <w:r w:rsidR="002434F4" w:rsidRPr="00DB0AC3">
              <w:rPr>
                <w:rFonts w:cs="Arial"/>
                <w:b/>
                <w:sz w:val="20"/>
                <w:lang w:val="ru-RU"/>
              </w:rPr>
              <w:t>0</w:t>
            </w:r>
          </w:p>
        </w:tc>
        <w:tc>
          <w:tcPr>
            <w:tcW w:w="1867" w:type="dxa"/>
            <w:tcBorders>
              <w:top w:val="nil"/>
              <w:left w:val="nil"/>
              <w:bottom w:val="double" w:sz="6" w:space="0" w:color="auto"/>
              <w:right w:val="nil"/>
            </w:tcBorders>
            <w:shd w:val="clear" w:color="auto" w:fill="auto"/>
            <w:noWrap/>
            <w:vAlign w:val="bottom"/>
            <w:hideMark/>
          </w:tcPr>
          <w:p w:rsidR="00CF3EEF" w:rsidRPr="00DB0AC3" w:rsidRDefault="00CF3EEF" w:rsidP="005F69B3">
            <w:pPr>
              <w:jc w:val="right"/>
              <w:rPr>
                <w:rFonts w:cs="Arial"/>
                <w:b/>
                <w:sz w:val="20"/>
                <w:lang w:val="ru-RU"/>
              </w:rPr>
            </w:pPr>
            <w:r w:rsidRPr="00DB0AC3">
              <w:rPr>
                <w:rFonts w:cs="Arial"/>
                <w:b/>
                <w:sz w:val="20"/>
                <w:lang w:val="ru-RU"/>
              </w:rPr>
              <w:t>378 224</w:t>
            </w:r>
          </w:p>
        </w:tc>
      </w:tr>
    </w:tbl>
    <w:p w:rsidR="008E3EDA" w:rsidRPr="00DB0AC3" w:rsidRDefault="002923F4">
      <w:pPr>
        <w:pStyle w:val="Continued"/>
        <w:ind w:left="0" w:firstLine="0"/>
        <w:jc w:val="both"/>
        <w:rPr>
          <w:rFonts w:cs="Arial"/>
          <w:b w:val="0"/>
          <w:lang w:val="ru-RU"/>
        </w:rPr>
      </w:pPr>
      <w:r w:rsidRPr="00DB0AC3">
        <w:rPr>
          <w:rFonts w:cs="Arial"/>
          <w:b w:val="0"/>
          <w:lang w:val="ru-RU"/>
        </w:rPr>
        <w:lastRenderedPageBreak/>
        <w:t>На 31 декабря 2014 и 31 декабря 2013 года ценные бумаги, удерживаемые Банком, не были переданы в качестве обеспечения; на них также не было наложено никаких других подобных ограничений.</w:t>
      </w:r>
    </w:p>
    <w:p w:rsidR="003D6F26" w:rsidRDefault="003D6F26" w:rsidP="00CF3EEF">
      <w:pPr>
        <w:rPr>
          <w:rFonts w:cs="Arial"/>
          <w:sz w:val="20"/>
          <w:lang w:val="ru-RU"/>
        </w:rPr>
      </w:pPr>
    </w:p>
    <w:p w:rsidR="003D6F26" w:rsidRDefault="003D6F26" w:rsidP="00CF3EEF">
      <w:pPr>
        <w:rPr>
          <w:rFonts w:cs="Arial"/>
          <w:sz w:val="20"/>
          <w:lang w:val="ru-RU"/>
        </w:rPr>
      </w:pPr>
    </w:p>
    <w:p w:rsidR="00CF3EEF" w:rsidRPr="00DB0AC3" w:rsidRDefault="00CF3EEF" w:rsidP="00CF3EEF">
      <w:pPr>
        <w:rPr>
          <w:rFonts w:cs="Arial"/>
          <w:sz w:val="20"/>
          <w:lang w:val="ru-RU"/>
        </w:rPr>
      </w:pPr>
      <w:r w:rsidRPr="00DB0AC3">
        <w:rPr>
          <w:rFonts w:cs="Arial"/>
          <w:sz w:val="20"/>
          <w:lang w:val="ru-RU"/>
        </w:rPr>
        <w:t>К</w:t>
      </w:r>
      <w:r w:rsidRPr="00DB0AC3">
        <w:rPr>
          <w:rFonts w:cs="Arial"/>
          <w:bCs/>
          <w:sz w:val="20"/>
          <w:lang w:val="ru-RU"/>
        </w:rPr>
        <w:t>отируемые акции, имеющиеся в наличии для продажи, представлены следующим образом:</w:t>
      </w:r>
    </w:p>
    <w:p w:rsidR="00CF3EEF" w:rsidRPr="00DB0AC3" w:rsidRDefault="00CF3EEF" w:rsidP="00CF3EEF">
      <w:pPr>
        <w:rPr>
          <w:rFonts w:cs="Arial"/>
          <w:sz w:val="20"/>
          <w:lang w:val="ru-RU"/>
        </w:rPr>
      </w:pPr>
    </w:p>
    <w:tbl>
      <w:tblPr>
        <w:tblW w:w="8940" w:type="dxa"/>
        <w:tblInd w:w="93" w:type="dxa"/>
        <w:tblLook w:val="04A0"/>
      </w:tblPr>
      <w:tblGrid>
        <w:gridCol w:w="5560"/>
        <w:gridCol w:w="1660"/>
        <w:gridCol w:w="1720"/>
      </w:tblGrid>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p>
        </w:tc>
        <w:tc>
          <w:tcPr>
            <w:tcW w:w="1660" w:type="dxa"/>
            <w:tcBorders>
              <w:top w:val="nil"/>
              <w:left w:val="nil"/>
              <w:bottom w:val="single" w:sz="4" w:space="0" w:color="auto"/>
              <w:right w:val="nil"/>
            </w:tcBorders>
            <w:shd w:val="clear" w:color="auto" w:fill="auto"/>
            <w:vAlign w:val="bottom"/>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31 декабря 2014</w:t>
            </w:r>
          </w:p>
        </w:tc>
        <w:tc>
          <w:tcPr>
            <w:tcW w:w="1720" w:type="dxa"/>
            <w:tcBorders>
              <w:top w:val="nil"/>
              <w:left w:val="nil"/>
              <w:bottom w:val="single" w:sz="4" w:space="0" w:color="auto"/>
              <w:right w:val="nil"/>
            </w:tcBorders>
            <w:shd w:val="clear" w:color="auto" w:fill="auto"/>
            <w:vAlign w:val="bottom"/>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31 декабря 2013</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"ИнтерРАО ЕЭС"</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25 024</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35 968</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"ОГК-2"</w:t>
            </w:r>
          </w:p>
        </w:tc>
        <w:tc>
          <w:tcPr>
            <w:tcW w:w="1660" w:type="dxa"/>
            <w:tcBorders>
              <w:top w:val="nil"/>
              <w:left w:val="nil"/>
              <w:bottom w:val="nil"/>
              <w:right w:val="nil"/>
            </w:tcBorders>
            <w:shd w:val="clear" w:color="auto" w:fill="auto"/>
            <w:noWrap/>
            <w:vAlign w:val="bottom"/>
            <w:hideMark/>
          </w:tcPr>
          <w:p w:rsidR="00CF3EEF" w:rsidRPr="00DB0AC3" w:rsidRDefault="00CF3EEF" w:rsidP="00CD2B5D">
            <w:pPr>
              <w:jc w:val="right"/>
              <w:rPr>
                <w:rFonts w:cs="Arial"/>
                <w:color w:val="000000"/>
                <w:sz w:val="20"/>
                <w:lang w:val="en-US"/>
              </w:rPr>
            </w:pPr>
            <w:r w:rsidRPr="00DB0AC3">
              <w:rPr>
                <w:rFonts w:cs="Arial"/>
                <w:color w:val="000000"/>
                <w:sz w:val="20"/>
                <w:lang w:val="ru-RU"/>
              </w:rPr>
              <w:t>18 31</w:t>
            </w:r>
            <w:r w:rsidR="00CD2B5D" w:rsidRPr="00DB0AC3">
              <w:rPr>
                <w:rFonts w:cs="Arial"/>
                <w:color w:val="000000"/>
                <w:sz w:val="20"/>
                <w:lang w:val="en-US"/>
              </w:rPr>
              <w:t>5</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29 183</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"РусГидро"</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26 012</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28 096</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"Россети"</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13 549</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24 864</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 "Ростелеком"</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16 681</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21 639</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"Мосэнерго"</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11 583</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15 709</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Энел ОГК-5"</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11 753</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"ФСК ЕЭС"</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4 930</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10 129</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"Северсталь"</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9 525</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НК "Роснефть"</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4 886</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7 501</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"ММК"</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10 601</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7 446</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"Газпром"</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5 259</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4 164</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"Лукойл"</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4 053</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АК "Сбрегательный банк РФ"</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7 547</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3 031</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ОАО "РН Холдинг"</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2712</w:t>
            </w:r>
          </w:p>
        </w:tc>
      </w:tr>
      <w:tr w:rsidR="00CF3EEF" w:rsidRPr="00DB0AC3" w:rsidTr="005F69B3">
        <w:trPr>
          <w:trHeight w:val="300"/>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АО "ЭнелРос"</w:t>
            </w:r>
          </w:p>
        </w:tc>
        <w:tc>
          <w:tcPr>
            <w:tcW w:w="166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8106</w:t>
            </w:r>
          </w:p>
        </w:tc>
        <w:tc>
          <w:tcPr>
            <w:tcW w:w="1720" w:type="dxa"/>
            <w:tcBorders>
              <w:top w:val="nil"/>
              <w:left w:val="nil"/>
              <w:bottom w:val="nil"/>
              <w:right w:val="nil"/>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w:t>
            </w:r>
          </w:p>
        </w:tc>
      </w:tr>
      <w:tr w:rsidR="00CF3EEF" w:rsidRPr="00DB0AC3" w:rsidTr="005F69B3">
        <w:trPr>
          <w:trHeight w:val="315"/>
        </w:trPr>
        <w:tc>
          <w:tcPr>
            <w:tcW w:w="5560" w:type="dxa"/>
            <w:tcBorders>
              <w:top w:val="nil"/>
              <w:left w:val="nil"/>
              <w:bottom w:val="nil"/>
              <w:right w:val="nil"/>
            </w:tcBorders>
            <w:shd w:val="clear" w:color="auto" w:fill="auto"/>
            <w:noWrap/>
            <w:vAlign w:val="bottom"/>
            <w:hideMark/>
          </w:tcPr>
          <w:p w:rsidR="00CF3EEF" w:rsidRPr="00DB0AC3" w:rsidRDefault="00CF3EEF" w:rsidP="005F69B3">
            <w:pPr>
              <w:rPr>
                <w:rFonts w:cs="Arial"/>
                <w:b/>
                <w:bCs/>
                <w:color w:val="000000"/>
                <w:sz w:val="20"/>
                <w:lang w:val="ru-RU"/>
              </w:rPr>
            </w:pPr>
            <w:r w:rsidRPr="00DB0AC3">
              <w:rPr>
                <w:rFonts w:cs="Arial"/>
                <w:b/>
                <w:bCs/>
                <w:color w:val="000000"/>
                <w:sz w:val="20"/>
                <w:lang w:val="ru-RU"/>
              </w:rPr>
              <w:t>Итого котируемых акций</w:t>
            </w:r>
          </w:p>
        </w:tc>
        <w:tc>
          <w:tcPr>
            <w:tcW w:w="1660" w:type="dxa"/>
            <w:tcBorders>
              <w:top w:val="single" w:sz="4" w:space="0" w:color="auto"/>
              <w:left w:val="nil"/>
              <w:bottom w:val="double" w:sz="6" w:space="0" w:color="auto"/>
              <w:right w:val="nil"/>
            </w:tcBorders>
            <w:shd w:val="clear" w:color="auto" w:fill="auto"/>
            <w:noWrap/>
            <w:vAlign w:val="bottom"/>
            <w:hideMark/>
          </w:tcPr>
          <w:p w:rsidR="00CF3EEF" w:rsidRPr="00DB0AC3" w:rsidRDefault="00CF3EEF" w:rsidP="00CD2B5D">
            <w:pPr>
              <w:jc w:val="right"/>
              <w:rPr>
                <w:rFonts w:cs="Arial"/>
                <w:b/>
                <w:bCs/>
                <w:color w:val="000000"/>
                <w:sz w:val="20"/>
                <w:lang w:val="en-US"/>
              </w:rPr>
            </w:pPr>
            <w:r w:rsidRPr="00DB0AC3">
              <w:rPr>
                <w:rFonts w:cs="Arial"/>
                <w:b/>
                <w:bCs/>
                <w:color w:val="000000"/>
                <w:sz w:val="20"/>
                <w:lang w:val="ru-RU"/>
              </w:rPr>
              <w:t>152 49</w:t>
            </w:r>
            <w:r w:rsidR="00CD2B5D" w:rsidRPr="00DB0AC3">
              <w:rPr>
                <w:rFonts w:cs="Arial"/>
                <w:b/>
                <w:bCs/>
                <w:color w:val="000000"/>
                <w:sz w:val="20"/>
                <w:lang w:val="en-US"/>
              </w:rPr>
              <w:t>3</w:t>
            </w:r>
          </w:p>
        </w:tc>
        <w:tc>
          <w:tcPr>
            <w:tcW w:w="1720" w:type="dxa"/>
            <w:tcBorders>
              <w:top w:val="single" w:sz="4" w:space="0" w:color="auto"/>
              <w:left w:val="nil"/>
              <w:bottom w:val="double" w:sz="6" w:space="0" w:color="auto"/>
              <w:right w:val="nil"/>
            </w:tcBorders>
            <w:shd w:val="clear" w:color="auto" w:fill="auto"/>
            <w:noWrap/>
            <w:vAlign w:val="bottom"/>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215 773</w:t>
            </w:r>
          </w:p>
        </w:tc>
      </w:tr>
    </w:tbl>
    <w:p w:rsidR="00CF3EEF" w:rsidRPr="00DB0AC3" w:rsidRDefault="00CF3EEF" w:rsidP="00CF3EEF">
      <w:pPr>
        <w:rPr>
          <w:rFonts w:cs="Arial"/>
          <w:sz w:val="20"/>
          <w:lang w:val="ru-RU"/>
        </w:rPr>
      </w:pPr>
    </w:p>
    <w:p w:rsidR="003D6F26" w:rsidRDefault="003D6F26">
      <w:pPr>
        <w:pStyle w:val="210"/>
        <w:shd w:val="clear" w:color="auto" w:fill="auto"/>
        <w:spacing w:line="221" w:lineRule="exact"/>
        <w:ind w:firstLine="0"/>
        <w:jc w:val="both"/>
        <w:rPr>
          <w:b w:val="0"/>
          <w:sz w:val="20"/>
          <w:szCs w:val="20"/>
        </w:rPr>
      </w:pPr>
    </w:p>
    <w:p w:rsidR="008E3EDA" w:rsidRPr="00DB0AC3" w:rsidRDefault="00CF3EEF">
      <w:pPr>
        <w:pStyle w:val="210"/>
        <w:shd w:val="clear" w:color="auto" w:fill="auto"/>
        <w:spacing w:line="221" w:lineRule="exact"/>
        <w:ind w:firstLine="0"/>
        <w:jc w:val="both"/>
        <w:rPr>
          <w:b w:val="0"/>
          <w:sz w:val="20"/>
          <w:szCs w:val="20"/>
        </w:rPr>
      </w:pPr>
      <w:r w:rsidRPr="00DB0AC3">
        <w:rPr>
          <w:b w:val="0"/>
          <w:sz w:val="20"/>
          <w:szCs w:val="20"/>
        </w:rPr>
        <w:t>Справедливая стоимость котируемых акций была определена на основе котировок активного рынка для идентичных активов (Уровень 1 в соответствии с МСФО</w:t>
      </w:r>
      <w:r w:rsidR="00404441" w:rsidRPr="00DB0AC3">
        <w:rPr>
          <w:b w:val="0"/>
          <w:sz w:val="20"/>
          <w:szCs w:val="20"/>
        </w:rPr>
        <w:t xml:space="preserve"> (</w:t>
      </w:r>
      <w:r w:rsidR="00404441" w:rsidRPr="00DB0AC3">
        <w:rPr>
          <w:b w:val="0"/>
          <w:sz w:val="20"/>
          <w:szCs w:val="20"/>
          <w:lang w:val="en-US"/>
        </w:rPr>
        <w:t>IFRS</w:t>
      </w:r>
      <w:r w:rsidR="002923F4" w:rsidRPr="00DB0AC3">
        <w:rPr>
          <w:b w:val="0"/>
          <w:sz w:val="20"/>
          <w:szCs w:val="20"/>
        </w:rPr>
        <w:t>)</w:t>
      </w:r>
      <w:r w:rsidRPr="00DB0AC3">
        <w:rPr>
          <w:b w:val="0"/>
          <w:sz w:val="20"/>
          <w:szCs w:val="20"/>
        </w:rPr>
        <w:t xml:space="preserve"> 7). См. Примечание 32.</w:t>
      </w:r>
    </w:p>
    <w:p w:rsidR="00CF3EEF" w:rsidRPr="00DB0AC3" w:rsidRDefault="00CF3EEF" w:rsidP="00CF3EEF">
      <w:pPr>
        <w:rPr>
          <w:rFonts w:cs="Arial"/>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3D6F26" w:rsidRDefault="003D6F26" w:rsidP="00CF3EEF">
      <w:pPr>
        <w:rPr>
          <w:rFonts w:cs="Arial"/>
          <w:bCs/>
          <w:sz w:val="20"/>
          <w:lang w:val="ru-RU"/>
        </w:rPr>
      </w:pPr>
    </w:p>
    <w:p w:rsidR="00C92525" w:rsidRDefault="00C92525" w:rsidP="00CF3EEF">
      <w:pPr>
        <w:rPr>
          <w:rFonts w:cs="Arial"/>
          <w:bCs/>
          <w:sz w:val="20"/>
          <w:lang w:val="ru-RU"/>
        </w:rPr>
      </w:pPr>
    </w:p>
    <w:p w:rsidR="00CF3EEF" w:rsidRPr="00DB0AC3" w:rsidRDefault="00CF3EEF" w:rsidP="00CF3EEF">
      <w:pPr>
        <w:rPr>
          <w:rFonts w:cs="Arial"/>
          <w:sz w:val="20"/>
          <w:lang w:val="ru-RU"/>
        </w:rPr>
      </w:pPr>
      <w:r w:rsidRPr="00DB0AC3">
        <w:rPr>
          <w:rFonts w:cs="Arial"/>
          <w:bCs/>
          <w:sz w:val="20"/>
          <w:lang w:val="ru-RU"/>
        </w:rPr>
        <w:t>Некотируемые акции представлены следующим образом</w:t>
      </w:r>
      <w:r w:rsidRPr="00DB0AC3">
        <w:rPr>
          <w:rFonts w:cs="Arial"/>
          <w:sz w:val="20"/>
          <w:lang w:val="ru-RU"/>
        </w:rPr>
        <w:t>:</w:t>
      </w:r>
    </w:p>
    <w:tbl>
      <w:tblPr>
        <w:tblStyle w:val="af7"/>
        <w:tblW w:w="9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556"/>
        <w:gridCol w:w="1854"/>
        <w:gridCol w:w="452"/>
        <w:gridCol w:w="879"/>
        <w:gridCol w:w="795"/>
        <w:gridCol w:w="264"/>
        <w:gridCol w:w="879"/>
        <w:gridCol w:w="1059"/>
      </w:tblGrid>
      <w:tr w:rsidR="00CF3EEF" w:rsidRPr="00DB0AC3" w:rsidTr="00DE469E">
        <w:trPr>
          <w:trHeight w:val="600"/>
        </w:trPr>
        <w:tc>
          <w:tcPr>
            <w:tcW w:w="3641" w:type="dxa"/>
            <w:gridSpan w:val="2"/>
            <w:noWrap/>
            <w:hideMark/>
          </w:tcPr>
          <w:p w:rsidR="00CF3EEF" w:rsidRPr="00DB0AC3" w:rsidRDefault="00CF3EEF" w:rsidP="005F69B3">
            <w:pPr>
              <w:rPr>
                <w:rFonts w:cs="Arial"/>
                <w:b/>
                <w:bCs/>
                <w:color w:val="000000"/>
                <w:sz w:val="20"/>
                <w:lang w:val="ru-RU"/>
              </w:rPr>
            </w:pPr>
            <w:r w:rsidRPr="00DB0AC3">
              <w:rPr>
                <w:rFonts w:cs="Arial"/>
                <w:b/>
                <w:bCs/>
                <w:color w:val="000000"/>
                <w:sz w:val="20"/>
                <w:lang w:val="ru-RU"/>
              </w:rPr>
              <w:t>Название</w:t>
            </w:r>
          </w:p>
        </w:tc>
        <w:tc>
          <w:tcPr>
            <w:tcW w:w="2306" w:type="dxa"/>
            <w:gridSpan w:val="2"/>
            <w:vAlign w:val="bottom"/>
            <w:hideMark/>
          </w:tcPr>
          <w:p w:rsidR="00CF3EEF" w:rsidRPr="00DB0AC3" w:rsidRDefault="00CF3EEF" w:rsidP="005F69B3">
            <w:pPr>
              <w:jc w:val="center"/>
              <w:rPr>
                <w:rFonts w:cs="Arial"/>
                <w:b/>
                <w:bCs/>
                <w:color w:val="000000"/>
                <w:sz w:val="20"/>
              </w:rPr>
            </w:pPr>
            <w:r w:rsidRPr="00DB0AC3">
              <w:rPr>
                <w:rFonts w:cs="Arial"/>
                <w:b/>
                <w:bCs/>
                <w:color w:val="000000"/>
                <w:sz w:val="20"/>
              </w:rPr>
              <w:t>Вид</w:t>
            </w:r>
            <w:r w:rsidR="0038580E" w:rsidRPr="00DB0AC3">
              <w:rPr>
                <w:rFonts w:cs="Arial"/>
                <w:b/>
                <w:bCs/>
                <w:color w:val="000000"/>
                <w:sz w:val="20"/>
                <w:lang w:val="ru-RU"/>
              </w:rPr>
              <w:t> </w:t>
            </w:r>
            <w:r w:rsidRPr="00DB0AC3">
              <w:rPr>
                <w:rFonts w:cs="Arial"/>
                <w:b/>
                <w:bCs/>
                <w:color w:val="000000"/>
                <w:sz w:val="20"/>
              </w:rPr>
              <w:t>деятельности</w:t>
            </w:r>
          </w:p>
        </w:tc>
        <w:tc>
          <w:tcPr>
            <w:tcW w:w="1938" w:type="dxa"/>
            <w:gridSpan w:val="3"/>
            <w:tcBorders>
              <w:bottom w:val="single" w:sz="4" w:space="0" w:color="auto"/>
            </w:tcBorders>
            <w:vAlign w:val="bottom"/>
            <w:hideMark/>
          </w:tcPr>
          <w:p w:rsidR="00CF3EEF" w:rsidRPr="00DB0AC3" w:rsidRDefault="00CF3EEF" w:rsidP="005F69B3">
            <w:pPr>
              <w:jc w:val="center"/>
              <w:rPr>
                <w:rFonts w:cs="Arial"/>
                <w:b/>
                <w:bCs/>
                <w:color w:val="000000"/>
                <w:sz w:val="20"/>
              </w:rPr>
            </w:pPr>
            <w:r w:rsidRPr="00DB0AC3">
              <w:rPr>
                <w:rFonts w:cs="Arial"/>
                <w:b/>
                <w:bCs/>
                <w:color w:val="000000"/>
                <w:sz w:val="20"/>
              </w:rPr>
              <w:t>31 декабря 2014</w:t>
            </w:r>
          </w:p>
        </w:tc>
        <w:tc>
          <w:tcPr>
            <w:tcW w:w="1938" w:type="dxa"/>
            <w:gridSpan w:val="2"/>
            <w:tcBorders>
              <w:bottom w:val="single" w:sz="4" w:space="0" w:color="auto"/>
            </w:tcBorders>
            <w:vAlign w:val="bottom"/>
            <w:hideMark/>
          </w:tcPr>
          <w:p w:rsidR="00CF3EEF" w:rsidRPr="00DB0AC3" w:rsidRDefault="00CF3EEF" w:rsidP="005F69B3">
            <w:pPr>
              <w:jc w:val="center"/>
              <w:rPr>
                <w:rFonts w:cs="Arial"/>
                <w:b/>
                <w:bCs/>
                <w:color w:val="000000"/>
                <w:sz w:val="20"/>
              </w:rPr>
            </w:pPr>
            <w:r w:rsidRPr="00DB0AC3">
              <w:rPr>
                <w:rFonts w:cs="Arial"/>
                <w:b/>
                <w:bCs/>
                <w:color w:val="000000"/>
                <w:sz w:val="20"/>
              </w:rPr>
              <w:t>31 декабря 2013</w:t>
            </w:r>
          </w:p>
        </w:tc>
      </w:tr>
      <w:tr w:rsidR="00DE469E" w:rsidRPr="00DB0AC3" w:rsidTr="00DE469E">
        <w:trPr>
          <w:trHeight w:val="300"/>
        </w:trPr>
        <w:tc>
          <w:tcPr>
            <w:tcW w:w="3085" w:type="dxa"/>
            <w:noWrap/>
            <w:vAlign w:val="bottom"/>
            <w:hideMark/>
          </w:tcPr>
          <w:p w:rsidR="00CF3EEF" w:rsidRPr="00DB0AC3" w:rsidRDefault="00CF3EEF" w:rsidP="005F69B3">
            <w:pPr>
              <w:rPr>
                <w:rFonts w:cs="Arial"/>
                <w:b/>
                <w:bCs/>
                <w:color w:val="000000"/>
                <w:sz w:val="20"/>
              </w:rPr>
            </w:pPr>
            <w:r w:rsidRPr="00DB0AC3">
              <w:rPr>
                <w:rFonts w:cs="Arial"/>
                <w:b/>
                <w:bCs/>
                <w:color w:val="000000"/>
                <w:sz w:val="20"/>
              </w:rPr>
              <w:t>Название</w:t>
            </w:r>
          </w:p>
        </w:tc>
        <w:tc>
          <w:tcPr>
            <w:tcW w:w="2410" w:type="dxa"/>
            <w:gridSpan w:val="2"/>
            <w:noWrap/>
            <w:vAlign w:val="bottom"/>
            <w:hideMark/>
          </w:tcPr>
          <w:p w:rsidR="00CF3EEF" w:rsidRPr="00DB0AC3" w:rsidRDefault="00CF3EEF" w:rsidP="005F69B3">
            <w:pPr>
              <w:rPr>
                <w:rFonts w:cs="Arial"/>
                <w:color w:val="000000"/>
                <w:sz w:val="20"/>
              </w:rPr>
            </w:pPr>
          </w:p>
        </w:tc>
        <w:tc>
          <w:tcPr>
            <w:tcW w:w="1331" w:type="dxa"/>
            <w:gridSpan w:val="2"/>
            <w:tcBorders>
              <w:top w:val="single" w:sz="4" w:space="0" w:color="auto"/>
            </w:tcBorders>
            <w:noWrap/>
            <w:vAlign w:val="bottom"/>
            <w:hideMark/>
          </w:tcPr>
          <w:p w:rsidR="00CF3EEF" w:rsidRPr="00DB0AC3" w:rsidRDefault="00CF3EEF" w:rsidP="005F69B3">
            <w:pPr>
              <w:jc w:val="center"/>
              <w:rPr>
                <w:rFonts w:cs="Arial"/>
                <w:b/>
                <w:bCs/>
                <w:color w:val="000000"/>
                <w:sz w:val="20"/>
              </w:rPr>
            </w:pPr>
            <w:r w:rsidRPr="00DB0AC3">
              <w:rPr>
                <w:rFonts w:cs="Arial"/>
                <w:b/>
                <w:bCs/>
                <w:color w:val="000000"/>
                <w:sz w:val="20"/>
              </w:rPr>
              <w:t>Сумма</w:t>
            </w:r>
          </w:p>
        </w:tc>
        <w:tc>
          <w:tcPr>
            <w:tcW w:w="1059" w:type="dxa"/>
            <w:gridSpan w:val="2"/>
            <w:tcBorders>
              <w:top w:val="single" w:sz="4" w:space="0" w:color="auto"/>
            </w:tcBorders>
            <w:noWrap/>
            <w:vAlign w:val="bottom"/>
            <w:hideMark/>
          </w:tcPr>
          <w:p w:rsidR="00CF3EEF" w:rsidRPr="00126C3B" w:rsidRDefault="00126C3B" w:rsidP="005F69B3">
            <w:pPr>
              <w:jc w:val="center"/>
              <w:rPr>
                <w:rFonts w:cs="Arial"/>
                <w:b/>
                <w:bCs/>
                <w:color w:val="000000"/>
                <w:sz w:val="20"/>
                <w:lang w:val="ru-RU"/>
              </w:rPr>
            </w:pPr>
            <w:r>
              <w:rPr>
                <w:rFonts w:cs="Arial"/>
                <w:b/>
                <w:bCs/>
                <w:color w:val="000000"/>
                <w:sz w:val="20"/>
                <w:lang w:val="ru-RU"/>
              </w:rPr>
              <w:t>Доля участия</w:t>
            </w:r>
            <w:r w:rsidR="00FB56F4">
              <w:rPr>
                <w:rFonts w:cs="Arial"/>
                <w:b/>
                <w:bCs/>
                <w:color w:val="000000"/>
                <w:sz w:val="20"/>
                <w:lang w:val="ru-RU"/>
              </w:rPr>
              <w:t>,</w:t>
            </w:r>
            <w:r>
              <w:rPr>
                <w:rFonts w:cs="Arial"/>
                <w:b/>
                <w:bCs/>
                <w:color w:val="000000"/>
                <w:sz w:val="20"/>
                <w:lang w:val="ru-RU"/>
              </w:rPr>
              <w:t xml:space="preserve"> (</w:t>
            </w:r>
            <w:r w:rsidR="00CF3EEF" w:rsidRPr="00DB0AC3">
              <w:rPr>
                <w:rFonts w:cs="Arial"/>
                <w:b/>
                <w:bCs/>
                <w:color w:val="000000"/>
                <w:sz w:val="20"/>
              </w:rPr>
              <w:t>%</w:t>
            </w:r>
            <w:r>
              <w:rPr>
                <w:rFonts w:cs="Arial"/>
                <w:b/>
                <w:bCs/>
                <w:color w:val="000000"/>
                <w:sz w:val="20"/>
                <w:lang w:val="ru-RU"/>
              </w:rPr>
              <w:t>)</w:t>
            </w:r>
          </w:p>
        </w:tc>
        <w:tc>
          <w:tcPr>
            <w:tcW w:w="879" w:type="dxa"/>
            <w:tcBorders>
              <w:top w:val="single" w:sz="4" w:space="0" w:color="auto"/>
            </w:tcBorders>
            <w:noWrap/>
            <w:vAlign w:val="bottom"/>
            <w:hideMark/>
          </w:tcPr>
          <w:p w:rsidR="00CF3EEF" w:rsidRPr="00DB0AC3" w:rsidRDefault="00CF3EEF" w:rsidP="005F69B3">
            <w:pPr>
              <w:jc w:val="center"/>
              <w:rPr>
                <w:rFonts w:cs="Arial"/>
                <w:b/>
                <w:bCs/>
                <w:color w:val="000000"/>
                <w:sz w:val="20"/>
              </w:rPr>
            </w:pPr>
            <w:r w:rsidRPr="00DB0AC3">
              <w:rPr>
                <w:rFonts w:cs="Arial"/>
                <w:b/>
                <w:bCs/>
                <w:color w:val="000000"/>
                <w:sz w:val="20"/>
              </w:rPr>
              <w:t>Сумма</w:t>
            </w:r>
          </w:p>
        </w:tc>
        <w:tc>
          <w:tcPr>
            <w:tcW w:w="1059" w:type="dxa"/>
            <w:tcBorders>
              <w:top w:val="single" w:sz="4" w:space="0" w:color="auto"/>
            </w:tcBorders>
            <w:noWrap/>
            <w:vAlign w:val="bottom"/>
            <w:hideMark/>
          </w:tcPr>
          <w:p w:rsidR="00CF3EEF" w:rsidRPr="00DB0AC3" w:rsidRDefault="00126C3B" w:rsidP="005F69B3">
            <w:pPr>
              <w:jc w:val="center"/>
              <w:rPr>
                <w:rFonts w:cs="Arial"/>
                <w:b/>
                <w:bCs/>
                <w:color w:val="000000"/>
                <w:sz w:val="20"/>
              </w:rPr>
            </w:pPr>
            <w:r>
              <w:rPr>
                <w:rFonts w:cs="Arial"/>
                <w:b/>
                <w:bCs/>
                <w:color w:val="000000"/>
                <w:sz w:val="20"/>
                <w:lang w:val="ru-RU"/>
              </w:rPr>
              <w:t>Доля участия</w:t>
            </w:r>
            <w:r w:rsidR="00FB56F4">
              <w:rPr>
                <w:rFonts w:cs="Arial"/>
                <w:b/>
                <w:bCs/>
                <w:color w:val="000000"/>
                <w:sz w:val="20"/>
                <w:lang w:val="ru-RU"/>
              </w:rPr>
              <w:t>,</w:t>
            </w:r>
            <w:r>
              <w:rPr>
                <w:rFonts w:cs="Arial"/>
                <w:b/>
                <w:bCs/>
                <w:color w:val="000000"/>
                <w:sz w:val="20"/>
                <w:lang w:val="ru-RU"/>
              </w:rPr>
              <w:t xml:space="preserve"> (</w:t>
            </w:r>
            <w:r w:rsidRPr="00DB0AC3">
              <w:rPr>
                <w:rFonts w:cs="Arial"/>
                <w:b/>
                <w:bCs/>
                <w:color w:val="000000"/>
                <w:sz w:val="20"/>
              </w:rPr>
              <w:t>%</w:t>
            </w:r>
            <w:r>
              <w:rPr>
                <w:rFonts w:cs="Arial"/>
                <w:b/>
                <w:bCs/>
                <w:color w:val="000000"/>
                <w:sz w:val="20"/>
                <w:lang w:val="ru-RU"/>
              </w:rPr>
              <w:t>)</w:t>
            </w:r>
          </w:p>
        </w:tc>
      </w:tr>
      <w:tr w:rsidR="00DE469E" w:rsidRPr="00DB0AC3" w:rsidTr="00DE469E">
        <w:trPr>
          <w:trHeight w:val="600"/>
        </w:trPr>
        <w:tc>
          <w:tcPr>
            <w:tcW w:w="3085" w:type="dxa"/>
            <w:noWrap/>
            <w:vAlign w:val="bottom"/>
            <w:hideMark/>
          </w:tcPr>
          <w:p w:rsidR="00CF3EEF" w:rsidRPr="00DB0AC3" w:rsidRDefault="00FB5FBC" w:rsidP="005F69B3">
            <w:pPr>
              <w:rPr>
                <w:rFonts w:cs="Arial"/>
                <w:color w:val="000000"/>
                <w:sz w:val="20"/>
                <w:lang w:val="ru-RU"/>
              </w:rPr>
            </w:pPr>
            <w:r w:rsidRPr="00DB0AC3">
              <w:rPr>
                <w:rFonts w:cs="Arial"/>
                <w:color w:val="000000"/>
                <w:sz w:val="20"/>
                <w:lang w:val="ru-RU"/>
              </w:rPr>
              <w:t>ОАО АКБ Северо-западный 1 Альянс Банк</w:t>
            </w:r>
          </w:p>
        </w:tc>
        <w:tc>
          <w:tcPr>
            <w:tcW w:w="2410" w:type="dxa"/>
            <w:gridSpan w:val="2"/>
            <w:vAlign w:val="bottom"/>
            <w:hideMark/>
          </w:tcPr>
          <w:p w:rsidR="00CF3EEF" w:rsidRPr="00DB0AC3" w:rsidRDefault="00CF3EEF" w:rsidP="005F69B3">
            <w:pPr>
              <w:rPr>
                <w:rFonts w:cs="Arial"/>
                <w:color w:val="000000"/>
                <w:sz w:val="20"/>
              </w:rPr>
            </w:pPr>
            <w:r w:rsidRPr="00DB0AC3">
              <w:rPr>
                <w:rFonts w:cs="Arial"/>
                <w:color w:val="000000"/>
                <w:sz w:val="20"/>
              </w:rPr>
              <w:t>Кредитная</w:t>
            </w:r>
            <w:r w:rsidR="00102A94">
              <w:rPr>
                <w:rFonts w:cs="Arial"/>
                <w:color w:val="000000"/>
                <w:sz w:val="20"/>
                <w:lang w:val="ru-RU"/>
              </w:rPr>
              <w:t xml:space="preserve"> </w:t>
            </w:r>
            <w:r w:rsidRPr="00DB0AC3">
              <w:rPr>
                <w:rFonts w:cs="Arial"/>
                <w:color w:val="000000"/>
                <w:sz w:val="20"/>
              </w:rPr>
              <w:t>организация</w:t>
            </w:r>
          </w:p>
        </w:tc>
        <w:tc>
          <w:tcPr>
            <w:tcW w:w="1331"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1</w:t>
            </w:r>
            <w:r w:rsidR="00FB5FBC" w:rsidRPr="00DB0AC3">
              <w:rPr>
                <w:rFonts w:cs="Arial"/>
                <w:color w:val="000000"/>
                <w:sz w:val="20"/>
                <w:lang w:val="ru-RU"/>
              </w:rPr>
              <w:t>23 3</w:t>
            </w:r>
            <w:r w:rsidRPr="00DB0AC3">
              <w:rPr>
                <w:rFonts w:cs="Arial"/>
                <w:color w:val="000000"/>
                <w:sz w:val="20"/>
              </w:rPr>
              <w:t>26</w:t>
            </w:r>
          </w:p>
        </w:tc>
        <w:tc>
          <w:tcPr>
            <w:tcW w:w="795"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25.00</w:t>
            </w:r>
          </w:p>
        </w:tc>
        <w:tc>
          <w:tcPr>
            <w:tcW w:w="1143"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156 526</w:t>
            </w:r>
          </w:p>
        </w:tc>
        <w:tc>
          <w:tcPr>
            <w:tcW w:w="1059"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25.00</w:t>
            </w:r>
          </w:p>
        </w:tc>
      </w:tr>
      <w:tr w:rsidR="00DE469E" w:rsidRPr="00DB0AC3" w:rsidTr="00DE469E">
        <w:trPr>
          <w:trHeight w:val="600"/>
        </w:trPr>
        <w:tc>
          <w:tcPr>
            <w:tcW w:w="3085" w:type="dxa"/>
            <w:noWrap/>
            <w:vAlign w:val="bottom"/>
            <w:hideMark/>
          </w:tcPr>
          <w:p w:rsidR="00CF3EEF" w:rsidRPr="00DB0AC3" w:rsidRDefault="00FB5FBC" w:rsidP="003D6F26">
            <w:pPr>
              <w:rPr>
                <w:rFonts w:cs="Arial"/>
                <w:color w:val="000000"/>
                <w:sz w:val="20"/>
                <w:lang w:val="ru-RU"/>
              </w:rPr>
            </w:pPr>
            <w:r w:rsidRPr="00DB0AC3">
              <w:rPr>
                <w:rFonts w:cs="Arial"/>
                <w:color w:val="000000"/>
                <w:sz w:val="20"/>
              </w:rPr>
              <w:t>ЗАО Страховая</w:t>
            </w:r>
            <w:r w:rsidR="00102A94">
              <w:rPr>
                <w:rFonts w:cs="Arial"/>
                <w:color w:val="000000"/>
                <w:sz w:val="20"/>
                <w:lang w:val="ru-RU"/>
              </w:rPr>
              <w:t xml:space="preserve"> </w:t>
            </w:r>
            <w:r w:rsidRPr="00DB0AC3">
              <w:rPr>
                <w:rFonts w:cs="Arial"/>
                <w:color w:val="000000"/>
                <w:sz w:val="20"/>
              </w:rPr>
              <w:t>компания "Авеста"</w:t>
            </w:r>
          </w:p>
        </w:tc>
        <w:tc>
          <w:tcPr>
            <w:tcW w:w="2410" w:type="dxa"/>
            <w:gridSpan w:val="2"/>
            <w:vAlign w:val="bottom"/>
            <w:hideMark/>
          </w:tcPr>
          <w:p w:rsidR="00CF3EEF" w:rsidRPr="00DB0AC3" w:rsidRDefault="00CF3EEF" w:rsidP="00DE469E">
            <w:pPr>
              <w:rPr>
                <w:rFonts w:cs="Arial"/>
                <w:color w:val="000000"/>
                <w:sz w:val="20"/>
              </w:rPr>
            </w:pPr>
            <w:r w:rsidRPr="00DB0AC3">
              <w:rPr>
                <w:rFonts w:cs="Arial"/>
                <w:color w:val="000000"/>
                <w:sz w:val="20"/>
              </w:rPr>
              <w:t>Страховая</w:t>
            </w:r>
            <w:r w:rsidR="00102A94">
              <w:rPr>
                <w:rFonts w:cs="Arial"/>
                <w:color w:val="000000"/>
                <w:sz w:val="20"/>
                <w:lang w:val="ru-RU"/>
              </w:rPr>
              <w:t xml:space="preserve"> </w:t>
            </w:r>
            <w:r w:rsidRPr="00DB0AC3">
              <w:rPr>
                <w:rFonts w:cs="Arial"/>
                <w:color w:val="000000"/>
                <w:sz w:val="20"/>
              </w:rPr>
              <w:t>компания</w:t>
            </w:r>
          </w:p>
        </w:tc>
        <w:tc>
          <w:tcPr>
            <w:tcW w:w="1331"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22 655</w:t>
            </w:r>
          </w:p>
        </w:tc>
        <w:tc>
          <w:tcPr>
            <w:tcW w:w="795"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19.98</w:t>
            </w:r>
          </w:p>
        </w:tc>
        <w:tc>
          <w:tcPr>
            <w:tcW w:w="1143"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22 655</w:t>
            </w:r>
          </w:p>
        </w:tc>
        <w:tc>
          <w:tcPr>
            <w:tcW w:w="1059"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19.98</w:t>
            </w:r>
          </w:p>
        </w:tc>
      </w:tr>
      <w:tr w:rsidR="00DE469E" w:rsidRPr="00DB0AC3" w:rsidTr="00DE469E">
        <w:trPr>
          <w:trHeight w:val="600"/>
        </w:trPr>
        <w:tc>
          <w:tcPr>
            <w:tcW w:w="3085" w:type="dxa"/>
            <w:noWrap/>
            <w:vAlign w:val="bottom"/>
            <w:hideMark/>
          </w:tcPr>
          <w:p w:rsidR="00CF3EEF" w:rsidRPr="00900BB8" w:rsidRDefault="00FB5FBC" w:rsidP="00900BB8">
            <w:pPr>
              <w:rPr>
                <w:rFonts w:cs="Arial"/>
                <w:color w:val="000000"/>
                <w:sz w:val="20"/>
                <w:lang w:val="ru-RU"/>
              </w:rPr>
            </w:pPr>
            <w:r w:rsidRPr="00900BB8">
              <w:rPr>
                <w:rFonts w:cs="Arial"/>
                <w:color w:val="000000"/>
                <w:sz w:val="20"/>
              </w:rPr>
              <w:t xml:space="preserve">ЗАО ИФК </w:t>
            </w:r>
            <w:r w:rsidR="00F3741F" w:rsidRPr="00900BB8">
              <w:rPr>
                <w:rFonts w:cs="Arial"/>
                <w:color w:val="000000"/>
                <w:sz w:val="20"/>
              </w:rPr>
              <w:t>"Четвертое</w:t>
            </w:r>
            <w:r w:rsidR="00F3741F" w:rsidRPr="00900BB8">
              <w:rPr>
                <w:rFonts w:cs="Arial"/>
                <w:color w:val="000000"/>
                <w:sz w:val="20"/>
                <w:lang w:val="ru-RU"/>
              </w:rPr>
              <w:t xml:space="preserve"> </w:t>
            </w:r>
            <w:r w:rsidR="00900BB8" w:rsidRPr="00900BB8">
              <w:rPr>
                <w:rFonts w:cs="Arial"/>
                <w:color w:val="000000"/>
                <w:sz w:val="20"/>
              </w:rPr>
              <w:t>изме</w:t>
            </w:r>
            <w:r w:rsidR="00900BB8" w:rsidRPr="00900BB8">
              <w:rPr>
                <w:rFonts w:cs="Arial"/>
                <w:color w:val="000000"/>
                <w:sz w:val="20"/>
                <w:lang w:val="ru-RU"/>
              </w:rPr>
              <w:t>р</w:t>
            </w:r>
            <w:r w:rsidR="00900BB8" w:rsidRPr="00900BB8">
              <w:rPr>
                <w:rFonts w:cs="Arial"/>
                <w:color w:val="000000"/>
                <w:sz w:val="20"/>
              </w:rPr>
              <w:t>ение</w:t>
            </w:r>
            <w:r w:rsidR="00900BB8" w:rsidRPr="00900BB8">
              <w:rPr>
                <w:rFonts w:cs="Arial"/>
                <w:color w:val="000000"/>
                <w:sz w:val="20"/>
                <w:lang w:val="ru-RU"/>
              </w:rPr>
              <w:t>»</w:t>
            </w:r>
          </w:p>
        </w:tc>
        <w:tc>
          <w:tcPr>
            <w:tcW w:w="2410" w:type="dxa"/>
            <w:gridSpan w:val="2"/>
            <w:vAlign w:val="bottom"/>
            <w:hideMark/>
          </w:tcPr>
          <w:p w:rsidR="00CF3EEF" w:rsidRPr="00900BB8" w:rsidRDefault="00CF3EEF" w:rsidP="005F69B3">
            <w:pPr>
              <w:rPr>
                <w:rFonts w:cs="Arial"/>
                <w:color w:val="000000"/>
                <w:sz w:val="20"/>
              </w:rPr>
            </w:pPr>
            <w:r w:rsidRPr="00900BB8">
              <w:rPr>
                <w:rFonts w:cs="Arial"/>
                <w:color w:val="000000"/>
                <w:sz w:val="20"/>
              </w:rPr>
              <w:t>Брокерская</w:t>
            </w:r>
            <w:r w:rsidR="00102A94" w:rsidRPr="00900BB8">
              <w:rPr>
                <w:rFonts w:cs="Arial"/>
                <w:color w:val="000000"/>
                <w:sz w:val="20"/>
                <w:lang w:val="ru-RU"/>
              </w:rPr>
              <w:t xml:space="preserve"> </w:t>
            </w:r>
            <w:r w:rsidRPr="00900BB8">
              <w:rPr>
                <w:rFonts w:cs="Arial"/>
                <w:color w:val="000000"/>
                <w:sz w:val="20"/>
              </w:rPr>
              <w:t>компания</w:t>
            </w:r>
          </w:p>
        </w:tc>
        <w:tc>
          <w:tcPr>
            <w:tcW w:w="1331" w:type="dxa"/>
            <w:gridSpan w:val="2"/>
            <w:noWrap/>
            <w:vAlign w:val="bottom"/>
            <w:hideMark/>
          </w:tcPr>
          <w:p w:rsidR="00AD3AD6" w:rsidRPr="00900BB8" w:rsidRDefault="00CF3EEF">
            <w:pPr>
              <w:jc w:val="right"/>
              <w:rPr>
                <w:rFonts w:eastAsia="Times New Roman" w:cs="Arial"/>
                <w:color w:val="000000"/>
                <w:sz w:val="20"/>
              </w:rPr>
            </w:pPr>
            <w:r w:rsidRPr="00900BB8">
              <w:rPr>
                <w:rFonts w:cs="Arial"/>
                <w:color w:val="000000"/>
                <w:sz w:val="20"/>
              </w:rPr>
              <w:t>14 010</w:t>
            </w:r>
          </w:p>
        </w:tc>
        <w:tc>
          <w:tcPr>
            <w:tcW w:w="795" w:type="dxa"/>
            <w:noWrap/>
            <w:vAlign w:val="bottom"/>
            <w:hideMark/>
          </w:tcPr>
          <w:p w:rsidR="00CF3EEF" w:rsidRPr="00900BB8" w:rsidRDefault="00CF3EEF" w:rsidP="00DE469E">
            <w:pPr>
              <w:jc w:val="right"/>
              <w:rPr>
                <w:rFonts w:cs="Arial"/>
                <w:color w:val="000000"/>
                <w:sz w:val="20"/>
              </w:rPr>
            </w:pPr>
            <w:r w:rsidRPr="00900BB8">
              <w:rPr>
                <w:rFonts w:cs="Arial"/>
                <w:color w:val="000000"/>
                <w:sz w:val="20"/>
              </w:rPr>
              <w:t>19.90</w:t>
            </w:r>
          </w:p>
        </w:tc>
        <w:tc>
          <w:tcPr>
            <w:tcW w:w="1143" w:type="dxa"/>
            <w:gridSpan w:val="2"/>
            <w:noWrap/>
            <w:vAlign w:val="bottom"/>
            <w:hideMark/>
          </w:tcPr>
          <w:p w:rsidR="00AD3AD6" w:rsidRPr="00900BB8" w:rsidRDefault="00CF3EEF">
            <w:pPr>
              <w:jc w:val="right"/>
              <w:rPr>
                <w:rFonts w:eastAsia="Times New Roman" w:cs="Arial"/>
                <w:color w:val="000000"/>
                <w:sz w:val="20"/>
              </w:rPr>
            </w:pPr>
            <w:r w:rsidRPr="00900BB8">
              <w:rPr>
                <w:rFonts w:cs="Arial"/>
                <w:color w:val="000000"/>
                <w:sz w:val="20"/>
              </w:rPr>
              <w:t>14 010</w:t>
            </w:r>
          </w:p>
        </w:tc>
        <w:tc>
          <w:tcPr>
            <w:tcW w:w="1059" w:type="dxa"/>
            <w:noWrap/>
            <w:vAlign w:val="bottom"/>
            <w:hideMark/>
          </w:tcPr>
          <w:p w:rsidR="00CF3EEF" w:rsidRPr="00DB0AC3" w:rsidRDefault="00CF3EEF" w:rsidP="00DE469E">
            <w:pPr>
              <w:jc w:val="right"/>
              <w:rPr>
                <w:rFonts w:cs="Arial"/>
                <w:color w:val="000000"/>
                <w:sz w:val="20"/>
              </w:rPr>
            </w:pPr>
            <w:r w:rsidRPr="00900BB8">
              <w:rPr>
                <w:rFonts w:cs="Arial"/>
                <w:color w:val="000000"/>
                <w:sz w:val="20"/>
              </w:rPr>
              <w:t>19.90</w:t>
            </w:r>
          </w:p>
        </w:tc>
      </w:tr>
      <w:tr w:rsidR="00DE469E" w:rsidRPr="00DB0AC3" w:rsidTr="00DE469E">
        <w:trPr>
          <w:trHeight w:val="630"/>
        </w:trPr>
        <w:tc>
          <w:tcPr>
            <w:tcW w:w="3085" w:type="dxa"/>
            <w:noWrap/>
            <w:vAlign w:val="bottom"/>
            <w:hideMark/>
          </w:tcPr>
          <w:p w:rsidR="00CF3EEF" w:rsidRPr="00DB0AC3" w:rsidRDefault="00FB5FBC" w:rsidP="005F69B3">
            <w:pPr>
              <w:rPr>
                <w:rFonts w:cs="Arial"/>
                <w:color w:val="000000"/>
                <w:sz w:val="20"/>
              </w:rPr>
            </w:pPr>
            <w:r w:rsidRPr="00DB0AC3">
              <w:rPr>
                <w:rFonts w:cs="Arial"/>
                <w:color w:val="000000"/>
                <w:sz w:val="20"/>
              </w:rPr>
              <w:t>ОАО "Иркутская</w:t>
            </w:r>
            <w:r w:rsidR="00102A94">
              <w:rPr>
                <w:rFonts w:cs="Arial"/>
                <w:color w:val="000000"/>
                <w:sz w:val="20"/>
                <w:lang w:val="ru-RU"/>
              </w:rPr>
              <w:t xml:space="preserve"> </w:t>
            </w:r>
            <w:r w:rsidRPr="00DB0AC3">
              <w:rPr>
                <w:rFonts w:cs="Arial"/>
                <w:color w:val="000000"/>
                <w:sz w:val="20"/>
              </w:rPr>
              <w:t>Электросетевая</w:t>
            </w:r>
            <w:r w:rsidR="00102A94">
              <w:rPr>
                <w:rFonts w:cs="Arial"/>
                <w:color w:val="000000"/>
                <w:sz w:val="20"/>
                <w:lang w:val="ru-RU"/>
              </w:rPr>
              <w:t xml:space="preserve"> </w:t>
            </w:r>
            <w:r w:rsidRPr="00DB0AC3">
              <w:rPr>
                <w:rFonts w:cs="Arial"/>
                <w:color w:val="000000"/>
                <w:sz w:val="20"/>
              </w:rPr>
              <w:t>Компания"</w:t>
            </w:r>
          </w:p>
        </w:tc>
        <w:tc>
          <w:tcPr>
            <w:tcW w:w="2410" w:type="dxa"/>
            <w:gridSpan w:val="2"/>
            <w:vAlign w:val="bottom"/>
            <w:hideMark/>
          </w:tcPr>
          <w:p w:rsidR="00CF3EEF" w:rsidRPr="00DB0AC3" w:rsidRDefault="00CF3EEF" w:rsidP="005F69B3">
            <w:pPr>
              <w:rPr>
                <w:rFonts w:cs="Arial"/>
                <w:color w:val="000000"/>
                <w:sz w:val="20"/>
              </w:rPr>
            </w:pPr>
            <w:r w:rsidRPr="00DB0AC3">
              <w:rPr>
                <w:rFonts w:cs="Arial"/>
                <w:color w:val="000000"/>
                <w:sz w:val="20"/>
              </w:rPr>
              <w:t>Передача</w:t>
            </w:r>
            <w:r w:rsidR="00102A94">
              <w:rPr>
                <w:rFonts w:cs="Arial"/>
                <w:color w:val="000000"/>
                <w:sz w:val="20"/>
                <w:lang w:val="ru-RU"/>
              </w:rPr>
              <w:t xml:space="preserve"> </w:t>
            </w:r>
            <w:r w:rsidRPr="00DB0AC3">
              <w:rPr>
                <w:rFonts w:cs="Arial"/>
                <w:color w:val="000000"/>
                <w:sz w:val="20"/>
              </w:rPr>
              <w:t>электроэнергии</w:t>
            </w:r>
          </w:p>
        </w:tc>
        <w:tc>
          <w:tcPr>
            <w:tcW w:w="1331" w:type="dxa"/>
            <w:gridSpan w:val="2"/>
            <w:noWrap/>
            <w:vAlign w:val="bottom"/>
            <w:hideMark/>
          </w:tcPr>
          <w:p w:rsidR="00AD3AD6" w:rsidRDefault="00FB5FBC">
            <w:pPr>
              <w:jc w:val="right"/>
              <w:rPr>
                <w:rFonts w:eastAsia="Times New Roman" w:cs="Arial"/>
                <w:color w:val="000000"/>
                <w:sz w:val="20"/>
                <w:lang w:val="ru-RU"/>
              </w:rPr>
            </w:pPr>
            <w:r w:rsidRPr="00DB0AC3">
              <w:rPr>
                <w:rFonts w:cs="Arial"/>
                <w:color w:val="000000"/>
                <w:sz w:val="20"/>
                <w:lang w:val="ru-RU"/>
              </w:rPr>
              <w:t>2 771</w:t>
            </w:r>
          </w:p>
        </w:tc>
        <w:tc>
          <w:tcPr>
            <w:tcW w:w="795"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0.01</w:t>
            </w:r>
          </w:p>
        </w:tc>
        <w:tc>
          <w:tcPr>
            <w:tcW w:w="1143"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1 431</w:t>
            </w:r>
          </w:p>
        </w:tc>
        <w:tc>
          <w:tcPr>
            <w:tcW w:w="1059"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0.01</w:t>
            </w:r>
          </w:p>
        </w:tc>
      </w:tr>
      <w:tr w:rsidR="00DE469E" w:rsidRPr="00DB0AC3" w:rsidTr="00DE469E">
        <w:trPr>
          <w:trHeight w:val="600"/>
        </w:trPr>
        <w:tc>
          <w:tcPr>
            <w:tcW w:w="3085" w:type="dxa"/>
            <w:noWrap/>
            <w:vAlign w:val="bottom"/>
            <w:hideMark/>
          </w:tcPr>
          <w:p w:rsidR="00CF3EEF" w:rsidRPr="00DB0AC3" w:rsidRDefault="00FB5FBC" w:rsidP="005F69B3">
            <w:pPr>
              <w:rPr>
                <w:rFonts w:cs="Arial"/>
                <w:color w:val="000000"/>
                <w:sz w:val="20"/>
              </w:rPr>
            </w:pPr>
            <w:r w:rsidRPr="00DB0AC3">
              <w:rPr>
                <w:rFonts w:cs="Arial"/>
                <w:color w:val="000000"/>
                <w:sz w:val="20"/>
              </w:rPr>
              <w:t>ОАО "ИХК-Пром"</w:t>
            </w:r>
          </w:p>
        </w:tc>
        <w:tc>
          <w:tcPr>
            <w:tcW w:w="2410" w:type="dxa"/>
            <w:gridSpan w:val="2"/>
            <w:vAlign w:val="bottom"/>
            <w:hideMark/>
          </w:tcPr>
          <w:p w:rsidR="00CF3EEF" w:rsidRPr="00DB0AC3" w:rsidRDefault="00CF3EEF" w:rsidP="005F69B3">
            <w:pPr>
              <w:rPr>
                <w:rFonts w:cs="Arial"/>
                <w:color w:val="000000"/>
                <w:sz w:val="20"/>
              </w:rPr>
            </w:pPr>
            <w:r w:rsidRPr="00DB0AC3">
              <w:rPr>
                <w:rFonts w:cs="Arial"/>
                <w:color w:val="000000"/>
                <w:sz w:val="20"/>
              </w:rPr>
              <w:t>Производство</w:t>
            </w:r>
            <w:r w:rsidR="00102A94">
              <w:rPr>
                <w:rFonts w:cs="Arial"/>
                <w:color w:val="000000"/>
                <w:sz w:val="20"/>
                <w:lang w:val="ru-RU"/>
              </w:rPr>
              <w:t xml:space="preserve"> </w:t>
            </w:r>
            <w:r w:rsidRPr="00DB0AC3">
              <w:rPr>
                <w:rFonts w:cs="Arial"/>
                <w:color w:val="000000"/>
                <w:sz w:val="20"/>
              </w:rPr>
              <w:t>хлеба</w:t>
            </w:r>
          </w:p>
        </w:tc>
        <w:tc>
          <w:tcPr>
            <w:tcW w:w="1331"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1 416</w:t>
            </w:r>
          </w:p>
        </w:tc>
        <w:tc>
          <w:tcPr>
            <w:tcW w:w="795"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3.90</w:t>
            </w:r>
          </w:p>
        </w:tc>
        <w:tc>
          <w:tcPr>
            <w:tcW w:w="1143" w:type="dxa"/>
            <w:gridSpan w:val="2"/>
            <w:noWrap/>
            <w:vAlign w:val="bottom"/>
            <w:hideMark/>
          </w:tcPr>
          <w:p w:rsidR="00AD3AD6" w:rsidRDefault="00CF3EEF">
            <w:pPr>
              <w:jc w:val="right"/>
              <w:rPr>
                <w:rFonts w:eastAsia="Times New Roman" w:cs="Arial"/>
                <w:color w:val="000000"/>
                <w:sz w:val="20"/>
              </w:rPr>
            </w:pPr>
            <w:r w:rsidRPr="00DB0AC3">
              <w:rPr>
                <w:rFonts w:cs="Arial"/>
                <w:color w:val="000000"/>
                <w:sz w:val="20"/>
              </w:rPr>
              <w:t>1 416</w:t>
            </w:r>
          </w:p>
        </w:tc>
        <w:tc>
          <w:tcPr>
            <w:tcW w:w="1059"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3.90</w:t>
            </w:r>
          </w:p>
        </w:tc>
      </w:tr>
      <w:tr w:rsidR="00DE469E" w:rsidRPr="00DB0AC3" w:rsidTr="00DE469E">
        <w:trPr>
          <w:trHeight w:val="900"/>
        </w:trPr>
        <w:tc>
          <w:tcPr>
            <w:tcW w:w="3085" w:type="dxa"/>
            <w:noWrap/>
            <w:vAlign w:val="bottom"/>
            <w:hideMark/>
          </w:tcPr>
          <w:p w:rsidR="00CF3EEF" w:rsidRPr="00DB0AC3" w:rsidRDefault="00CF3EEF" w:rsidP="005F69B3">
            <w:pPr>
              <w:rPr>
                <w:rFonts w:cs="Arial"/>
                <w:color w:val="000000"/>
                <w:sz w:val="20"/>
              </w:rPr>
            </w:pPr>
          </w:p>
        </w:tc>
        <w:tc>
          <w:tcPr>
            <w:tcW w:w="2410" w:type="dxa"/>
            <w:gridSpan w:val="2"/>
            <w:vAlign w:val="bottom"/>
            <w:hideMark/>
          </w:tcPr>
          <w:p w:rsidR="00CF3EEF" w:rsidRPr="00DB0AC3" w:rsidRDefault="00CF3EEF" w:rsidP="005F69B3">
            <w:pPr>
              <w:rPr>
                <w:rFonts w:cs="Arial"/>
                <w:color w:val="000000"/>
                <w:sz w:val="20"/>
              </w:rPr>
            </w:pPr>
            <w:r w:rsidRPr="00DB0AC3">
              <w:rPr>
                <w:rFonts w:cs="Arial"/>
                <w:color w:val="000000"/>
                <w:sz w:val="20"/>
              </w:rPr>
              <w:t>Оптовая</w:t>
            </w:r>
            <w:r w:rsidR="00102A94">
              <w:rPr>
                <w:rFonts w:cs="Arial"/>
                <w:color w:val="000000"/>
                <w:sz w:val="20"/>
                <w:lang w:val="ru-RU"/>
              </w:rPr>
              <w:t xml:space="preserve"> </w:t>
            </w:r>
            <w:r w:rsidRPr="00DB0AC3">
              <w:rPr>
                <w:rFonts w:cs="Arial"/>
                <w:color w:val="000000"/>
                <w:sz w:val="20"/>
              </w:rPr>
              <w:t>торговля</w:t>
            </w:r>
            <w:r w:rsidR="00102A94">
              <w:rPr>
                <w:rFonts w:cs="Arial"/>
                <w:color w:val="000000"/>
                <w:sz w:val="20"/>
                <w:lang w:val="ru-RU"/>
              </w:rPr>
              <w:t xml:space="preserve"> </w:t>
            </w:r>
            <w:r w:rsidRPr="00DB0AC3">
              <w:rPr>
                <w:rFonts w:cs="Arial"/>
                <w:color w:val="000000"/>
                <w:sz w:val="20"/>
              </w:rPr>
              <w:t>хлебом</w:t>
            </w:r>
          </w:p>
        </w:tc>
        <w:tc>
          <w:tcPr>
            <w:tcW w:w="1331" w:type="dxa"/>
            <w:gridSpan w:val="2"/>
            <w:tcBorders>
              <w:bottom w:val="single" w:sz="4" w:space="0" w:color="auto"/>
            </w:tcBorders>
            <w:noWrap/>
            <w:vAlign w:val="bottom"/>
            <w:hideMark/>
          </w:tcPr>
          <w:p w:rsidR="00AD3AD6" w:rsidRDefault="00CF3EEF">
            <w:pPr>
              <w:jc w:val="right"/>
              <w:rPr>
                <w:rFonts w:eastAsia="Times New Roman" w:cs="Arial"/>
                <w:color w:val="000000"/>
                <w:sz w:val="20"/>
              </w:rPr>
            </w:pPr>
            <w:r w:rsidRPr="00DB0AC3">
              <w:rPr>
                <w:rFonts w:cs="Arial"/>
                <w:color w:val="000000"/>
                <w:sz w:val="20"/>
              </w:rPr>
              <w:t>1 376</w:t>
            </w:r>
          </w:p>
        </w:tc>
        <w:tc>
          <w:tcPr>
            <w:tcW w:w="795"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3.91</w:t>
            </w:r>
          </w:p>
        </w:tc>
        <w:tc>
          <w:tcPr>
            <w:tcW w:w="1143" w:type="dxa"/>
            <w:gridSpan w:val="2"/>
            <w:tcBorders>
              <w:bottom w:val="single" w:sz="4" w:space="0" w:color="auto"/>
            </w:tcBorders>
            <w:noWrap/>
            <w:vAlign w:val="bottom"/>
            <w:hideMark/>
          </w:tcPr>
          <w:p w:rsidR="00AD3AD6" w:rsidRDefault="00CF3EEF">
            <w:pPr>
              <w:jc w:val="right"/>
              <w:rPr>
                <w:rFonts w:eastAsia="Times New Roman" w:cs="Arial"/>
                <w:color w:val="000000"/>
                <w:sz w:val="20"/>
              </w:rPr>
            </w:pPr>
            <w:r w:rsidRPr="00DB0AC3">
              <w:rPr>
                <w:rFonts w:cs="Arial"/>
                <w:color w:val="000000"/>
                <w:sz w:val="20"/>
              </w:rPr>
              <w:t>1 376</w:t>
            </w:r>
          </w:p>
        </w:tc>
        <w:tc>
          <w:tcPr>
            <w:tcW w:w="1059" w:type="dxa"/>
            <w:noWrap/>
            <w:vAlign w:val="bottom"/>
            <w:hideMark/>
          </w:tcPr>
          <w:p w:rsidR="00CF3EEF" w:rsidRPr="00DB0AC3" w:rsidRDefault="00CF3EEF" w:rsidP="00DE469E">
            <w:pPr>
              <w:jc w:val="right"/>
              <w:rPr>
                <w:rFonts w:cs="Arial"/>
                <w:color w:val="000000"/>
                <w:sz w:val="20"/>
              </w:rPr>
            </w:pPr>
            <w:r w:rsidRPr="00DB0AC3">
              <w:rPr>
                <w:rFonts w:cs="Arial"/>
                <w:color w:val="000000"/>
                <w:sz w:val="20"/>
              </w:rPr>
              <w:t>3.91</w:t>
            </w:r>
          </w:p>
        </w:tc>
      </w:tr>
      <w:tr w:rsidR="00FB56F4" w:rsidRPr="00DB0AC3" w:rsidTr="00DE469E">
        <w:trPr>
          <w:trHeight w:val="315"/>
        </w:trPr>
        <w:tc>
          <w:tcPr>
            <w:tcW w:w="3641" w:type="dxa"/>
            <w:gridSpan w:val="2"/>
            <w:noWrap/>
            <w:hideMark/>
          </w:tcPr>
          <w:p w:rsidR="00CF3EEF" w:rsidRPr="00DB0AC3" w:rsidRDefault="00CF3EEF" w:rsidP="005F69B3">
            <w:pPr>
              <w:rPr>
                <w:rFonts w:cs="Arial"/>
                <w:color w:val="000000"/>
                <w:sz w:val="20"/>
                <w:lang w:val="ru-RU"/>
              </w:rPr>
            </w:pPr>
          </w:p>
        </w:tc>
        <w:tc>
          <w:tcPr>
            <w:tcW w:w="1854" w:type="dxa"/>
            <w:noWrap/>
            <w:hideMark/>
          </w:tcPr>
          <w:p w:rsidR="00CF3EEF" w:rsidRPr="00DB0AC3" w:rsidRDefault="00CF3EEF" w:rsidP="005F69B3">
            <w:pPr>
              <w:rPr>
                <w:rFonts w:cs="Arial"/>
                <w:color w:val="000000"/>
                <w:sz w:val="20"/>
                <w:lang w:val="ru-RU"/>
              </w:rPr>
            </w:pPr>
          </w:p>
        </w:tc>
        <w:tc>
          <w:tcPr>
            <w:tcW w:w="1331" w:type="dxa"/>
            <w:gridSpan w:val="2"/>
            <w:tcBorders>
              <w:top w:val="single" w:sz="4" w:space="0" w:color="auto"/>
              <w:bottom w:val="double" w:sz="4" w:space="0" w:color="auto"/>
            </w:tcBorders>
            <w:noWrap/>
            <w:vAlign w:val="bottom"/>
            <w:hideMark/>
          </w:tcPr>
          <w:p w:rsidR="00AD3AD6" w:rsidRDefault="00DA2245">
            <w:pPr>
              <w:jc w:val="right"/>
              <w:rPr>
                <w:rFonts w:eastAsia="Times New Roman" w:cs="Arial"/>
                <w:b/>
                <w:bCs/>
                <w:color w:val="000000"/>
                <w:sz w:val="20"/>
                <w:lang w:val="ru-RU"/>
              </w:rPr>
            </w:pPr>
            <w:r w:rsidRPr="00DB0AC3">
              <w:rPr>
                <w:rFonts w:cs="Arial"/>
                <w:b/>
                <w:bCs/>
                <w:color w:val="000000"/>
                <w:sz w:val="20"/>
                <w:lang w:val="ru-RU"/>
              </w:rPr>
              <w:t>165 554</w:t>
            </w:r>
          </w:p>
        </w:tc>
        <w:tc>
          <w:tcPr>
            <w:tcW w:w="795" w:type="dxa"/>
            <w:noWrap/>
            <w:vAlign w:val="bottom"/>
            <w:hideMark/>
          </w:tcPr>
          <w:p w:rsidR="00AD3AD6" w:rsidRDefault="00AD3AD6">
            <w:pPr>
              <w:jc w:val="right"/>
              <w:rPr>
                <w:rFonts w:eastAsia="Times New Roman" w:cs="Arial"/>
                <w:b/>
                <w:i/>
                <w:color w:val="000000"/>
                <w:sz w:val="20"/>
              </w:rPr>
            </w:pPr>
          </w:p>
        </w:tc>
        <w:tc>
          <w:tcPr>
            <w:tcW w:w="1143" w:type="dxa"/>
            <w:gridSpan w:val="2"/>
            <w:tcBorders>
              <w:top w:val="single" w:sz="4" w:space="0" w:color="auto"/>
              <w:bottom w:val="double" w:sz="4" w:space="0" w:color="auto"/>
            </w:tcBorders>
            <w:noWrap/>
            <w:vAlign w:val="bottom"/>
            <w:hideMark/>
          </w:tcPr>
          <w:p w:rsidR="00AD3AD6" w:rsidRDefault="00CF3EEF">
            <w:pPr>
              <w:jc w:val="right"/>
              <w:rPr>
                <w:rFonts w:eastAsia="Times New Roman" w:cs="Arial"/>
                <w:b/>
                <w:bCs/>
                <w:color w:val="000000"/>
                <w:sz w:val="20"/>
              </w:rPr>
            </w:pPr>
            <w:r w:rsidRPr="00DB0AC3">
              <w:rPr>
                <w:rFonts w:cs="Arial"/>
                <w:b/>
                <w:bCs/>
                <w:color w:val="000000"/>
                <w:sz w:val="20"/>
              </w:rPr>
              <w:t>197 414</w:t>
            </w:r>
          </w:p>
        </w:tc>
        <w:tc>
          <w:tcPr>
            <w:tcW w:w="1059" w:type="dxa"/>
            <w:noWrap/>
            <w:vAlign w:val="bottom"/>
            <w:hideMark/>
          </w:tcPr>
          <w:p w:rsidR="00CF3EEF" w:rsidRPr="00DB0AC3" w:rsidRDefault="00CF3EEF" w:rsidP="005F69B3">
            <w:pPr>
              <w:rPr>
                <w:rFonts w:cs="Arial"/>
                <w:color w:val="000000"/>
                <w:sz w:val="20"/>
              </w:rPr>
            </w:pPr>
          </w:p>
        </w:tc>
      </w:tr>
    </w:tbl>
    <w:p w:rsidR="00FD65C6" w:rsidRPr="00DB0AC3" w:rsidRDefault="00FD65C6" w:rsidP="00CF3EEF">
      <w:pPr>
        <w:pStyle w:val="210"/>
        <w:shd w:val="clear" w:color="auto" w:fill="auto"/>
        <w:spacing w:line="221" w:lineRule="exact"/>
        <w:ind w:firstLine="0"/>
        <w:rPr>
          <w:rFonts w:eastAsia="SimSun"/>
          <w:b w:val="0"/>
          <w:sz w:val="20"/>
          <w:szCs w:val="20"/>
        </w:rPr>
      </w:pPr>
    </w:p>
    <w:p w:rsidR="00CF3EEF" w:rsidRPr="00DB0AC3" w:rsidRDefault="00CF3EEF" w:rsidP="00CF3EEF">
      <w:pPr>
        <w:pStyle w:val="210"/>
        <w:shd w:val="clear" w:color="auto" w:fill="auto"/>
        <w:spacing w:line="221" w:lineRule="exact"/>
        <w:ind w:firstLine="0"/>
        <w:rPr>
          <w:rFonts w:eastAsia="SimSun"/>
          <w:b w:val="0"/>
          <w:sz w:val="20"/>
          <w:szCs w:val="20"/>
        </w:rPr>
      </w:pPr>
      <w:r w:rsidRPr="00DB0AC3">
        <w:rPr>
          <w:rFonts w:eastAsia="SimSun"/>
          <w:b w:val="0"/>
          <w:sz w:val="20"/>
          <w:szCs w:val="20"/>
        </w:rPr>
        <w:t>Ниже представлена обобщенная финансовая информация об ассоциированной компании (Северо-Западный 1 Альянс Банк ОАО), которая не учитывается по методу долевого участия:</w:t>
      </w:r>
    </w:p>
    <w:p w:rsidR="00CF3EEF" w:rsidRPr="00DB0AC3" w:rsidRDefault="00CF3EEF" w:rsidP="00CF3EEF">
      <w:pPr>
        <w:pStyle w:val="210"/>
        <w:shd w:val="clear" w:color="auto" w:fill="auto"/>
        <w:spacing w:line="221" w:lineRule="exact"/>
        <w:ind w:firstLine="0"/>
        <w:rPr>
          <w:rFonts w:eastAsia="SimSun"/>
          <w:b w:val="0"/>
          <w:sz w:val="20"/>
          <w:szCs w:val="20"/>
        </w:rPr>
      </w:pPr>
    </w:p>
    <w:tbl>
      <w:tblPr>
        <w:tblStyle w:val="af7"/>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80"/>
        <w:gridCol w:w="3341"/>
        <w:gridCol w:w="1843"/>
      </w:tblGrid>
      <w:tr w:rsidR="00CF3EEF" w:rsidRPr="00DB0AC3" w:rsidTr="005F69B3">
        <w:trPr>
          <w:trHeight w:val="300"/>
        </w:trPr>
        <w:tc>
          <w:tcPr>
            <w:tcW w:w="4280" w:type="dxa"/>
            <w:noWrap/>
            <w:hideMark/>
          </w:tcPr>
          <w:p w:rsidR="00CF3EEF" w:rsidRPr="00DB0AC3" w:rsidRDefault="00CF3EEF" w:rsidP="005F69B3">
            <w:pPr>
              <w:rPr>
                <w:rFonts w:cs="Arial"/>
                <w:color w:val="000000"/>
                <w:sz w:val="20"/>
                <w:lang w:val="ru-RU"/>
              </w:rPr>
            </w:pPr>
          </w:p>
        </w:tc>
        <w:tc>
          <w:tcPr>
            <w:tcW w:w="3341" w:type="dxa"/>
            <w:tcBorders>
              <w:bottom w:val="single" w:sz="4" w:space="0" w:color="auto"/>
            </w:tcBorders>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31 декабря 2014</w:t>
            </w:r>
          </w:p>
        </w:tc>
        <w:tc>
          <w:tcPr>
            <w:tcW w:w="1843" w:type="dxa"/>
            <w:tcBorders>
              <w:bottom w:val="single" w:sz="4" w:space="0" w:color="auto"/>
            </w:tcBorders>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31 декабря 2013</w:t>
            </w:r>
          </w:p>
        </w:tc>
      </w:tr>
      <w:tr w:rsidR="00CF3EEF" w:rsidRPr="00DB0AC3" w:rsidTr="005F69B3">
        <w:trPr>
          <w:trHeight w:val="300"/>
        </w:trPr>
        <w:tc>
          <w:tcPr>
            <w:tcW w:w="4280" w:type="dxa"/>
            <w:noWrap/>
            <w:hideMark/>
          </w:tcPr>
          <w:p w:rsidR="00CF3EEF" w:rsidRPr="00DB0AC3" w:rsidRDefault="00CF3EEF" w:rsidP="005F69B3">
            <w:pPr>
              <w:rPr>
                <w:rFonts w:cs="Arial"/>
                <w:color w:val="000000"/>
                <w:sz w:val="20"/>
                <w:lang w:val="ru-RU"/>
              </w:rPr>
            </w:pPr>
            <w:r w:rsidRPr="00DB0AC3">
              <w:rPr>
                <w:rFonts w:cs="Arial"/>
                <w:color w:val="000000"/>
                <w:sz w:val="20"/>
                <w:lang w:val="ru-RU"/>
              </w:rPr>
              <w:t>Всего активов  на 31 декабря</w:t>
            </w:r>
          </w:p>
        </w:tc>
        <w:tc>
          <w:tcPr>
            <w:tcW w:w="3341" w:type="dxa"/>
            <w:tcBorders>
              <w:top w:val="single" w:sz="4" w:space="0" w:color="auto"/>
            </w:tcBorders>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3 064 376</w:t>
            </w:r>
          </w:p>
        </w:tc>
        <w:tc>
          <w:tcPr>
            <w:tcW w:w="1843" w:type="dxa"/>
            <w:tcBorders>
              <w:top w:val="single" w:sz="4" w:space="0" w:color="auto"/>
            </w:tcBorders>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3613778</w:t>
            </w:r>
          </w:p>
        </w:tc>
      </w:tr>
      <w:tr w:rsidR="00CF3EEF" w:rsidRPr="00DB0AC3" w:rsidTr="005F69B3">
        <w:trPr>
          <w:trHeight w:val="300"/>
        </w:trPr>
        <w:tc>
          <w:tcPr>
            <w:tcW w:w="4280" w:type="dxa"/>
            <w:noWrap/>
            <w:hideMark/>
          </w:tcPr>
          <w:p w:rsidR="00CF3EEF" w:rsidRPr="00DB0AC3" w:rsidRDefault="00CF3EEF" w:rsidP="005F69B3">
            <w:pPr>
              <w:rPr>
                <w:rFonts w:cs="Arial"/>
                <w:color w:val="000000"/>
                <w:sz w:val="20"/>
                <w:lang w:val="ru-RU"/>
              </w:rPr>
            </w:pPr>
            <w:r w:rsidRPr="00DB0AC3">
              <w:rPr>
                <w:rFonts w:cs="Arial"/>
                <w:color w:val="000000"/>
                <w:sz w:val="20"/>
                <w:lang w:val="ru-RU"/>
              </w:rPr>
              <w:t>Всего обязательств на 31 декабря</w:t>
            </w:r>
          </w:p>
        </w:tc>
        <w:tc>
          <w:tcPr>
            <w:tcW w:w="3341" w:type="dxa"/>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2 657 551</w:t>
            </w:r>
          </w:p>
        </w:tc>
        <w:tc>
          <w:tcPr>
            <w:tcW w:w="1843" w:type="dxa"/>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3108204</w:t>
            </w:r>
          </w:p>
        </w:tc>
      </w:tr>
      <w:tr w:rsidR="00CF3EEF" w:rsidRPr="00DB0AC3" w:rsidTr="005F69B3">
        <w:trPr>
          <w:trHeight w:val="300"/>
        </w:trPr>
        <w:tc>
          <w:tcPr>
            <w:tcW w:w="4280" w:type="dxa"/>
            <w:noWrap/>
            <w:hideMark/>
          </w:tcPr>
          <w:p w:rsidR="00CF3EEF" w:rsidRPr="00DB0AC3" w:rsidRDefault="00CF3EEF" w:rsidP="005F69B3">
            <w:pPr>
              <w:rPr>
                <w:rFonts w:cs="Arial"/>
                <w:color w:val="000000"/>
                <w:sz w:val="20"/>
                <w:lang w:val="ru-RU"/>
              </w:rPr>
            </w:pPr>
            <w:r w:rsidRPr="00DB0AC3">
              <w:rPr>
                <w:rFonts w:cs="Arial"/>
                <w:color w:val="000000"/>
                <w:sz w:val="20"/>
                <w:lang w:val="ru-RU"/>
              </w:rPr>
              <w:t>Доходы за отчетный период</w:t>
            </w:r>
          </w:p>
        </w:tc>
        <w:tc>
          <w:tcPr>
            <w:tcW w:w="3341" w:type="dxa"/>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(72 449)</w:t>
            </w:r>
          </w:p>
        </w:tc>
        <w:tc>
          <w:tcPr>
            <w:tcW w:w="1843" w:type="dxa"/>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305185</w:t>
            </w:r>
          </w:p>
        </w:tc>
      </w:tr>
      <w:tr w:rsidR="00CF3EEF" w:rsidRPr="00DB0AC3" w:rsidTr="005F69B3">
        <w:trPr>
          <w:trHeight w:val="300"/>
        </w:trPr>
        <w:tc>
          <w:tcPr>
            <w:tcW w:w="4280" w:type="dxa"/>
            <w:noWrap/>
            <w:hideMark/>
          </w:tcPr>
          <w:p w:rsidR="00CF3EEF" w:rsidRPr="00DB0AC3" w:rsidRDefault="00CF3EEF" w:rsidP="005F69B3">
            <w:pPr>
              <w:rPr>
                <w:rFonts w:cs="Arial"/>
                <w:color w:val="000000"/>
                <w:sz w:val="20"/>
                <w:lang w:val="ru-RU"/>
              </w:rPr>
            </w:pPr>
            <w:r w:rsidRPr="00DB0AC3">
              <w:rPr>
                <w:rFonts w:cs="Arial"/>
                <w:color w:val="000000"/>
                <w:sz w:val="20"/>
                <w:lang w:val="ru-RU"/>
              </w:rPr>
              <w:t>Чистая прибыль после налогообложения</w:t>
            </w:r>
          </w:p>
        </w:tc>
        <w:tc>
          <w:tcPr>
            <w:tcW w:w="3341" w:type="dxa"/>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(62 555)</w:t>
            </w:r>
          </w:p>
        </w:tc>
        <w:tc>
          <w:tcPr>
            <w:tcW w:w="1843" w:type="dxa"/>
            <w:noWrap/>
            <w:hideMark/>
          </w:tcPr>
          <w:p w:rsidR="008E3EDA" w:rsidRPr="00DB0AC3" w:rsidRDefault="00CF3EEF">
            <w:pPr>
              <w:jc w:val="right"/>
              <w:rPr>
                <w:rFonts w:eastAsia="Times New Roman" w:cs="Arial"/>
                <w:b/>
                <w:bCs/>
                <w:color w:val="000000"/>
                <w:sz w:val="20"/>
                <w:lang w:val="ru-RU"/>
              </w:rPr>
            </w:pPr>
            <w:r w:rsidRPr="00DB0AC3">
              <w:rPr>
                <w:rFonts w:cs="Arial"/>
                <w:color w:val="000000"/>
                <w:sz w:val="20"/>
                <w:lang w:val="ru-RU"/>
              </w:rPr>
              <w:t>23568</w:t>
            </w:r>
          </w:p>
        </w:tc>
      </w:tr>
    </w:tbl>
    <w:p w:rsidR="00CF3EEF" w:rsidRPr="00DB0AC3" w:rsidRDefault="00CF3EEF" w:rsidP="00CF3EEF">
      <w:pPr>
        <w:pStyle w:val="210"/>
        <w:shd w:val="clear" w:color="auto" w:fill="auto"/>
        <w:spacing w:line="221" w:lineRule="exact"/>
        <w:ind w:firstLine="0"/>
        <w:rPr>
          <w:rFonts w:eastAsia="SimSun"/>
          <w:b w:val="0"/>
          <w:bCs w:val="0"/>
          <w:color w:val="000000"/>
          <w:sz w:val="20"/>
          <w:szCs w:val="20"/>
        </w:rPr>
      </w:pPr>
    </w:p>
    <w:p w:rsidR="00CF3EEF" w:rsidRPr="00DB0AC3" w:rsidRDefault="00CF3EEF" w:rsidP="00CF3EEF">
      <w:pPr>
        <w:pStyle w:val="210"/>
        <w:shd w:val="clear" w:color="auto" w:fill="auto"/>
        <w:spacing w:line="221" w:lineRule="exact"/>
        <w:ind w:firstLine="0"/>
        <w:rPr>
          <w:rFonts w:eastAsia="SimSun"/>
          <w:b w:val="0"/>
          <w:sz w:val="20"/>
          <w:szCs w:val="20"/>
        </w:rPr>
      </w:pPr>
      <w:r w:rsidRPr="00DB0AC3">
        <w:rPr>
          <w:rFonts w:eastAsia="SimSun"/>
          <w:b w:val="0"/>
          <w:sz w:val="20"/>
          <w:szCs w:val="20"/>
        </w:rPr>
        <w:t>Доли участия в прочих компаниях представлены следующим образом:</w:t>
      </w:r>
    </w:p>
    <w:p w:rsidR="00CF3EEF" w:rsidRPr="00DB0AC3" w:rsidRDefault="00CF3EEF" w:rsidP="00CF3EEF">
      <w:pPr>
        <w:pStyle w:val="210"/>
        <w:shd w:val="clear" w:color="auto" w:fill="auto"/>
        <w:spacing w:line="221" w:lineRule="exact"/>
        <w:ind w:firstLine="0"/>
        <w:rPr>
          <w:rFonts w:eastAsia="SimSun"/>
          <w:b w:val="0"/>
          <w:sz w:val="20"/>
          <w:szCs w:val="20"/>
        </w:rPr>
      </w:pPr>
    </w:p>
    <w:tbl>
      <w:tblPr>
        <w:tblW w:w="5000" w:type="pct"/>
        <w:tblLook w:val="04A0"/>
      </w:tblPr>
      <w:tblGrid>
        <w:gridCol w:w="2325"/>
        <w:gridCol w:w="1982"/>
        <w:gridCol w:w="994"/>
        <w:gridCol w:w="1801"/>
        <w:gridCol w:w="920"/>
        <w:gridCol w:w="1801"/>
      </w:tblGrid>
      <w:tr w:rsidR="00CF3EEF" w:rsidRPr="00DB0AC3" w:rsidTr="005F69B3">
        <w:trPr>
          <w:trHeight w:val="600"/>
        </w:trPr>
        <w:tc>
          <w:tcPr>
            <w:tcW w:w="1180" w:type="pct"/>
            <w:tcBorders>
              <w:bottom w:val="single" w:sz="4" w:space="0" w:color="auto"/>
            </w:tcBorders>
            <w:shd w:val="clear" w:color="auto" w:fill="auto"/>
            <w:noWrap/>
            <w:vAlign w:val="bottom"/>
            <w:hideMark/>
          </w:tcPr>
          <w:p w:rsidR="00CF3EEF" w:rsidRPr="00DB0AC3" w:rsidRDefault="00CF3EEF" w:rsidP="005F69B3">
            <w:pPr>
              <w:rPr>
                <w:rFonts w:cs="Arial"/>
                <w:b/>
                <w:bCs/>
                <w:color w:val="000000"/>
                <w:sz w:val="20"/>
                <w:lang w:val="ru-RU"/>
              </w:rPr>
            </w:pPr>
            <w:r w:rsidRPr="00DB0AC3">
              <w:rPr>
                <w:rFonts w:cs="Arial"/>
                <w:b/>
                <w:bCs/>
                <w:color w:val="000000"/>
                <w:sz w:val="20"/>
                <w:lang w:val="ru-RU"/>
              </w:rPr>
              <w:t>Название</w:t>
            </w:r>
          </w:p>
        </w:tc>
        <w:tc>
          <w:tcPr>
            <w:tcW w:w="1320" w:type="pct"/>
            <w:tcBorders>
              <w:bottom w:val="single" w:sz="4" w:space="0" w:color="auto"/>
            </w:tcBorders>
            <w:shd w:val="clear" w:color="auto" w:fill="auto"/>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Вид деятельности</w:t>
            </w:r>
          </w:p>
        </w:tc>
        <w:tc>
          <w:tcPr>
            <w:tcW w:w="1308" w:type="pct"/>
            <w:gridSpan w:val="2"/>
            <w:tcBorders>
              <w:bottom w:val="single" w:sz="4" w:space="0" w:color="auto"/>
            </w:tcBorders>
            <w:shd w:val="clear" w:color="auto" w:fill="auto"/>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31 декабря 2014</w:t>
            </w:r>
          </w:p>
        </w:tc>
        <w:tc>
          <w:tcPr>
            <w:tcW w:w="1192" w:type="pct"/>
            <w:gridSpan w:val="2"/>
            <w:tcBorders>
              <w:bottom w:val="single" w:sz="4" w:space="0" w:color="auto"/>
            </w:tcBorders>
            <w:shd w:val="clear" w:color="auto" w:fill="auto"/>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31 декабря 2013</w:t>
            </w:r>
          </w:p>
        </w:tc>
      </w:tr>
      <w:tr w:rsidR="00FB56F4" w:rsidRPr="00DB0AC3" w:rsidTr="005F69B3">
        <w:trPr>
          <w:trHeight w:val="300"/>
        </w:trPr>
        <w:tc>
          <w:tcPr>
            <w:tcW w:w="1180" w:type="pct"/>
            <w:tcBorders>
              <w:top w:val="single" w:sz="4" w:space="0" w:color="auto"/>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 </w:t>
            </w:r>
          </w:p>
        </w:tc>
        <w:tc>
          <w:tcPr>
            <w:tcW w:w="1320" w:type="pct"/>
            <w:tcBorders>
              <w:top w:val="single" w:sz="4" w:space="0" w:color="auto"/>
            </w:tcBorders>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 </w:t>
            </w:r>
          </w:p>
        </w:tc>
        <w:tc>
          <w:tcPr>
            <w:tcW w:w="817" w:type="pct"/>
            <w:tcBorders>
              <w:top w:val="single" w:sz="4" w:space="0" w:color="auto"/>
              <w:bottom w:val="single" w:sz="4" w:space="0" w:color="auto"/>
            </w:tcBorders>
            <w:shd w:val="clear" w:color="auto" w:fill="auto"/>
            <w:noWrap/>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Сумма</w:t>
            </w:r>
          </w:p>
        </w:tc>
        <w:tc>
          <w:tcPr>
            <w:tcW w:w="491" w:type="pct"/>
            <w:tcBorders>
              <w:top w:val="single" w:sz="4" w:space="0" w:color="auto"/>
              <w:bottom w:val="single" w:sz="4" w:space="0" w:color="auto"/>
            </w:tcBorders>
            <w:shd w:val="clear" w:color="auto" w:fill="auto"/>
            <w:noWrap/>
            <w:vAlign w:val="bottom"/>
            <w:hideMark/>
          </w:tcPr>
          <w:p w:rsidR="00CF3EEF" w:rsidRPr="00DB0AC3" w:rsidRDefault="00FB56F4" w:rsidP="005F69B3">
            <w:pPr>
              <w:jc w:val="center"/>
              <w:rPr>
                <w:rFonts w:cs="Arial"/>
                <w:b/>
                <w:bCs/>
                <w:color w:val="000000"/>
                <w:sz w:val="20"/>
                <w:lang w:val="ru-RU"/>
              </w:rPr>
            </w:pPr>
            <w:r>
              <w:rPr>
                <w:rFonts w:cs="Arial"/>
                <w:b/>
                <w:bCs/>
                <w:color w:val="000000"/>
                <w:sz w:val="20"/>
                <w:lang w:val="ru-RU"/>
              </w:rPr>
              <w:t>Доля участия,</w:t>
            </w:r>
            <w:r w:rsidR="00CF3EEF" w:rsidRPr="00DB0AC3">
              <w:rPr>
                <w:rFonts w:cs="Arial"/>
                <w:b/>
                <w:bCs/>
                <w:color w:val="000000"/>
                <w:sz w:val="20"/>
                <w:lang w:val="ru-RU"/>
              </w:rPr>
              <w:t>%</w:t>
            </w:r>
          </w:p>
        </w:tc>
        <w:tc>
          <w:tcPr>
            <w:tcW w:w="779" w:type="pct"/>
            <w:tcBorders>
              <w:top w:val="single" w:sz="4" w:space="0" w:color="auto"/>
              <w:bottom w:val="single" w:sz="4" w:space="0" w:color="auto"/>
            </w:tcBorders>
            <w:shd w:val="clear" w:color="auto" w:fill="auto"/>
            <w:noWrap/>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Сумма</w:t>
            </w:r>
          </w:p>
        </w:tc>
        <w:tc>
          <w:tcPr>
            <w:tcW w:w="413" w:type="pct"/>
            <w:tcBorders>
              <w:top w:val="single" w:sz="4" w:space="0" w:color="auto"/>
              <w:bottom w:val="single" w:sz="4" w:space="0" w:color="auto"/>
            </w:tcBorders>
            <w:shd w:val="clear" w:color="auto" w:fill="auto"/>
            <w:noWrap/>
            <w:vAlign w:val="bottom"/>
            <w:hideMark/>
          </w:tcPr>
          <w:p w:rsidR="00CF3EEF" w:rsidRPr="00DB0AC3" w:rsidRDefault="00FB56F4" w:rsidP="005F69B3">
            <w:pPr>
              <w:jc w:val="center"/>
              <w:rPr>
                <w:rFonts w:cs="Arial"/>
                <w:b/>
                <w:bCs/>
                <w:color w:val="000000"/>
                <w:sz w:val="20"/>
                <w:lang w:val="ru-RU"/>
              </w:rPr>
            </w:pPr>
            <w:r>
              <w:rPr>
                <w:rFonts w:cs="Arial"/>
                <w:b/>
                <w:bCs/>
                <w:color w:val="000000"/>
                <w:sz w:val="20"/>
                <w:lang w:val="ru-RU"/>
              </w:rPr>
              <w:t>Доля участия,</w:t>
            </w:r>
            <w:r w:rsidR="00CF3EEF" w:rsidRPr="00DB0AC3">
              <w:rPr>
                <w:rFonts w:cs="Arial"/>
                <w:b/>
                <w:bCs/>
                <w:color w:val="000000"/>
                <w:sz w:val="20"/>
                <w:lang w:val="ru-RU"/>
              </w:rPr>
              <w:t>%</w:t>
            </w:r>
          </w:p>
        </w:tc>
      </w:tr>
      <w:tr w:rsidR="00FB56F4" w:rsidRPr="00DB0AC3" w:rsidTr="005F69B3">
        <w:trPr>
          <w:trHeight w:val="900"/>
        </w:trPr>
        <w:tc>
          <w:tcPr>
            <w:tcW w:w="1180" w:type="pct"/>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СПХ "Смолмясо" ООО</w:t>
            </w:r>
          </w:p>
        </w:tc>
        <w:tc>
          <w:tcPr>
            <w:tcW w:w="1320" w:type="pct"/>
            <w:shd w:val="clear" w:color="auto" w:fill="auto"/>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Производство мясной продукции</w:t>
            </w:r>
          </w:p>
        </w:tc>
        <w:tc>
          <w:tcPr>
            <w:tcW w:w="817" w:type="pct"/>
            <w:tcBorders>
              <w:top w:val="single" w:sz="4" w:space="0" w:color="auto"/>
              <w:bottom w:val="single" w:sz="4" w:space="0" w:color="auto"/>
            </w:tcBorders>
            <w:shd w:val="clear" w:color="auto" w:fill="auto"/>
            <w:noWrap/>
            <w:vAlign w:val="bottom"/>
            <w:hideMark/>
          </w:tcPr>
          <w:p w:rsidR="00CF3EEF" w:rsidRPr="00DB0AC3" w:rsidRDefault="00C60483" w:rsidP="00C16273">
            <w:pPr>
              <w:jc w:val="center"/>
              <w:rPr>
                <w:rFonts w:cs="Arial"/>
                <w:color w:val="000000"/>
                <w:sz w:val="20"/>
                <w:lang w:val="en-US"/>
              </w:rPr>
            </w:pPr>
            <w:r w:rsidRPr="00DB0AC3">
              <w:rPr>
                <w:rFonts w:cs="Arial"/>
                <w:color w:val="000000"/>
                <w:sz w:val="20"/>
                <w:lang w:val="en-US"/>
              </w:rPr>
              <w:t>33 130</w:t>
            </w:r>
          </w:p>
        </w:tc>
        <w:tc>
          <w:tcPr>
            <w:tcW w:w="491" w:type="pct"/>
            <w:tcBorders>
              <w:top w:val="single" w:sz="4" w:space="0" w:color="auto"/>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15.65</w:t>
            </w:r>
          </w:p>
        </w:tc>
        <w:tc>
          <w:tcPr>
            <w:tcW w:w="779" w:type="pct"/>
            <w:tcBorders>
              <w:top w:val="single" w:sz="4" w:space="0" w:color="auto"/>
              <w:bottom w:val="single" w:sz="4" w:space="0" w:color="auto"/>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33130</w:t>
            </w:r>
          </w:p>
        </w:tc>
        <w:tc>
          <w:tcPr>
            <w:tcW w:w="413" w:type="pct"/>
            <w:tcBorders>
              <w:top w:val="single" w:sz="4" w:space="0" w:color="auto"/>
            </w:tcBorders>
            <w:shd w:val="clear" w:color="auto" w:fill="auto"/>
            <w:noWrap/>
            <w:vAlign w:val="bottom"/>
            <w:hideMark/>
          </w:tcPr>
          <w:p w:rsidR="00CF3EEF" w:rsidRPr="00DB0AC3" w:rsidRDefault="00CF3EEF" w:rsidP="005F69B3">
            <w:pPr>
              <w:jc w:val="right"/>
              <w:rPr>
                <w:rFonts w:cs="Arial"/>
                <w:color w:val="000000"/>
                <w:sz w:val="20"/>
                <w:lang w:val="ru-RU"/>
              </w:rPr>
            </w:pPr>
            <w:r w:rsidRPr="00DB0AC3">
              <w:rPr>
                <w:rFonts w:cs="Arial"/>
                <w:color w:val="000000"/>
                <w:sz w:val="20"/>
                <w:lang w:val="ru-RU"/>
              </w:rPr>
              <w:t>15.65</w:t>
            </w:r>
          </w:p>
        </w:tc>
      </w:tr>
      <w:tr w:rsidR="00FB56F4" w:rsidRPr="00DB0AC3" w:rsidTr="005F69B3">
        <w:trPr>
          <w:trHeight w:val="300"/>
        </w:trPr>
        <w:tc>
          <w:tcPr>
            <w:tcW w:w="1180" w:type="pct"/>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 </w:t>
            </w:r>
          </w:p>
        </w:tc>
        <w:tc>
          <w:tcPr>
            <w:tcW w:w="1320" w:type="pct"/>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 </w:t>
            </w:r>
          </w:p>
        </w:tc>
        <w:tc>
          <w:tcPr>
            <w:tcW w:w="817" w:type="pct"/>
            <w:tcBorders>
              <w:top w:val="single" w:sz="4" w:space="0" w:color="auto"/>
              <w:bottom w:val="double" w:sz="4" w:space="0" w:color="auto"/>
            </w:tcBorders>
            <w:shd w:val="clear" w:color="auto" w:fill="auto"/>
            <w:noWrap/>
            <w:vAlign w:val="bottom"/>
            <w:hideMark/>
          </w:tcPr>
          <w:p w:rsidR="00CF3EEF" w:rsidRPr="00DB0AC3" w:rsidRDefault="00C60483" w:rsidP="00C16273">
            <w:pPr>
              <w:jc w:val="center"/>
              <w:rPr>
                <w:rFonts w:cs="Arial"/>
                <w:b/>
                <w:bCs/>
                <w:color w:val="000000"/>
                <w:sz w:val="20"/>
                <w:lang w:val="en-US"/>
              </w:rPr>
            </w:pPr>
            <w:r w:rsidRPr="00DB0AC3">
              <w:rPr>
                <w:rFonts w:cs="Arial"/>
                <w:b/>
                <w:bCs/>
                <w:color w:val="000000"/>
                <w:sz w:val="20"/>
                <w:lang w:val="en-US"/>
              </w:rPr>
              <w:t>33 130</w:t>
            </w:r>
          </w:p>
        </w:tc>
        <w:tc>
          <w:tcPr>
            <w:tcW w:w="491" w:type="pct"/>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 </w:t>
            </w:r>
          </w:p>
        </w:tc>
        <w:tc>
          <w:tcPr>
            <w:tcW w:w="779" w:type="pct"/>
            <w:tcBorders>
              <w:top w:val="single" w:sz="4" w:space="0" w:color="auto"/>
              <w:bottom w:val="double" w:sz="4" w:space="0" w:color="auto"/>
            </w:tcBorders>
            <w:shd w:val="clear" w:color="auto" w:fill="auto"/>
            <w:noWrap/>
            <w:vAlign w:val="bottom"/>
            <w:hideMark/>
          </w:tcPr>
          <w:p w:rsidR="00CF3EEF" w:rsidRPr="00DB0AC3" w:rsidRDefault="00CF3EEF" w:rsidP="005F69B3">
            <w:pPr>
              <w:jc w:val="right"/>
              <w:rPr>
                <w:rFonts w:cs="Arial"/>
                <w:b/>
                <w:bCs/>
                <w:color w:val="000000"/>
                <w:sz w:val="20"/>
                <w:lang w:val="ru-RU"/>
              </w:rPr>
            </w:pPr>
            <w:r w:rsidRPr="00DB0AC3">
              <w:rPr>
                <w:rFonts w:cs="Arial"/>
                <w:b/>
                <w:bCs/>
                <w:color w:val="000000"/>
                <w:sz w:val="20"/>
                <w:lang w:val="ru-RU"/>
              </w:rPr>
              <w:t>33130</w:t>
            </w:r>
          </w:p>
        </w:tc>
        <w:tc>
          <w:tcPr>
            <w:tcW w:w="413" w:type="pct"/>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 </w:t>
            </w:r>
          </w:p>
        </w:tc>
      </w:tr>
    </w:tbl>
    <w:p w:rsidR="00CF3EEF" w:rsidRPr="00DB0AC3" w:rsidRDefault="00CF3EEF" w:rsidP="00CF3EEF">
      <w:pPr>
        <w:rPr>
          <w:rFonts w:eastAsia="SimSun" w:cs="Arial"/>
          <w:sz w:val="20"/>
          <w:lang w:val="ru-RU"/>
        </w:rPr>
      </w:pPr>
    </w:p>
    <w:p w:rsidR="00CF3EEF" w:rsidRPr="00DB0AC3" w:rsidRDefault="00CF3EEF" w:rsidP="00CF3EEF">
      <w:pPr>
        <w:rPr>
          <w:rFonts w:eastAsia="SimSun" w:cs="Arial"/>
          <w:sz w:val="20"/>
          <w:lang w:val="ru-RU"/>
        </w:rPr>
      </w:pPr>
    </w:p>
    <w:p w:rsidR="00CF3EEF" w:rsidRPr="00DB0AC3" w:rsidRDefault="00CF3EEF" w:rsidP="00CF3EEF">
      <w:pPr>
        <w:rPr>
          <w:rFonts w:eastAsia="SimSun" w:cs="Arial"/>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3D6F26" w:rsidRDefault="003D6F26">
      <w:pPr>
        <w:jc w:val="both"/>
        <w:rPr>
          <w:rFonts w:eastAsia="SimSun" w:cs="Arial"/>
          <w:bCs/>
          <w:sz w:val="20"/>
          <w:lang w:val="ru-RU"/>
        </w:rPr>
      </w:pPr>
    </w:p>
    <w:p w:rsidR="008E3EDA" w:rsidRPr="00DB0AC3" w:rsidRDefault="00CF3EEF">
      <w:pPr>
        <w:jc w:val="both"/>
        <w:rPr>
          <w:rFonts w:eastAsia="SimSun" w:cs="Arial"/>
          <w:bCs/>
          <w:sz w:val="20"/>
          <w:lang w:val="ru-RU"/>
        </w:rPr>
      </w:pPr>
      <w:r w:rsidRPr="00DB0AC3">
        <w:rPr>
          <w:rFonts w:eastAsia="SimSun" w:cs="Arial"/>
          <w:bCs/>
          <w:sz w:val="20"/>
          <w:lang w:val="ru-RU"/>
        </w:rPr>
        <w:t>Движение резерва под обесценение по ценным бумагам, имеющимся в наличии для продажи, представлено в следующей таблице:</w:t>
      </w:r>
    </w:p>
    <w:p w:rsidR="008E3EDA" w:rsidRPr="00DB0AC3" w:rsidRDefault="008E3EDA">
      <w:pPr>
        <w:jc w:val="both"/>
        <w:rPr>
          <w:rFonts w:eastAsia="SimSun" w:cs="Arial"/>
          <w:sz w:val="20"/>
          <w:lang w:val="ru-RU"/>
        </w:rPr>
      </w:pPr>
    </w:p>
    <w:tbl>
      <w:tblPr>
        <w:tblW w:w="0" w:type="auto"/>
        <w:tblInd w:w="93" w:type="dxa"/>
        <w:tblLayout w:type="fixed"/>
        <w:tblLook w:val="04A0"/>
      </w:tblPr>
      <w:tblGrid>
        <w:gridCol w:w="5402"/>
        <w:gridCol w:w="2268"/>
        <w:gridCol w:w="1843"/>
      </w:tblGrid>
      <w:tr w:rsidR="00CF3EEF" w:rsidRPr="00DB0AC3" w:rsidTr="005F69B3">
        <w:trPr>
          <w:trHeight w:val="300"/>
        </w:trPr>
        <w:tc>
          <w:tcPr>
            <w:tcW w:w="5402" w:type="dxa"/>
            <w:shd w:val="clear" w:color="auto" w:fill="auto"/>
            <w:noWrap/>
            <w:vAlign w:val="bottom"/>
            <w:hideMark/>
          </w:tcPr>
          <w:p w:rsidR="00CF3EEF" w:rsidRPr="00DB0AC3" w:rsidRDefault="00CF3EEF" w:rsidP="005F69B3">
            <w:pPr>
              <w:rPr>
                <w:rFonts w:cs="Arial"/>
                <w:color w:val="000000"/>
                <w:sz w:val="20"/>
                <w:lang w:val="ru-RU"/>
              </w:rPr>
            </w:pPr>
          </w:p>
        </w:tc>
        <w:tc>
          <w:tcPr>
            <w:tcW w:w="2268" w:type="dxa"/>
            <w:tcBorders>
              <w:bottom w:val="single" w:sz="4" w:space="0" w:color="auto"/>
            </w:tcBorders>
            <w:shd w:val="clear" w:color="auto" w:fill="auto"/>
            <w:noWrap/>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2014</w:t>
            </w:r>
          </w:p>
        </w:tc>
        <w:tc>
          <w:tcPr>
            <w:tcW w:w="1843" w:type="dxa"/>
            <w:tcBorders>
              <w:bottom w:val="single" w:sz="4" w:space="0" w:color="auto"/>
            </w:tcBorders>
            <w:shd w:val="clear" w:color="auto" w:fill="auto"/>
            <w:noWrap/>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2013</w:t>
            </w:r>
          </w:p>
        </w:tc>
      </w:tr>
      <w:tr w:rsidR="00CF3EEF" w:rsidRPr="00DB0AC3" w:rsidTr="005F69B3">
        <w:trPr>
          <w:trHeight w:val="300"/>
        </w:trPr>
        <w:tc>
          <w:tcPr>
            <w:tcW w:w="5402" w:type="dxa"/>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На  начало года</w:t>
            </w:r>
          </w:p>
        </w:tc>
        <w:tc>
          <w:tcPr>
            <w:tcW w:w="2268" w:type="dxa"/>
            <w:tcBorders>
              <w:top w:val="single" w:sz="4" w:space="0" w:color="auto"/>
            </w:tcBorders>
            <w:shd w:val="clear" w:color="auto" w:fill="auto"/>
            <w:noWrap/>
            <w:vAlign w:val="bottom"/>
            <w:hideMark/>
          </w:tcPr>
          <w:p w:rsidR="00CF3EEF" w:rsidRPr="00DB0AC3" w:rsidRDefault="00CF3EEF" w:rsidP="005F69B3">
            <w:pPr>
              <w:jc w:val="center"/>
              <w:rPr>
                <w:rFonts w:cs="Arial"/>
                <w:color w:val="000000"/>
                <w:sz w:val="20"/>
                <w:lang w:val="ru-RU"/>
              </w:rPr>
            </w:pPr>
            <w:r w:rsidRPr="00DB0AC3">
              <w:rPr>
                <w:rFonts w:cs="Arial"/>
                <w:color w:val="000000"/>
                <w:sz w:val="20"/>
                <w:lang w:val="ru-RU"/>
              </w:rPr>
              <w:t>(68 093)</w:t>
            </w:r>
          </w:p>
        </w:tc>
        <w:tc>
          <w:tcPr>
            <w:tcW w:w="1843" w:type="dxa"/>
            <w:tcBorders>
              <w:top w:val="single" w:sz="4" w:space="0" w:color="auto"/>
            </w:tcBorders>
            <w:shd w:val="clear" w:color="auto" w:fill="auto"/>
            <w:noWrap/>
            <w:vAlign w:val="bottom"/>
            <w:hideMark/>
          </w:tcPr>
          <w:p w:rsidR="00CF3EEF" w:rsidRPr="00DB0AC3" w:rsidRDefault="00CF3EEF" w:rsidP="005F69B3">
            <w:pPr>
              <w:jc w:val="center"/>
              <w:rPr>
                <w:rFonts w:cs="Arial"/>
                <w:color w:val="000000"/>
                <w:sz w:val="20"/>
                <w:lang w:val="ru-RU"/>
              </w:rPr>
            </w:pPr>
            <w:r w:rsidRPr="00DB0AC3">
              <w:rPr>
                <w:rFonts w:cs="Arial"/>
                <w:color w:val="000000"/>
                <w:sz w:val="20"/>
                <w:lang w:val="ru-RU"/>
              </w:rPr>
              <w:t>(65 301)</w:t>
            </w:r>
          </w:p>
        </w:tc>
      </w:tr>
      <w:tr w:rsidR="00CF3EEF" w:rsidRPr="00DB0AC3" w:rsidTr="005F69B3">
        <w:trPr>
          <w:trHeight w:val="300"/>
        </w:trPr>
        <w:tc>
          <w:tcPr>
            <w:tcW w:w="5402" w:type="dxa"/>
            <w:shd w:val="clear" w:color="auto" w:fill="auto"/>
            <w:noWrap/>
            <w:vAlign w:val="bottom"/>
            <w:hideMark/>
          </w:tcPr>
          <w:p w:rsidR="00CF3EEF" w:rsidRPr="00DB0AC3" w:rsidRDefault="00CF3EEF" w:rsidP="005F69B3">
            <w:pPr>
              <w:rPr>
                <w:rFonts w:cs="Arial"/>
                <w:color w:val="000000"/>
                <w:sz w:val="20"/>
                <w:lang w:val="ru-RU"/>
              </w:rPr>
            </w:pPr>
            <w:r w:rsidRPr="00DB0AC3">
              <w:rPr>
                <w:rFonts w:cs="Arial"/>
                <w:color w:val="000000"/>
                <w:sz w:val="20"/>
                <w:lang w:val="ru-RU"/>
              </w:rPr>
              <w:t>Начисление резерва в отчетном году</w:t>
            </w:r>
          </w:p>
        </w:tc>
        <w:tc>
          <w:tcPr>
            <w:tcW w:w="2268" w:type="dxa"/>
            <w:tcBorders>
              <w:bottom w:val="single" w:sz="4" w:space="0" w:color="auto"/>
            </w:tcBorders>
            <w:shd w:val="clear" w:color="auto" w:fill="auto"/>
            <w:noWrap/>
            <w:vAlign w:val="bottom"/>
            <w:hideMark/>
          </w:tcPr>
          <w:p w:rsidR="00CF3EEF" w:rsidRPr="00DB0AC3" w:rsidRDefault="00CF3EEF" w:rsidP="009129E1">
            <w:pPr>
              <w:jc w:val="center"/>
              <w:rPr>
                <w:rFonts w:cs="Arial"/>
                <w:color w:val="000000"/>
                <w:sz w:val="20"/>
                <w:lang w:val="ru-RU"/>
              </w:rPr>
            </w:pPr>
            <w:r w:rsidRPr="00DB0AC3">
              <w:rPr>
                <w:rFonts w:cs="Arial"/>
                <w:color w:val="000000"/>
                <w:sz w:val="20"/>
                <w:lang w:val="ru-RU"/>
              </w:rPr>
              <w:t>(</w:t>
            </w:r>
            <w:r w:rsidR="009129E1" w:rsidRPr="00DB0AC3">
              <w:rPr>
                <w:rFonts w:cs="Arial"/>
                <w:color w:val="000000"/>
                <w:sz w:val="20"/>
                <w:lang w:val="ru-RU"/>
              </w:rPr>
              <w:t>4 494</w:t>
            </w:r>
            <w:r w:rsidRPr="00DB0AC3">
              <w:rPr>
                <w:rFonts w:cs="Arial"/>
                <w:color w:val="000000"/>
                <w:sz w:val="20"/>
                <w:lang w:val="ru-RU"/>
              </w:rPr>
              <w:t>)</w:t>
            </w:r>
          </w:p>
        </w:tc>
        <w:tc>
          <w:tcPr>
            <w:tcW w:w="1843" w:type="dxa"/>
            <w:tcBorders>
              <w:bottom w:val="single" w:sz="4" w:space="0" w:color="auto"/>
            </w:tcBorders>
            <w:shd w:val="clear" w:color="auto" w:fill="auto"/>
            <w:noWrap/>
            <w:vAlign w:val="bottom"/>
            <w:hideMark/>
          </w:tcPr>
          <w:p w:rsidR="00CF3EEF" w:rsidRPr="00DB0AC3" w:rsidRDefault="00CF3EEF" w:rsidP="005F69B3">
            <w:pPr>
              <w:jc w:val="center"/>
              <w:rPr>
                <w:rFonts w:cs="Arial"/>
                <w:color w:val="000000"/>
                <w:sz w:val="20"/>
                <w:lang w:val="ru-RU"/>
              </w:rPr>
            </w:pPr>
            <w:r w:rsidRPr="00DB0AC3">
              <w:rPr>
                <w:rFonts w:cs="Arial"/>
                <w:color w:val="000000"/>
                <w:sz w:val="20"/>
                <w:lang w:val="ru-RU"/>
              </w:rPr>
              <w:t>(2 792)</w:t>
            </w:r>
          </w:p>
        </w:tc>
      </w:tr>
      <w:tr w:rsidR="00CF3EEF" w:rsidRPr="00DB0AC3" w:rsidTr="005F69B3">
        <w:trPr>
          <w:trHeight w:val="315"/>
        </w:trPr>
        <w:tc>
          <w:tcPr>
            <w:tcW w:w="5402" w:type="dxa"/>
            <w:shd w:val="clear" w:color="auto" w:fill="auto"/>
            <w:noWrap/>
            <w:vAlign w:val="bottom"/>
            <w:hideMark/>
          </w:tcPr>
          <w:p w:rsidR="00CF3EEF" w:rsidRPr="00DB0AC3" w:rsidRDefault="00CF3EEF" w:rsidP="005F69B3">
            <w:pPr>
              <w:rPr>
                <w:rFonts w:cs="Arial"/>
                <w:b/>
                <w:bCs/>
                <w:color w:val="000000"/>
                <w:sz w:val="20"/>
                <w:lang w:val="ru-RU"/>
              </w:rPr>
            </w:pPr>
            <w:r w:rsidRPr="00DB0AC3">
              <w:rPr>
                <w:rFonts w:cs="Arial"/>
                <w:b/>
                <w:bCs/>
                <w:color w:val="000000"/>
                <w:sz w:val="20"/>
                <w:lang w:val="ru-RU"/>
              </w:rPr>
              <w:t>На конец года</w:t>
            </w:r>
          </w:p>
        </w:tc>
        <w:tc>
          <w:tcPr>
            <w:tcW w:w="2268" w:type="dxa"/>
            <w:tcBorders>
              <w:top w:val="single" w:sz="4" w:space="0" w:color="auto"/>
              <w:bottom w:val="double" w:sz="4" w:space="0" w:color="auto"/>
            </w:tcBorders>
            <w:shd w:val="clear" w:color="auto" w:fill="auto"/>
            <w:noWrap/>
            <w:vAlign w:val="bottom"/>
            <w:hideMark/>
          </w:tcPr>
          <w:p w:rsidR="00CF3EEF" w:rsidRPr="00DB0AC3" w:rsidRDefault="00CF3EEF" w:rsidP="009129E1">
            <w:pPr>
              <w:jc w:val="center"/>
              <w:rPr>
                <w:rFonts w:cs="Arial"/>
                <w:b/>
                <w:bCs/>
                <w:color w:val="000000"/>
                <w:sz w:val="20"/>
                <w:lang w:val="ru-RU"/>
              </w:rPr>
            </w:pPr>
            <w:r w:rsidRPr="00DB0AC3">
              <w:rPr>
                <w:rFonts w:cs="Arial"/>
                <w:b/>
                <w:bCs/>
                <w:color w:val="000000"/>
                <w:sz w:val="20"/>
                <w:lang w:val="ru-RU"/>
              </w:rPr>
              <w:t>(</w:t>
            </w:r>
            <w:r w:rsidR="009129E1" w:rsidRPr="00DB0AC3">
              <w:rPr>
                <w:rFonts w:cs="Arial"/>
                <w:b/>
                <w:bCs/>
                <w:color w:val="000000"/>
                <w:sz w:val="20"/>
                <w:lang w:val="ru-RU"/>
              </w:rPr>
              <w:t>72 587</w:t>
            </w:r>
            <w:r w:rsidRPr="00DB0AC3">
              <w:rPr>
                <w:rFonts w:cs="Arial"/>
                <w:b/>
                <w:bCs/>
                <w:color w:val="000000"/>
                <w:sz w:val="20"/>
                <w:lang w:val="ru-RU"/>
              </w:rPr>
              <w:t>)</w:t>
            </w:r>
          </w:p>
        </w:tc>
        <w:tc>
          <w:tcPr>
            <w:tcW w:w="1843" w:type="dxa"/>
            <w:tcBorders>
              <w:top w:val="single" w:sz="4" w:space="0" w:color="auto"/>
              <w:bottom w:val="double" w:sz="4" w:space="0" w:color="auto"/>
            </w:tcBorders>
            <w:shd w:val="clear" w:color="auto" w:fill="auto"/>
            <w:noWrap/>
            <w:vAlign w:val="bottom"/>
            <w:hideMark/>
          </w:tcPr>
          <w:p w:rsidR="00CF3EEF" w:rsidRPr="00DB0AC3" w:rsidRDefault="00CF3EEF" w:rsidP="005F69B3">
            <w:pPr>
              <w:jc w:val="center"/>
              <w:rPr>
                <w:rFonts w:cs="Arial"/>
                <w:b/>
                <w:bCs/>
                <w:color w:val="000000"/>
                <w:sz w:val="20"/>
                <w:lang w:val="ru-RU"/>
              </w:rPr>
            </w:pPr>
            <w:r w:rsidRPr="00DB0AC3">
              <w:rPr>
                <w:rFonts w:cs="Arial"/>
                <w:b/>
                <w:bCs/>
                <w:color w:val="000000"/>
                <w:sz w:val="20"/>
                <w:lang w:val="ru-RU"/>
              </w:rPr>
              <w:t>(68 093)</w:t>
            </w:r>
          </w:p>
        </w:tc>
      </w:tr>
    </w:tbl>
    <w:p w:rsidR="00CF3EEF" w:rsidRPr="00DB0AC3" w:rsidRDefault="00CF3EEF" w:rsidP="00CF3EEF">
      <w:pPr>
        <w:rPr>
          <w:rFonts w:eastAsia="SimSun" w:cs="Arial"/>
          <w:sz w:val="20"/>
          <w:lang w:val="ru-RU"/>
        </w:rPr>
      </w:pPr>
    </w:p>
    <w:p w:rsidR="00CF3EEF" w:rsidRPr="00DB0AC3" w:rsidRDefault="00CF3EEF" w:rsidP="00CF3EEF">
      <w:pPr>
        <w:rPr>
          <w:rFonts w:eastAsia="SimSun" w:cs="Arial"/>
          <w:sz w:val="20"/>
          <w:lang w:val="ru-RU"/>
        </w:rPr>
      </w:pPr>
    </w:p>
    <w:p w:rsidR="0062600E" w:rsidRDefault="00CF3EEF" w:rsidP="00C06AC5">
      <w:pPr>
        <w:pStyle w:val="210"/>
        <w:shd w:val="clear" w:color="auto" w:fill="auto"/>
        <w:spacing w:line="221" w:lineRule="exact"/>
        <w:ind w:firstLine="0"/>
        <w:jc w:val="both"/>
        <w:rPr>
          <w:rStyle w:val="25"/>
          <w:bCs/>
          <w:color w:val="000000"/>
          <w:sz w:val="20"/>
          <w:szCs w:val="20"/>
        </w:rPr>
      </w:pPr>
      <w:r w:rsidRPr="00DB0AC3">
        <w:rPr>
          <w:rFonts w:eastAsia="SimSun"/>
          <w:b w:val="0"/>
          <w:sz w:val="20"/>
          <w:szCs w:val="20"/>
        </w:rPr>
        <w:t>Страновой, валютный и процентный анализ, а также анализ по срокам погашения ценных бумаг, имеющихся в наличии для продажи, представлен в Примечании</w:t>
      </w:r>
      <w:r w:rsidRPr="00DB0AC3">
        <w:rPr>
          <w:rStyle w:val="25"/>
          <w:bCs/>
          <w:color w:val="000000"/>
          <w:sz w:val="20"/>
          <w:szCs w:val="20"/>
        </w:rPr>
        <w:t>33.</w:t>
      </w:r>
    </w:p>
    <w:p w:rsidR="003D6F26" w:rsidRDefault="003D6F26" w:rsidP="00C06AC5">
      <w:pPr>
        <w:pStyle w:val="210"/>
        <w:shd w:val="clear" w:color="auto" w:fill="auto"/>
        <w:spacing w:line="221" w:lineRule="exact"/>
        <w:ind w:firstLine="0"/>
        <w:jc w:val="both"/>
        <w:rPr>
          <w:rStyle w:val="25"/>
          <w:b/>
          <w:bCs/>
          <w:color w:val="000000"/>
          <w:sz w:val="20"/>
          <w:szCs w:val="20"/>
        </w:rPr>
      </w:pPr>
    </w:p>
    <w:p w:rsidR="003D6F26" w:rsidRDefault="003D6F26" w:rsidP="00C06AC5">
      <w:pPr>
        <w:pStyle w:val="210"/>
        <w:shd w:val="clear" w:color="auto" w:fill="auto"/>
        <w:spacing w:line="221" w:lineRule="exact"/>
        <w:ind w:firstLine="0"/>
        <w:jc w:val="both"/>
        <w:rPr>
          <w:rStyle w:val="25"/>
          <w:b/>
          <w:bCs/>
          <w:color w:val="000000"/>
          <w:sz w:val="20"/>
          <w:szCs w:val="20"/>
        </w:rPr>
      </w:pPr>
    </w:p>
    <w:p w:rsidR="00D812E9" w:rsidRPr="00DB0AC3" w:rsidRDefault="00D812E9" w:rsidP="00CF3EEF">
      <w:pPr>
        <w:pStyle w:val="210"/>
        <w:shd w:val="clear" w:color="auto" w:fill="auto"/>
        <w:spacing w:line="221" w:lineRule="exact"/>
        <w:ind w:firstLine="0"/>
        <w:rPr>
          <w:sz w:val="20"/>
          <w:szCs w:val="20"/>
        </w:rPr>
      </w:pPr>
    </w:p>
    <w:p w:rsidR="00D130C4" w:rsidRPr="00DB0AC3" w:rsidRDefault="00D812E9" w:rsidP="00B6768D">
      <w:pPr>
        <w:pStyle w:val="1"/>
        <w:keepLines/>
        <w:spacing w:before="0"/>
        <w:rPr>
          <w:rFonts w:cs="Arial"/>
          <w:lang w:val="ru-RU"/>
        </w:rPr>
      </w:pPr>
      <w:bookmarkStart w:id="92" w:name="_Toc44147979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DB0AC3">
        <w:rPr>
          <w:rFonts w:cs="Arial"/>
          <w:lang w:val="ru-RU"/>
        </w:rPr>
        <w:t>Прочие активы и дебиторская задолженность</w:t>
      </w:r>
      <w:bookmarkEnd w:id="92"/>
    </w:p>
    <w:p w:rsidR="008E3EDA" w:rsidRPr="00DB0AC3" w:rsidRDefault="00D812E9">
      <w:pPr>
        <w:pStyle w:val="210"/>
        <w:shd w:val="clear" w:color="auto" w:fill="auto"/>
        <w:spacing w:line="221" w:lineRule="exact"/>
        <w:ind w:firstLine="0"/>
        <w:jc w:val="both"/>
        <w:rPr>
          <w:rFonts w:eastAsia="SimSun"/>
          <w:b w:val="0"/>
          <w:sz w:val="20"/>
          <w:szCs w:val="20"/>
        </w:rPr>
      </w:pPr>
      <w:bookmarkStart w:id="93" w:name="_Toc336184038"/>
      <w:bookmarkStart w:id="94" w:name="_Toc338330527"/>
      <w:bookmarkStart w:id="95" w:name="_Toc364338261"/>
      <w:bookmarkStart w:id="96" w:name="_Ref383702109"/>
      <w:bookmarkStart w:id="97" w:name="_Ref383702159"/>
      <w:bookmarkStart w:id="98" w:name="_Ref383702686"/>
      <w:bookmarkStart w:id="99" w:name="_Toc416086217"/>
      <w:bookmarkStart w:id="100" w:name="_Ref113247558"/>
      <w:bookmarkStart w:id="101" w:name="_Ref113248451"/>
      <w:bookmarkStart w:id="102" w:name="_Ref113248644"/>
      <w:bookmarkStart w:id="103" w:name="_Ref113248654"/>
      <w:bookmarkStart w:id="104" w:name="_Ref113248812"/>
      <w:bookmarkStart w:id="105" w:name="_Ref113248822"/>
      <w:bookmarkStart w:id="106" w:name="_Ref113248976"/>
      <w:bookmarkStart w:id="107" w:name="_Ref113248994"/>
      <w:bookmarkStart w:id="108" w:name="_Ref113249746"/>
      <w:bookmarkStart w:id="109" w:name="_Ref113267027"/>
      <w:r w:rsidRPr="00DB0AC3">
        <w:rPr>
          <w:rFonts w:eastAsia="SimSun"/>
          <w:b w:val="0"/>
          <w:sz w:val="20"/>
          <w:szCs w:val="20"/>
        </w:rPr>
        <w:t>Прочие активы и дебиторская задолженность года представлены следующим образом:</w:t>
      </w:r>
    </w:p>
    <w:p w:rsidR="00D812E9" w:rsidRPr="00DB0AC3" w:rsidRDefault="00D812E9" w:rsidP="00D812E9">
      <w:pPr>
        <w:rPr>
          <w:rFonts w:cs="Arial"/>
          <w:sz w:val="20"/>
          <w:lang w:val="ru-RU"/>
        </w:rPr>
      </w:pP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371"/>
        <w:gridCol w:w="1676"/>
        <w:gridCol w:w="1776"/>
      </w:tblGrid>
      <w:tr w:rsidR="00D812E9" w:rsidRPr="00DB0AC3" w:rsidTr="007E4299">
        <w:trPr>
          <w:trHeight w:val="300"/>
        </w:trPr>
        <w:tc>
          <w:tcPr>
            <w:tcW w:w="3243" w:type="pct"/>
            <w:noWrap/>
            <w:hideMark/>
          </w:tcPr>
          <w:p w:rsidR="00D812E9" w:rsidRPr="00DB0AC3" w:rsidRDefault="00D812E9" w:rsidP="005F69B3">
            <w:pPr>
              <w:rPr>
                <w:rFonts w:cs="Arial"/>
                <w:color w:val="000000"/>
                <w:sz w:val="20"/>
                <w:lang w:val="ru-RU"/>
              </w:rPr>
            </w:pPr>
          </w:p>
        </w:tc>
        <w:tc>
          <w:tcPr>
            <w:tcW w:w="853" w:type="pct"/>
            <w:tcBorders>
              <w:bottom w:val="single" w:sz="4" w:space="0" w:color="auto"/>
            </w:tcBorders>
            <w:hideMark/>
          </w:tcPr>
          <w:p w:rsidR="00D812E9" w:rsidRPr="00DB0AC3" w:rsidRDefault="00D812E9" w:rsidP="005F69B3">
            <w:pPr>
              <w:jc w:val="right"/>
              <w:rPr>
                <w:rFonts w:cs="Arial"/>
                <w:b/>
                <w:bCs/>
                <w:color w:val="000000"/>
                <w:sz w:val="20"/>
                <w:lang w:val="ru-RU"/>
              </w:rPr>
            </w:pPr>
            <w:r w:rsidRPr="00DB0AC3">
              <w:rPr>
                <w:rFonts w:cs="Arial"/>
                <w:b/>
                <w:bCs/>
                <w:color w:val="000000"/>
                <w:sz w:val="20"/>
                <w:lang w:val="ru-RU"/>
              </w:rPr>
              <w:t>31 декабря 2014</w:t>
            </w:r>
          </w:p>
        </w:tc>
        <w:tc>
          <w:tcPr>
            <w:tcW w:w="905" w:type="pct"/>
            <w:tcBorders>
              <w:bottom w:val="single" w:sz="4" w:space="0" w:color="auto"/>
            </w:tcBorders>
            <w:hideMark/>
          </w:tcPr>
          <w:p w:rsidR="00D812E9" w:rsidRPr="00DB0AC3" w:rsidRDefault="00D812E9" w:rsidP="005F69B3">
            <w:pPr>
              <w:jc w:val="right"/>
              <w:rPr>
                <w:rFonts w:cs="Arial"/>
                <w:b/>
                <w:bCs/>
                <w:color w:val="000000"/>
                <w:sz w:val="20"/>
                <w:lang w:val="ru-RU"/>
              </w:rPr>
            </w:pPr>
            <w:r w:rsidRPr="00DB0AC3">
              <w:rPr>
                <w:rFonts w:cs="Arial"/>
                <w:b/>
                <w:bCs/>
                <w:color w:val="000000"/>
                <w:sz w:val="20"/>
                <w:lang w:val="ru-RU"/>
              </w:rPr>
              <w:t>31 декабря 2013</w:t>
            </w:r>
          </w:p>
        </w:tc>
      </w:tr>
      <w:tr w:rsidR="00D812E9" w:rsidRPr="00DB0AC3" w:rsidTr="007E4299">
        <w:trPr>
          <w:trHeight w:val="300"/>
        </w:trPr>
        <w:tc>
          <w:tcPr>
            <w:tcW w:w="3243" w:type="pct"/>
            <w:noWrap/>
            <w:hideMark/>
          </w:tcPr>
          <w:p w:rsidR="00D812E9" w:rsidRPr="00DB0AC3" w:rsidRDefault="00D812E9" w:rsidP="005F69B3">
            <w:pPr>
              <w:rPr>
                <w:rFonts w:cs="Arial"/>
                <w:b/>
                <w:bCs/>
                <w:color w:val="000000"/>
                <w:sz w:val="20"/>
                <w:lang w:val="ru-RU"/>
              </w:rPr>
            </w:pPr>
            <w:r w:rsidRPr="00DB0AC3">
              <w:rPr>
                <w:rFonts w:cs="Arial"/>
                <w:b/>
                <w:bCs/>
                <w:color w:val="000000"/>
                <w:sz w:val="20"/>
                <w:lang w:val="ru-RU"/>
              </w:rPr>
              <w:t>Финансовые активы</w:t>
            </w:r>
            <w:r w:rsidR="00FB56F4">
              <w:rPr>
                <w:rFonts w:cs="Arial"/>
                <w:b/>
                <w:bCs/>
                <w:color w:val="000000"/>
                <w:sz w:val="20"/>
                <w:lang w:val="ru-RU"/>
              </w:rPr>
              <w:t>:</w:t>
            </w:r>
          </w:p>
        </w:tc>
        <w:tc>
          <w:tcPr>
            <w:tcW w:w="853" w:type="pct"/>
            <w:tcBorders>
              <w:top w:val="single" w:sz="4" w:space="0" w:color="auto"/>
            </w:tcBorders>
            <w:noWrap/>
            <w:hideMark/>
          </w:tcPr>
          <w:p w:rsidR="00D812E9" w:rsidRPr="00DB0AC3" w:rsidRDefault="00D812E9" w:rsidP="005F69B3">
            <w:pPr>
              <w:rPr>
                <w:rFonts w:cs="Arial"/>
                <w:b/>
                <w:bCs/>
                <w:color w:val="000000"/>
                <w:sz w:val="20"/>
                <w:lang w:val="ru-RU"/>
              </w:rPr>
            </w:pPr>
          </w:p>
        </w:tc>
        <w:tc>
          <w:tcPr>
            <w:tcW w:w="905" w:type="pct"/>
            <w:tcBorders>
              <w:top w:val="single" w:sz="4" w:space="0" w:color="auto"/>
            </w:tcBorders>
            <w:noWrap/>
            <w:hideMark/>
          </w:tcPr>
          <w:p w:rsidR="00D812E9" w:rsidRPr="00DB0AC3" w:rsidRDefault="00D812E9" w:rsidP="005F69B3">
            <w:pPr>
              <w:rPr>
                <w:rFonts w:cs="Arial"/>
                <w:b/>
                <w:bCs/>
                <w:color w:val="000000"/>
                <w:sz w:val="20"/>
                <w:lang w:val="ru-RU"/>
              </w:rPr>
            </w:pPr>
          </w:p>
        </w:tc>
      </w:tr>
      <w:tr w:rsidR="007E4299" w:rsidRPr="00DB0AC3" w:rsidTr="007E4299">
        <w:trPr>
          <w:trHeight w:val="300"/>
        </w:trPr>
        <w:tc>
          <w:tcPr>
            <w:tcW w:w="3243" w:type="pct"/>
            <w:noWrap/>
            <w:hideMark/>
          </w:tcPr>
          <w:p w:rsidR="007E4299" w:rsidRPr="00DB0AC3" w:rsidRDefault="007E4299" w:rsidP="005F69B3">
            <w:pPr>
              <w:rPr>
                <w:rFonts w:cs="Arial"/>
                <w:color w:val="000000"/>
                <w:sz w:val="20"/>
                <w:lang w:val="ru-RU"/>
              </w:rPr>
            </w:pPr>
            <w:r w:rsidRPr="00DB0AC3">
              <w:rPr>
                <w:rFonts w:cs="Arial"/>
                <w:color w:val="000000"/>
                <w:sz w:val="20"/>
                <w:lang w:val="ru-RU"/>
              </w:rPr>
              <w:t>Незавершенные расчетные операции</w:t>
            </w:r>
          </w:p>
        </w:tc>
        <w:tc>
          <w:tcPr>
            <w:tcW w:w="853" w:type="pct"/>
            <w:noWrap/>
            <w:vAlign w:val="bottom"/>
            <w:hideMark/>
          </w:tcPr>
          <w:p w:rsidR="007E4299" w:rsidRPr="00DB0AC3" w:rsidRDefault="007E4299">
            <w:pPr>
              <w:jc w:val="right"/>
              <w:rPr>
                <w:rFonts w:cs="Arial"/>
                <w:color w:val="000000"/>
                <w:sz w:val="20"/>
              </w:rPr>
            </w:pPr>
            <w:r w:rsidRPr="00DB0AC3">
              <w:rPr>
                <w:rFonts w:cs="Arial"/>
                <w:color w:val="000000"/>
                <w:sz w:val="20"/>
              </w:rPr>
              <w:t>19 648</w:t>
            </w:r>
          </w:p>
        </w:tc>
        <w:tc>
          <w:tcPr>
            <w:tcW w:w="905" w:type="pct"/>
            <w:noWrap/>
            <w:hideMark/>
          </w:tcPr>
          <w:p w:rsidR="007E4299" w:rsidRPr="00DB0AC3" w:rsidRDefault="007E4299" w:rsidP="005F69B3">
            <w:pPr>
              <w:jc w:val="right"/>
              <w:rPr>
                <w:rFonts w:cs="Arial"/>
                <w:color w:val="000000"/>
                <w:sz w:val="20"/>
                <w:lang w:val="ru-RU"/>
              </w:rPr>
            </w:pPr>
            <w:r w:rsidRPr="00DB0AC3">
              <w:rPr>
                <w:rFonts w:cs="Arial"/>
                <w:color w:val="000000"/>
                <w:sz w:val="20"/>
                <w:lang w:val="ru-RU"/>
              </w:rPr>
              <w:t>92 540</w:t>
            </w:r>
          </w:p>
        </w:tc>
      </w:tr>
      <w:tr w:rsidR="007E4299" w:rsidRPr="00DB0AC3" w:rsidTr="007E4299">
        <w:trPr>
          <w:trHeight w:val="300"/>
        </w:trPr>
        <w:tc>
          <w:tcPr>
            <w:tcW w:w="3243" w:type="pct"/>
            <w:noWrap/>
            <w:hideMark/>
          </w:tcPr>
          <w:p w:rsidR="007E4299" w:rsidRPr="00DB0AC3" w:rsidRDefault="007E4299" w:rsidP="005F69B3">
            <w:pPr>
              <w:rPr>
                <w:rFonts w:cs="Arial"/>
                <w:color w:val="000000"/>
                <w:sz w:val="20"/>
                <w:lang w:val="ru-RU"/>
              </w:rPr>
            </w:pPr>
            <w:r w:rsidRPr="00DB0AC3">
              <w:rPr>
                <w:rFonts w:cs="Arial"/>
                <w:color w:val="000000"/>
                <w:sz w:val="20"/>
                <w:lang w:val="ru-RU"/>
              </w:rPr>
              <w:t>Требования по банковским операциям</w:t>
            </w:r>
          </w:p>
        </w:tc>
        <w:tc>
          <w:tcPr>
            <w:tcW w:w="853" w:type="pct"/>
            <w:noWrap/>
            <w:vAlign w:val="bottom"/>
            <w:hideMark/>
          </w:tcPr>
          <w:p w:rsidR="007E4299" w:rsidRPr="00DB0AC3" w:rsidRDefault="007E4299">
            <w:pPr>
              <w:jc w:val="right"/>
              <w:rPr>
                <w:rFonts w:cs="Arial"/>
                <w:color w:val="000000"/>
                <w:sz w:val="20"/>
              </w:rPr>
            </w:pPr>
            <w:r w:rsidRPr="00DB0AC3">
              <w:rPr>
                <w:rFonts w:cs="Arial"/>
                <w:color w:val="000000"/>
                <w:sz w:val="20"/>
              </w:rPr>
              <w:t>69 871</w:t>
            </w:r>
          </w:p>
        </w:tc>
        <w:tc>
          <w:tcPr>
            <w:tcW w:w="905" w:type="pct"/>
            <w:noWrap/>
            <w:hideMark/>
          </w:tcPr>
          <w:p w:rsidR="007E4299" w:rsidRPr="00DB0AC3" w:rsidRDefault="007E4299" w:rsidP="005F69B3">
            <w:pPr>
              <w:jc w:val="right"/>
              <w:rPr>
                <w:rFonts w:cs="Arial"/>
                <w:color w:val="000000"/>
                <w:sz w:val="20"/>
                <w:lang w:val="ru-RU"/>
              </w:rPr>
            </w:pPr>
            <w:r w:rsidRPr="00DB0AC3">
              <w:rPr>
                <w:rFonts w:cs="Arial"/>
                <w:color w:val="000000"/>
                <w:sz w:val="20"/>
                <w:lang w:val="ru-RU"/>
              </w:rPr>
              <w:t>60 024</w:t>
            </w:r>
          </w:p>
        </w:tc>
      </w:tr>
      <w:tr w:rsidR="007E4299" w:rsidRPr="00DB0AC3" w:rsidTr="007E4299">
        <w:trPr>
          <w:trHeight w:val="202"/>
        </w:trPr>
        <w:tc>
          <w:tcPr>
            <w:tcW w:w="3243" w:type="pct"/>
            <w:vMerge w:val="restart"/>
            <w:noWrap/>
            <w:hideMark/>
          </w:tcPr>
          <w:p w:rsidR="007E4299" w:rsidRPr="00DB0AC3" w:rsidRDefault="007E4299" w:rsidP="005F69B3">
            <w:pPr>
              <w:rPr>
                <w:rFonts w:cs="Arial"/>
                <w:color w:val="000000"/>
                <w:sz w:val="20"/>
                <w:lang w:val="ru-RU"/>
              </w:rPr>
            </w:pPr>
            <w:r w:rsidRPr="00DB0AC3">
              <w:rPr>
                <w:rFonts w:cs="Arial"/>
                <w:color w:val="000000"/>
                <w:sz w:val="20"/>
                <w:lang w:val="ru-RU"/>
              </w:rPr>
              <w:t>Расчеты с прочими дебиторами</w:t>
            </w:r>
          </w:p>
        </w:tc>
        <w:tc>
          <w:tcPr>
            <w:tcW w:w="853" w:type="pct"/>
            <w:tcBorders>
              <w:bottom w:val="single" w:sz="4" w:space="0" w:color="auto"/>
            </w:tcBorders>
            <w:noWrap/>
            <w:vAlign w:val="bottom"/>
            <w:hideMark/>
          </w:tcPr>
          <w:p w:rsidR="007E4299" w:rsidRPr="00DB0AC3" w:rsidRDefault="007E4299">
            <w:pPr>
              <w:jc w:val="right"/>
              <w:rPr>
                <w:rFonts w:cs="Arial"/>
                <w:color w:val="000000"/>
                <w:sz w:val="20"/>
              </w:rPr>
            </w:pPr>
            <w:r w:rsidRPr="00DB0AC3">
              <w:rPr>
                <w:rFonts w:cs="Arial"/>
                <w:color w:val="000000"/>
                <w:sz w:val="20"/>
              </w:rPr>
              <w:t>2 962</w:t>
            </w:r>
          </w:p>
        </w:tc>
        <w:tc>
          <w:tcPr>
            <w:tcW w:w="905" w:type="pct"/>
            <w:tcBorders>
              <w:bottom w:val="single" w:sz="4" w:space="0" w:color="auto"/>
            </w:tcBorders>
            <w:noWrap/>
            <w:hideMark/>
          </w:tcPr>
          <w:p w:rsidR="007E4299" w:rsidRPr="00DB0AC3" w:rsidRDefault="007E4299" w:rsidP="005F69B3">
            <w:pPr>
              <w:jc w:val="right"/>
              <w:rPr>
                <w:rFonts w:cs="Arial"/>
                <w:color w:val="000000"/>
                <w:sz w:val="20"/>
                <w:lang w:val="ru-RU"/>
              </w:rPr>
            </w:pPr>
            <w:r w:rsidRPr="00DB0AC3">
              <w:rPr>
                <w:rFonts w:cs="Arial"/>
                <w:color w:val="000000"/>
                <w:sz w:val="20"/>
                <w:lang w:val="ru-RU"/>
              </w:rPr>
              <w:t>19 164</w:t>
            </w:r>
          </w:p>
        </w:tc>
      </w:tr>
      <w:tr w:rsidR="00D812E9" w:rsidRPr="00DB0AC3" w:rsidTr="007E4299">
        <w:trPr>
          <w:trHeight w:val="94"/>
        </w:trPr>
        <w:tc>
          <w:tcPr>
            <w:tcW w:w="3243" w:type="pct"/>
            <w:vMerge/>
            <w:noWrap/>
          </w:tcPr>
          <w:p w:rsidR="00D812E9" w:rsidRPr="00DB0AC3" w:rsidRDefault="00D812E9" w:rsidP="005F69B3">
            <w:pPr>
              <w:rPr>
                <w:rFonts w:cs="Arial"/>
                <w:color w:val="000000"/>
                <w:sz w:val="20"/>
                <w:lang w:val="ru-RU"/>
              </w:rPr>
            </w:pPr>
          </w:p>
        </w:tc>
        <w:tc>
          <w:tcPr>
            <w:tcW w:w="853" w:type="pct"/>
            <w:tcBorders>
              <w:top w:val="single" w:sz="4" w:space="0" w:color="auto"/>
            </w:tcBorders>
            <w:noWrap/>
          </w:tcPr>
          <w:p w:rsidR="00D812E9" w:rsidRPr="00DB0AC3" w:rsidRDefault="00D812E9" w:rsidP="005F69B3">
            <w:pPr>
              <w:jc w:val="right"/>
              <w:rPr>
                <w:rFonts w:cs="Arial"/>
                <w:color w:val="000000"/>
                <w:sz w:val="20"/>
                <w:lang w:val="ru-RU"/>
              </w:rPr>
            </w:pPr>
          </w:p>
        </w:tc>
        <w:tc>
          <w:tcPr>
            <w:tcW w:w="905" w:type="pct"/>
            <w:tcBorders>
              <w:top w:val="single" w:sz="4" w:space="0" w:color="auto"/>
            </w:tcBorders>
            <w:noWrap/>
          </w:tcPr>
          <w:p w:rsidR="00D812E9" w:rsidRPr="00DB0AC3" w:rsidRDefault="00D812E9" w:rsidP="005F69B3">
            <w:pPr>
              <w:jc w:val="right"/>
              <w:rPr>
                <w:rFonts w:cs="Arial"/>
                <w:color w:val="000000"/>
                <w:sz w:val="20"/>
                <w:lang w:val="ru-RU"/>
              </w:rPr>
            </w:pPr>
          </w:p>
        </w:tc>
      </w:tr>
      <w:tr w:rsidR="00D812E9" w:rsidRPr="00DB0AC3" w:rsidTr="007E4299">
        <w:trPr>
          <w:trHeight w:val="300"/>
        </w:trPr>
        <w:tc>
          <w:tcPr>
            <w:tcW w:w="3243" w:type="pct"/>
            <w:noWrap/>
            <w:hideMark/>
          </w:tcPr>
          <w:p w:rsidR="00D812E9" w:rsidRPr="00DB0AC3" w:rsidRDefault="00FB56F4" w:rsidP="005F69B3">
            <w:pPr>
              <w:rPr>
                <w:rFonts w:cs="Arial"/>
                <w:color w:val="000000"/>
                <w:sz w:val="20"/>
                <w:lang w:val="ru-RU"/>
              </w:rPr>
            </w:pPr>
            <w:r>
              <w:rPr>
                <w:rFonts w:cs="Arial"/>
                <w:color w:val="000000"/>
                <w:sz w:val="20"/>
                <w:lang w:val="ru-RU"/>
              </w:rPr>
              <w:t>Итого финансовые активы</w:t>
            </w:r>
          </w:p>
        </w:tc>
        <w:tc>
          <w:tcPr>
            <w:tcW w:w="853" w:type="pct"/>
            <w:noWrap/>
            <w:hideMark/>
          </w:tcPr>
          <w:p w:rsidR="00D812E9" w:rsidRPr="00DB0AC3" w:rsidRDefault="00D812E9" w:rsidP="005F69B3">
            <w:pPr>
              <w:jc w:val="right"/>
              <w:rPr>
                <w:rFonts w:cs="Arial"/>
                <w:color w:val="000000"/>
                <w:sz w:val="20"/>
                <w:lang w:val="ru-RU"/>
              </w:rPr>
            </w:pPr>
            <w:r w:rsidRPr="00DB0AC3">
              <w:rPr>
                <w:rFonts w:cs="Arial"/>
                <w:color w:val="000000"/>
                <w:sz w:val="20"/>
                <w:lang w:val="ru-RU"/>
              </w:rPr>
              <w:t>92 481</w:t>
            </w:r>
          </w:p>
        </w:tc>
        <w:tc>
          <w:tcPr>
            <w:tcW w:w="905" w:type="pct"/>
            <w:noWrap/>
            <w:hideMark/>
          </w:tcPr>
          <w:p w:rsidR="00D812E9" w:rsidRPr="00DB0AC3" w:rsidRDefault="00D812E9" w:rsidP="005F69B3">
            <w:pPr>
              <w:jc w:val="right"/>
              <w:rPr>
                <w:rFonts w:cs="Arial"/>
                <w:color w:val="000000"/>
                <w:sz w:val="20"/>
                <w:lang w:val="ru-RU"/>
              </w:rPr>
            </w:pPr>
            <w:r w:rsidRPr="00DB0AC3">
              <w:rPr>
                <w:rFonts w:cs="Arial"/>
                <w:color w:val="000000"/>
                <w:sz w:val="20"/>
                <w:lang w:val="ru-RU"/>
              </w:rPr>
              <w:t>171 728</w:t>
            </w:r>
          </w:p>
        </w:tc>
      </w:tr>
      <w:tr w:rsidR="00D812E9" w:rsidRPr="00DB0AC3" w:rsidTr="007E4299">
        <w:trPr>
          <w:trHeight w:val="300"/>
        </w:trPr>
        <w:tc>
          <w:tcPr>
            <w:tcW w:w="3243" w:type="pct"/>
            <w:noWrap/>
            <w:hideMark/>
          </w:tcPr>
          <w:p w:rsidR="00D812E9" w:rsidRPr="00DB0AC3" w:rsidRDefault="00D812E9" w:rsidP="005F69B3">
            <w:pPr>
              <w:rPr>
                <w:rFonts w:cs="Arial"/>
                <w:b/>
                <w:bCs/>
                <w:color w:val="000000"/>
                <w:sz w:val="20"/>
                <w:lang w:val="ru-RU"/>
              </w:rPr>
            </w:pPr>
            <w:r w:rsidRPr="00DB0AC3">
              <w:rPr>
                <w:rFonts w:cs="Arial"/>
                <w:b/>
                <w:bCs/>
                <w:color w:val="000000"/>
                <w:sz w:val="20"/>
                <w:lang w:val="ru-RU"/>
              </w:rPr>
              <w:t>Нефинансовые активы</w:t>
            </w:r>
            <w:r w:rsidR="00FB56F4">
              <w:rPr>
                <w:rFonts w:cs="Arial"/>
                <w:b/>
                <w:bCs/>
                <w:color w:val="000000"/>
                <w:sz w:val="20"/>
                <w:lang w:val="ru-RU"/>
              </w:rPr>
              <w:t>:</w:t>
            </w:r>
          </w:p>
        </w:tc>
        <w:tc>
          <w:tcPr>
            <w:tcW w:w="853" w:type="pct"/>
            <w:noWrap/>
            <w:hideMark/>
          </w:tcPr>
          <w:p w:rsidR="00D812E9" w:rsidRPr="00DB0AC3" w:rsidRDefault="00D812E9" w:rsidP="005F69B3">
            <w:pPr>
              <w:rPr>
                <w:rFonts w:cs="Arial"/>
                <w:b/>
                <w:bCs/>
                <w:color w:val="000000"/>
                <w:sz w:val="20"/>
                <w:lang w:val="ru-RU"/>
              </w:rPr>
            </w:pPr>
          </w:p>
        </w:tc>
        <w:tc>
          <w:tcPr>
            <w:tcW w:w="905" w:type="pct"/>
            <w:noWrap/>
            <w:hideMark/>
          </w:tcPr>
          <w:p w:rsidR="00D812E9" w:rsidRPr="00DB0AC3" w:rsidRDefault="00D812E9" w:rsidP="005F69B3">
            <w:pPr>
              <w:rPr>
                <w:rFonts w:cs="Arial"/>
                <w:b/>
                <w:bCs/>
                <w:color w:val="000000"/>
                <w:sz w:val="20"/>
                <w:lang w:val="ru-RU"/>
              </w:rPr>
            </w:pPr>
          </w:p>
        </w:tc>
      </w:tr>
      <w:tr w:rsidR="007E4299" w:rsidRPr="00DB0AC3" w:rsidTr="007E4299">
        <w:trPr>
          <w:trHeight w:val="300"/>
        </w:trPr>
        <w:tc>
          <w:tcPr>
            <w:tcW w:w="3243" w:type="pct"/>
            <w:noWrap/>
            <w:hideMark/>
          </w:tcPr>
          <w:p w:rsidR="007E4299" w:rsidRPr="00DB0AC3" w:rsidRDefault="007E4299" w:rsidP="005F69B3">
            <w:pPr>
              <w:rPr>
                <w:rFonts w:cs="Arial"/>
                <w:color w:val="000000"/>
                <w:sz w:val="20"/>
                <w:lang w:val="ru-RU"/>
              </w:rPr>
            </w:pPr>
            <w:r w:rsidRPr="00DB0AC3">
              <w:rPr>
                <w:rFonts w:cs="Arial"/>
                <w:color w:val="000000"/>
                <w:sz w:val="20"/>
                <w:lang w:val="ru-RU"/>
              </w:rPr>
              <w:t>Авансы выданные</w:t>
            </w:r>
          </w:p>
        </w:tc>
        <w:tc>
          <w:tcPr>
            <w:tcW w:w="853" w:type="pct"/>
            <w:noWrap/>
            <w:vAlign w:val="bottom"/>
            <w:hideMark/>
          </w:tcPr>
          <w:p w:rsidR="007E4299" w:rsidRPr="00DB0AC3" w:rsidRDefault="007E4299">
            <w:pPr>
              <w:jc w:val="right"/>
              <w:rPr>
                <w:rFonts w:cs="Arial"/>
                <w:color w:val="000000"/>
                <w:sz w:val="20"/>
              </w:rPr>
            </w:pPr>
            <w:r w:rsidRPr="00DB0AC3">
              <w:rPr>
                <w:rFonts w:cs="Arial"/>
                <w:color w:val="000000"/>
                <w:sz w:val="20"/>
              </w:rPr>
              <w:t>14 820</w:t>
            </w:r>
          </w:p>
        </w:tc>
        <w:tc>
          <w:tcPr>
            <w:tcW w:w="905" w:type="pct"/>
            <w:noWrap/>
            <w:hideMark/>
          </w:tcPr>
          <w:p w:rsidR="007E4299" w:rsidRPr="00DB0AC3" w:rsidRDefault="007E4299" w:rsidP="005F69B3">
            <w:pPr>
              <w:jc w:val="right"/>
              <w:rPr>
                <w:rFonts w:cs="Arial"/>
                <w:color w:val="000000"/>
                <w:sz w:val="20"/>
                <w:lang w:val="ru-RU"/>
              </w:rPr>
            </w:pPr>
            <w:r w:rsidRPr="00DB0AC3">
              <w:rPr>
                <w:rFonts w:cs="Arial"/>
                <w:color w:val="000000"/>
                <w:sz w:val="20"/>
                <w:lang w:val="ru-RU"/>
              </w:rPr>
              <w:t>26 635</w:t>
            </w:r>
          </w:p>
        </w:tc>
      </w:tr>
      <w:tr w:rsidR="007E4299" w:rsidRPr="00DB0AC3" w:rsidTr="007E4299">
        <w:trPr>
          <w:trHeight w:val="300"/>
        </w:trPr>
        <w:tc>
          <w:tcPr>
            <w:tcW w:w="3243" w:type="pct"/>
            <w:noWrap/>
            <w:hideMark/>
          </w:tcPr>
          <w:p w:rsidR="007E4299" w:rsidRPr="00DB0AC3" w:rsidRDefault="007E4299" w:rsidP="005F69B3">
            <w:pPr>
              <w:rPr>
                <w:rFonts w:cs="Arial"/>
                <w:color w:val="000000"/>
                <w:sz w:val="20"/>
                <w:lang w:val="ru-RU"/>
              </w:rPr>
            </w:pPr>
            <w:r w:rsidRPr="00DB0AC3">
              <w:rPr>
                <w:rFonts w:cs="Arial"/>
                <w:color w:val="000000"/>
                <w:sz w:val="20"/>
                <w:lang w:val="ru-RU"/>
              </w:rPr>
              <w:t>Расчеты с бюджетом по налогам (кроме налога на прибыль)</w:t>
            </w:r>
          </w:p>
        </w:tc>
        <w:tc>
          <w:tcPr>
            <w:tcW w:w="853" w:type="pct"/>
            <w:noWrap/>
            <w:vAlign w:val="bottom"/>
            <w:hideMark/>
          </w:tcPr>
          <w:p w:rsidR="007E4299" w:rsidRPr="00DB0AC3" w:rsidRDefault="007E4299">
            <w:pPr>
              <w:jc w:val="right"/>
              <w:rPr>
                <w:rFonts w:cs="Arial"/>
                <w:color w:val="000000"/>
                <w:sz w:val="20"/>
              </w:rPr>
            </w:pPr>
            <w:r w:rsidRPr="00DB0AC3">
              <w:rPr>
                <w:rFonts w:cs="Arial"/>
                <w:color w:val="000000"/>
                <w:sz w:val="20"/>
              </w:rPr>
              <w:t>1 442</w:t>
            </w:r>
          </w:p>
        </w:tc>
        <w:tc>
          <w:tcPr>
            <w:tcW w:w="905" w:type="pct"/>
            <w:noWrap/>
            <w:hideMark/>
          </w:tcPr>
          <w:p w:rsidR="007E4299" w:rsidRPr="00DB0AC3" w:rsidRDefault="007E4299" w:rsidP="005F69B3">
            <w:pPr>
              <w:jc w:val="right"/>
              <w:rPr>
                <w:rFonts w:cs="Arial"/>
                <w:color w:val="000000"/>
                <w:sz w:val="20"/>
                <w:lang w:val="ru-RU"/>
              </w:rPr>
            </w:pPr>
            <w:r w:rsidRPr="00DB0AC3">
              <w:rPr>
                <w:rFonts w:cs="Arial"/>
                <w:color w:val="000000"/>
                <w:sz w:val="20"/>
                <w:lang w:val="ru-RU"/>
              </w:rPr>
              <w:t>5 897</w:t>
            </w:r>
          </w:p>
        </w:tc>
      </w:tr>
      <w:tr w:rsidR="007E4299" w:rsidRPr="00DB0AC3" w:rsidTr="007E4299">
        <w:trPr>
          <w:trHeight w:val="300"/>
        </w:trPr>
        <w:tc>
          <w:tcPr>
            <w:tcW w:w="3243" w:type="pct"/>
            <w:noWrap/>
            <w:hideMark/>
          </w:tcPr>
          <w:p w:rsidR="007E4299" w:rsidRPr="00DB0AC3" w:rsidRDefault="007E4299" w:rsidP="005F69B3">
            <w:pPr>
              <w:rPr>
                <w:rFonts w:cs="Arial"/>
                <w:color w:val="000000"/>
                <w:sz w:val="20"/>
                <w:lang w:val="ru-RU"/>
              </w:rPr>
            </w:pPr>
            <w:r w:rsidRPr="00DB0AC3">
              <w:rPr>
                <w:rFonts w:cs="Arial"/>
                <w:color w:val="000000"/>
                <w:sz w:val="20"/>
                <w:lang w:val="ru-RU"/>
              </w:rPr>
              <w:t>Прочие активы</w:t>
            </w:r>
          </w:p>
        </w:tc>
        <w:tc>
          <w:tcPr>
            <w:tcW w:w="853" w:type="pct"/>
            <w:tcBorders>
              <w:bottom w:val="single" w:sz="4" w:space="0" w:color="auto"/>
            </w:tcBorders>
            <w:noWrap/>
            <w:vAlign w:val="bottom"/>
            <w:hideMark/>
          </w:tcPr>
          <w:p w:rsidR="007E4299" w:rsidRPr="00DB0AC3" w:rsidRDefault="007E4299">
            <w:pPr>
              <w:jc w:val="right"/>
              <w:rPr>
                <w:rFonts w:cs="Arial"/>
                <w:color w:val="000000"/>
                <w:sz w:val="20"/>
              </w:rPr>
            </w:pPr>
            <w:r w:rsidRPr="00DB0AC3">
              <w:rPr>
                <w:rFonts w:cs="Arial"/>
                <w:color w:val="000000"/>
                <w:sz w:val="20"/>
              </w:rPr>
              <w:t>940</w:t>
            </w:r>
          </w:p>
        </w:tc>
        <w:tc>
          <w:tcPr>
            <w:tcW w:w="905" w:type="pct"/>
            <w:tcBorders>
              <w:bottom w:val="single" w:sz="4" w:space="0" w:color="auto"/>
            </w:tcBorders>
            <w:noWrap/>
            <w:hideMark/>
          </w:tcPr>
          <w:p w:rsidR="007E4299" w:rsidRPr="00DB0AC3" w:rsidRDefault="007E4299" w:rsidP="005F69B3">
            <w:pPr>
              <w:jc w:val="right"/>
              <w:rPr>
                <w:rFonts w:cs="Arial"/>
                <w:color w:val="000000"/>
                <w:sz w:val="20"/>
                <w:lang w:val="ru-RU"/>
              </w:rPr>
            </w:pPr>
            <w:r w:rsidRPr="00DB0AC3">
              <w:rPr>
                <w:rFonts w:cs="Arial"/>
                <w:color w:val="000000"/>
                <w:sz w:val="20"/>
                <w:lang w:val="ru-RU"/>
              </w:rPr>
              <w:t>887</w:t>
            </w:r>
          </w:p>
        </w:tc>
      </w:tr>
      <w:tr w:rsidR="00D812E9" w:rsidRPr="00DB0AC3" w:rsidTr="007E4299">
        <w:trPr>
          <w:trHeight w:val="300"/>
        </w:trPr>
        <w:tc>
          <w:tcPr>
            <w:tcW w:w="3243" w:type="pct"/>
            <w:noWrap/>
            <w:hideMark/>
          </w:tcPr>
          <w:p w:rsidR="00D812E9" w:rsidRPr="00DB0AC3" w:rsidRDefault="00FB56F4" w:rsidP="005F69B3">
            <w:pPr>
              <w:rPr>
                <w:rFonts w:cs="Arial"/>
                <w:color w:val="000000"/>
                <w:sz w:val="20"/>
                <w:lang w:val="ru-RU"/>
              </w:rPr>
            </w:pPr>
            <w:r>
              <w:rPr>
                <w:rFonts w:cs="Arial"/>
                <w:color w:val="000000"/>
                <w:sz w:val="20"/>
                <w:lang w:val="ru-RU"/>
              </w:rPr>
              <w:t>Итого нефинансовые активы</w:t>
            </w:r>
          </w:p>
        </w:tc>
        <w:tc>
          <w:tcPr>
            <w:tcW w:w="853" w:type="pct"/>
            <w:tcBorders>
              <w:top w:val="single" w:sz="4" w:space="0" w:color="auto"/>
            </w:tcBorders>
            <w:noWrap/>
            <w:hideMark/>
          </w:tcPr>
          <w:p w:rsidR="00D812E9" w:rsidRPr="00DB0AC3" w:rsidRDefault="007E4299" w:rsidP="005F69B3">
            <w:pPr>
              <w:jc w:val="right"/>
              <w:rPr>
                <w:rFonts w:cs="Arial"/>
                <w:color w:val="000000"/>
                <w:sz w:val="20"/>
                <w:lang w:val="ru-RU"/>
              </w:rPr>
            </w:pPr>
            <w:r w:rsidRPr="00DB0AC3">
              <w:rPr>
                <w:rFonts w:cs="Arial"/>
                <w:color w:val="000000"/>
                <w:sz w:val="20"/>
                <w:lang w:val="ru-RU"/>
              </w:rPr>
              <w:t>17 202</w:t>
            </w:r>
          </w:p>
        </w:tc>
        <w:tc>
          <w:tcPr>
            <w:tcW w:w="905" w:type="pct"/>
            <w:tcBorders>
              <w:top w:val="single" w:sz="4" w:space="0" w:color="auto"/>
            </w:tcBorders>
            <w:noWrap/>
            <w:hideMark/>
          </w:tcPr>
          <w:p w:rsidR="00D812E9" w:rsidRPr="00DB0AC3" w:rsidRDefault="00D812E9" w:rsidP="005F69B3">
            <w:pPr>
              <w:jc w:val="right"/>
              <w:rPr>
                <w:rFonts w:cs="Arial"/>
                <w:color w:val="000000"/>
                <w:sz w:val="20"/>
                <w:lang w:val="ru-RU"/>
              </w:rPr>
            </w:pPr>
            <w:r w:rsidRPr="00DB0AC3">
              <w:rPr>
                <w:rFonts w:cs="Arial"/>
                <w:color w:val="000000"/>
                <w:sz w:val="20"/>
                <w:lang w:val="ru-RU"/>
              </w:rPr>
              <w:t>33 419</w:t>
            </w:r>
          </w:p>
        </w:tc>
      </w:tr>
      <w:tr w:rsidR="00D812E9" w:rsidRPr="0046554E" w:rsidTr="007E4299">
        <w:trPr>
          <w:trHeight w:val="95"/>
        </w:trPr>
        <w:tc>
          <w:tcPr>
            <w:tcW w:w="3243" w:type="pct"/>
            <w:vMerge w:val="restart"/>
            <w:noWrap/>
            <w:hideMark/>
          </w:tcPr>
          <w:p w:rsidR="00D812E9" w:rsidRPr="00DB0AC3" w:rsidRDefault="00D812E9" w:rsidP="005F69B3">
            <w:pPr>
              <w:rPr>
                <w:rFonts w:cs="Arial"/>
                <w:color w:val="000000"/>
                <w:sz w:val="20"/>
                <w:lang w:val="ru-RU"/>
              </w:rPr>
            </w:pPr>
          </w:p>
          <w:p w:rsidR="00D812E9" w:rsidRPr="00DB0AC3" w:rsidRDefault="00D812E9" w:rsidP="005F69B3">
            <w:pPr>
              <w:rPr>
                <w:rFonts w:cs="Arial"/>
                <w:color w:val="000000"/>
                <w:sz w:val="20"/>
                <w:lang w:val="ru-RU"/>
              </w:rPr>
            </w:pPr>
            <w:r w:rsidRPr="00DB0AC3">
              <w:rPr>
                <w:rFonts w:cs="Arial"/>
                <w:color w:val="000000"/>
                <w:sz w:val="20"/>
                <w:lang w:val="ru-RU"/>
              </w:rPr>
              <w:t>Прочие активы и дебиторская задолженность, валовые</w:t>
            </w:r>
          </w:p>
        </w:tc>
        <w:tc>
          <w:tcPr>
            <w:tcW w:w="853" w:type="pct"/>
            <w:tcBorders>
              <w:bottom w:val="single" w:sz="4" w:space="0" w:color="auto"/>
            </w:tcBorders>
            <w:noWrap/>
            <w:hideMark/>
          </w:tcPr>
          <w:p w:rsidR="00D812E9" w:rsidRPr="00DB0AC3" w:rsidRDefault="00D812E9" w:rsidP="005F69B3">
            <w:pPr>
              <w:jc w:val="right"/>
              <w:rPr>
                <w:rFonts w:cs="Arial"/>
                <w:color w:val="000000"/>
                <w:sz w:val="20"/>
                <w:lang w:val="ru-RU"/>
              </w:rPr>
            </w:pPr>
          </w:p>
        </w:tc>
        <w:tc>
          <w:tcPr>
            <w:tcW w:w="905" w:type="pct"/>
            <w:tcBorders>
              <w:bottom w:val="single" w:sz="4" w:space="0" w:color="auto"/>
            </w:tcBorders>
            <w:noWrap/>
            <w:hideMark/>
          </w:tcPr>
          <w:p w:rsidR="00D812E9" w:rsidRPr="00DB0AC3" w:rsidRDefault="00D812E9" w:rsidP="005F69B3">
            <w:pPr>
              <w:jc w:val="right"/>
              <w:rPr>
                <w:rFonts w:cs="Arial"/>
                <w:color w:val="000000"/>
                <w:sz w:val="20"/>
                <w:lang w:val="ru-RU"/>
              </w:rPr>
            </w:pPr>
          </w:p>
        </w:tc>
      </w:tr>
      <w:tr w:rsidR="00D812E9" w:rsidRPr="00DB0AC3" w:rsidTr="007E4299">
        <w:trPr>
          <w:trHeight w:val="431"/>
        </w:trPr>
        <w:tc>
          <w:tcPr>
            <w:tcW w:w="3243" w:type="pct"/>
            <w:vMerge/>
            <w:noWrap/>
          </w:tcPr>
          <w:p w:rsidR="00D812E9" w:rsidRPr="00DB0AC3" w:rsidRDefault="00D812E9" w:rsidP="005F69B3">
            <w:pPr>
              <w:rPr>
                <w:rFonts w:cs="Arial"/>
                <w:color w:val="000000"/>
                <w:sz w:val="20"/>
                <w:lang w:val="ru-RU"/>
              </w:rPr>
            </w:pPr>
          </w:p>
        </w:tc>
        <w:tc>
          <w:tcPr>
            <w:tcW w:w="853" w:type="pct"/>
            <w:tcBorders>
              <w:top w:val="single" w:sz="4" w:space="0" w:color="auto"/>
            </w:tcBorders>
            <w:noWrap/>
          </w:tcPr>
          <w:p w:rsidR="00D812E9" w:rsidRPr="00DB0AC3" w:rsidRDefault="00D812E9" w:rsidP="005F69B3">
            <w:pPr>
              <w:jc w:val="right"/>
              <w:rPr>
                <w:rFonts w:cs="Arial"/>
                <w:color w:val="000000"/>
                <w:sz w:val="20"/>
                <w:lang w:val="ru-RU"/>
              </w:rPr>
            </w:pPr>
          </w:p>
          <w:p w:rsidR="007E4299" w:rsidRPr="00DB0AC3" w:rsidRDefault="007E4299" w:rsidP="007E4299">
            <w:pPr>
              <w:jc w:val="right"/>
              <w:rPr>
                <w:rFonts w:cs="Arial"/>
                <w:color w:val="000000"/>
                <w:sz w:val="20"/>
              </w:rPr>
            </w:pPr>
            <w:r w:rsidRPr="00DB0AC3">
              <w:rPr>
                <w:rFonts w:cs="Arial"/>
                <w:color w:val="000000"/>
                <w:sz w:val="20"/>
              </w:rPr>
              <w:t>109 683</w:t>
            </w:r>
          </w:p>
          <w:p w:rsidR="00D812E9" w:rsidRPr="00DB0AC3" w:rsidRDefault="00D812E9" w:rsidP="005F69B3">
            <w:pPr>
              <w:jc w:val="right"/>
              <w:rPr>
                <w:rFonts w:cs="Arial"/>
                <w:color w:val="000000"/>
                <w:sz w:val="20"/>
                <w:lang w:val="ru-RU"/>
              </w:rPr>
            </w:pPr>
          </w:p>
        </w:tc>
        <w:tc>
          <w:tcPr>
            <w:tcW w:w="905" w:type="pct"/>
            <w:tcBorders>
              <w:top w:val="single" w:sz="4" w:space="0" w:color="auto"/>
            </w:tcBorders>
            <w:noWrap/>
          </w:tcPr>
          <w:p w:rsidR="00D812E9" w:rsidRPr="00DB0AC3" w:rsidRDefault="00D812E9" w:rsidP="005F69B3">
            <w:pPr>
              <w:jc w:val="right"/>
              <w:rPr>
                <w:rFonts w:cs="Arial"/>
                <w:color w:val="000000"/>
                <w:sz w:val="20"/>
                <w:lang w:val="ru-RU"/>
              </w:rPr>
            </w:pPr>
          </w:p>
          <w:p w:rsidR="00D812E9" w:rsidRPr="00DB0AC3" w:rsidRDefault="00D812E9" w:rsidP="005F69B3">
            <w:pPr>
              <w:jc w:val="right"/>
              <w:rPr>
                <w:rFonts w:cs="Arial"/>
                <w:color w:val="000000"/>
                <w:sz w:val="20"/>
                <w:lang w:val="ru-RU"/>
              </w:rPr>
            </w:pPr>
            <w:r w:rsidRPr="00DB0AC3">
              <w:rPr>
                <w:rFonts w:cs="Arial"/>
                <w:color w:val="000000"/>
                <w:sz w:val="20"/>
                <w:lang w:val="ru-RU"/>
              </w:rPr>
              <w:t>205 147</w:t>
            </w:r>
          </w:p>
        </w:tc>
      </w:tr>
      <w:tr w:rsidR="00D812E9" w:rsidRPr="00DB0AC3" w:rsidTr="007E4299">
        <w:trPr>
          <w:trHeight w:val="300"/>
        </w:trPr>
        <w:tc>
          <w:tcPr>
            <w:tcW w:w="3243" w:type="pct"/>
            <w:noWrap/>
            <w:hideMark/>
          </w:tcPr>
          <w:p w:rsidR="00D812E9" w:rsidRPr="00DB0AC3" w:rsidRDefault="00D812E9" w:rsidP="005F69B3">
            <w:pPr>
              <w:rPr>
                <w:rFonts w:cs="Arial"/>
                <w:color w:val="000000"/>
                <w:sz w:val="20"/>
                <w:lang w:val="ru-RU"/>
              </w:rPr>
            </w:pPr>
          </w:p>
        </w:tc>
        <w:tc>
          <w:tcPr>
            <w:tcW w:w="853" w:type="pct"/>
            <w:noWrap/>
            <w:hideMark/>
          </w:tcPr>
          <w:p w:rsidR="00D812E9" w:rsidRPr="00DB0AC3" w:rsidRDefault="00D812E9" w:rsidP="005F69B3">
            <w:pPr>
              <w:rPr>
                <w:rFonts w:cs="Arial"/>
                <w:color w:val="000000"/>
                <w:sz w:val="20"/>
                <w:lang w:val="ru-RU"/>
              </w:rPr>
            </w:pPr>
          </w:p>
        </w:tc>
        <w:tc>
          <w:tcPr>
            <w:tcW w:w="905" w:type="pct"/>
            <w:noWrap/>
            <w:hideMark/>
          </w:tcPr>
          <w:p w:rsidR="00D812E9" w:rsidRPr="00DB0AC3" w:rsidRDefault="00D812E9" w:rsidP="005F69B3">
            <w:pPr>
              <w:rPr>
                <w:rFonts w:cs="Arial"/>
                <w:color w:val="000000"/>
                <w:sz w:val="20"/>
                <w:lang w:val="ru-RU"/>
              </w:rPr>
            </w:pPr>
          </w:p>
        </w:tc>
      </w:tr>
      <w:tr w:rsidR="00D812E9" w:rsidRPr="00DB0AC3" w:rsidTr="007E4299">
        <w:trPr>
          <w:trHeight w:val="270"/>
        </w:trPr>
        <w:tc>
          <w:tcPr>
            <w:tcW w:w="3243" w:type="pct"/>
            <w:vMerge w:val="restart"/>
            <w:hideMark/>
          </w:tcPr>
          <w:p w:rsidR="00D812E9" w:rsidRPr="00DB0AC3" w:rsidRDefault="00D812E9" w:rsidP="005F69B3">
            <w:pPr>
              <w:rPr>
                <w:rFonts w:cs="Arial"/>
                <w:color w:val="000000"/>
                <w:sz w:val="20"/>
                <w:lang w:val="ru-RU"/>
              </w:rPr>
            </w:pPr>
            <w:r w:rsidRPr="00DB0AC3">
              <w:rPr>
                <w:rFonts w:cs="Arial"/>
                <w:color w:val="000000"/>
                <w:sz w:val="20"/>
                <w:lang w:val="ru-RU"/>
              </w:rPr>
              <w:t>Минус: резерв под обесценение прочих активов и дебиторской задолженности</w:t>
            </w:r>
          </w:p>
        </w:tc>
        <w:tc>
          <w:tcPr>
            <w:tcW w:w="853" w:type="pct"/>
            <w:tcBorders>
              <w:bottom w:val="single" w:sz="4" w:space="0" w:color="auto"/>
            </w:tcBorders>
            <w:noWrap/>
            <w:hideMark/>
          </w:tcPr>
          <w:p w:rsidR="008E3EDA" w:rsidRPr="00DB0AC3" w:rsidRDefault="00D812E9">
            <w:pPr>
              <w:jc w:val="right"/>
              <w:rPr>
                <w:rFonts w:eastAsia="Times New Roman" w:cs="Arial"/>
                <w:b/>
                <w:bCs/>
                <w:smallCaps/>
                <w:color w:val="000000"/>
                <w:spacing w:val="-2"/>
                <w:sz w:val="20"/>
                <w:lang w:val="ru-RU"/>
              </w:rPr>
            </w:pPr>
            <w:r w:rsidRPr="00DB0AC3">
              <w:rPr>
                <w:rFonts w:cs="Arial"/>
                <w:color w:val="000000"/>
                <w:sz w:val="20"/>
                <w:lang w:val="ru-RU"/>
              </w:rPr>
              <w:t>(57 307)</w:t>
            </w:r>
          </w:p>
        </w:tc>
        <w:tc>
          <w:tcPr>
            <w:tcW w:w="905" w:type="pct"/>
            <w:tcBorders>
              <w:bottom w:val="single" w:sz="4" w:space="0" w:color="auto"/>
            </w:tcBorders>
            <w:noWrap/>
            <w:hideMark/>
          </w:tcPr>
          <w:p w:rsidR="00D812E9" w:rsidRPr="00DB0AC3" w:rsidRDefault="00D812E9" w:rsidP="00404441">
            <w:pPr>
              <w:jc w:val="right"/>
              <w:rPr>
                <w:rFonts w:cs="Arial"/>
                <w:color w:val="000000"/>
                <w:sz w:val="20"/>
                <w:lang w:val="ru-RU"/>
              </w:rPr>
            </w:pPr>
            <w:r w:rsidRPr="00DB0AC3">
              <w:rPr>
                <w:rFonts w:cs="Arial"/>
                <w:color w:val="000000"/>
                <w:sz w:val="20"/>
                <w:lang w:val="ru-RU"/>
              </w:rPr>
              <w:t>(11 829)</w:t>
            </w:r>
          </w:p>
        </w:tc>
      </w:tr>
      <w:tr w:rsidR="00D812E9" w:rsidRPr="00DB0AC3" w:rsidTr="007E4299">
        <w:trPr>
          <w:trHeight w:val="323"/>
        </w:trPr>
        <w:tc>
          <w:tcPr>
            <w:tcW w:w="3243" w:type="pct"/>
            <w:vMerge/>
          </w:tcPr>
          <w:p w:rsidR="00D812E9" w:rsidRPr="00DB0AC3" w:rsidRDefault="00D812E9" w:rsidP="005F69B3">
            <w:pPr>
              <w:rPr>
                <w:rFonts w:cs="Arial"/>
                <w:color w:val="000000"/>
                <w:sz w:val="20"/>
                <w:lang w:val="ru-RU"/>
              </w:rPr>
            </w:pPr>
          </w:p>
        </w:tc>
        <w:tc>
          <w:tcPr>
            <w:tcW w:w="853" w:type="pct"/>
            <w:tcBorders>
              <w:top w:val="single" w:sz="4" w:space="0" w:color="auto"/>
            </w:tcBorders>
            <w:noWrap/>
          </w:tcPr>
          <w:p w:rsidR="00D812E9" w:rsidRPr="00DB0AC3" w:rsidRDefault="00D812E9" w:rsidP="005F69B3">
            <w:pPr>
              <w:rPr>
                <w:rFonts w:cs="Arial"/>
                <w:color w:val="000000"/>
                <w:sz w:val="20"/>
                <w:lang w:val="ru-RU"/>
              </w:rPr>
            </w:pPr>
          </w:p>
        </w:tc>
        <w:tc>
          <w:tcPr>
            <w:tcW w:w="905" w:type="pct"/>
            <w:tcBorders>
              <w:top w:val="single" w:sz="4" w:space="0" w:color="auto"/>
            </w:tcBorders>
            <w:noWrap/>
          </w:tcPr>
          <w:p w:rsidR="00D812E9" w:rsidRPr="00DB0AC3" w:rsidRDefault="00D812E9" w:rsidP="005F69B3">
            <w:pPr>
              <w:jc w:val="right"/>
              <w:rPr>
                <w:rFonts w:cs="Arial"/>
                <w:color w:val="000000"/>
                <w:sz w:val="20"/>
                <w:lang w:val="ru-RU"/>
              </w:rPr>
            </w:pPr>
          </w:p>
        </w:tc>
      </w:tr>
      <w:tr w:rsidR="00D812E9" w:rsidRPr="00DB0AC3" w:rsidTr="007E4299">
        <w:trPr>
          <w:trHeight w:val="315"/>
        </w:trPr>
        <w:tc>
          <w:tcPr>
            <w:tcW w:w="3243" w:type="pct"/>
            <w:noWrap/>
            <w:hideMark/>
          </w:tcPr>
          <w:p w:rsidR="00D812E9" w:rsidRPr="00DB0AC3" w:rsidRDefault="00D812E9" w:rsidP="005F69B3">
            <w:pPr>
              <w:rPr>
                <w:rFonts w:cs="Arial"/>
                <w:b/>
                <w:bCs/>
                <w:color w:val="000000"/>
                <w:sz w:val="20"/>
                <w:lang w:val="ru-RU"/>
              </w:rPr>
            </w:pPr>
            <w:r w:rsidRPr="00DB0AC3">
              <w:rPr>
                <w:rFonts w:cs="Arial"/>
                <w:b/>
                <w:bCs/>
                <w:color w:val="000000"/>
                <w:sz w:val="20"/>
                <w:lang w:val="ru-RU"/>
              </w:rPr>
              <w:t>Прочие активы и дебиторская задолженность, чистые</w:t>
            </w:r>
          </w:p>
        </w:tc>
        <w:tc>
          <w:tcPr>
            <w:tcW w:w="853" w:type="pct"/>
            <w:tcBorders>
              <w:bottom w:val="double" w:sz="4" w:space="0" w:color="auto"/>
            </w:tcBorders>
            <w:noWrap/>
            <w:hideMark/>
          </w:tcPr>
          <w:p w:rsidR="00D812E9" w:rsidRPr="00DB0AC3" w:rsidRDefault="007E4299" w:rsidP="005F69B3">
            <w:pPr>
              <w:jc w:val="right"/>
              <w:rPr>
                <w:rFonts w:cs="Arial"/>
                <w:b/>
                <w:bCs/>
                <w:color w:val="000000"/>
                <w:sz w:val="20"/>
                <w:lang w:val="ru-RU"/>
              </w:rPr>
            </w:pPr>
            <w:r w:rsidRPr="00DB0AC3">
              <w:rPr>
                <w:rFonts w:cs="Arial"/>
                <w:b/>
                <w:bCs/>
                <w:color w:val="000000"/>
                <w:sz w:val="20"/>
                <w:lang w:val="ru-RU"/>
              </w:rPr>
              <w:t>52 3</w:t>
            </w:r>
            <w:r w:rsidR="00D812E9" w:rsidRPr="00DB0AC3">
              <w:rPr>
                <w:rFonts w:cs="Arial"/>
                <w:b/>
                <w:bCs/>
                <w:color w:val="000000"/>
                <w:sz w:val="20"/>
                <w:lang w:val="ru-RU"/>
              </w:rPr>
              <w:t>76</w:t>
            </w:r>
          </w:p>
        </w:tc>
        <w:tc>
          <w:tcPr>
            <w:tcW w:w="905" w:type="pct"/>
            <w:tcBorders>
              <w:bottom w:val="double" w:sz="4" w:space="0" w:color="auto"/>
            </w:tcBorders>
            <w:noWrap/>
            <w:hideMark/>
          </w:tcPr>
          <w:p w:rsidR="00D812E9" w:rsidRPr="00DB0AC3" w:rsidRDefault="00D812E9" w:rsidP="005F69B3">
            <w:pPr>
              <w:jc w:val="right"/>
              <w:rPr>
                <w:rFonts w:cs="Arial"/>
                <w:b/>
                <w:bCs/>
                <w:color w:val="000000"/>
                <w:sz w:val="20"/>
                <w:lang w:val="ru-RU"/>
              </w:rPr>
            </w:pPr>
            <w:r w:rsidRPr="00DB0AC3">
              <w:rPr>
                <w:rFonts w:cs="Arial"/>
                <w:b/>
                <w:bCs/>
                <w:color w:val="000000"/>
                <w:sz w:val="20"/>
                <w:lang w:val="ru-RU"/>
              </w:rPr>
              <w:t>193 318</w:t>
            </w:r>
          </w:p>
        </w:tc>
      </w:tr>
    </w:tbl>
    <w:p w:rsidR="00D812E9" w:rsidRPr="00DB0AC3" w:rsidRDefault="00D812E9" w:rsidP="00D812E9">
      <w:pPr>
        <w:rPr>
          <w:rFonts w:cs="Arial"/>
          <w:sz w:val="20"/>
          <w:lang w:val="ru-RU"/>
        </w:rPr>
      </w:pPr>
    </w:p>
    <w:p w:rsidR="003D6F26" w:rsidRDefault="003D6F26" w:rsidP="00D812E9">
      <w:pPr>
        <w:rPr>
          <w:rFonts w:eastAsia="SimSun" w:cs="Arial"/>
          <w:bCs/>
          <w:sz w:val="20"/>
          <w:lang w:val="ru-RU"/>
        </w:rPr>
      </w:pPr>
    </w:p>
    <w:p w:rsidR="00D812E9" w:rsidRPr="00DB0AC3" w:rsidRDefault="00D812E9" w:rsidP="00D812E9">
      <w:pPr>
        <w:rPr>
          <w:rFonts w:eastAsia="SimSun" w:cs="Arial"/>
          <w:bCs/>
          <w:sz w:val="20"/>
          <w:lang w:val="ru-RU"/>
        </w:rPr>
      </w:pPr>
      <w:r w:rsidRPr="00DB0AC3">
        <w:rPr>
          <w:rFonts w:eastAsia="SimSun" w:cs="Arial"/>
          <w:bCs/>
          <w:sz w:val="20"/>
          <w:lang w:val="ru-RU"/>
        </w:rPr>
        <w:t xml:space="preserve">Движение резерва под обесценение прочих активов </w:t>
      </w:r>
      <w:r w:rsidR="006410A0">
        <w:rPr>
          <w:rFonts w:eastAsia="SimSun" w:cs="Arial"/>
          <w:bCs/>
          <w:sz w:val="20"/>
          <w:lang w:val="ru-RU"/>
        </w:rPr>
        <w:t xml:space="preserve">и дебиторской задолженности </w:t>
      </w:r>
      <w:r w:rsidRPr="00DB0AC3">
        <w:rPr>
          <w:rFonts w:eastAsia="SimSun" w:cs="Arial"/>
          <w:bCs/>
          <w:sz w:val="20"/>
          <w:lang w:val="ru-RU"/>
        </w:rPr>
        <w:t>за отчетный период представлено в следующей таблице:</w:t>
      </w:r>
    </w:p>
    <w:p w:rsidR="00D812E9" w:rsidRPr="00DB0AC3" w:rsidRDefault="00D812E9" w:rsidP="00D812E9">
      <w:pPr>
        <w:rPr>
          <w:rFonts w:eastAsia="SimSun" w:cs="Arial"/>
          <w:bCs/>
          <w:sz w:val="20"/>
          <w:lang w:val="ru-RU"/>
        </w:rPr>
      </w:pPr>
    </w:p>
    <w:tbl>
      <w:tblPr>
        <w:tblW w:w="0" w:type="auto"/>
        <w:tblInd w:w="93" w:type="dxa"/>
        <w:tblLook w:val="04A0"/>
      </w:tblPr>
      <w:tblGrid>
        <w:gridCol w:w="5216"/>
        <w:gridCol w:w="2051"/>
        <w:gridCol w:w="2217"/>
      </w:tblGrid>
      <w:tr w:rsidR="00D812E9" w:rsidRPr="00DB0AC3" w:rsidTr="005F69B3">
        <w:trPr>
          <w:trHeight w:val="300"/>
        </w:trPr>
        <w:tc>
          <w:tcPr>
            <w:tcW w:w="0" w:type="auto"/>
            <w:tcBorders>
              <w:top w:val="nil"/>
              <w:left w:val="nil"/>
              <w:bottom w:val="nil"/>
              <w:right w:val="nil"/>
            </w:tcBorders>
            <w:shd w:val="clear" w:color="auto" w:fill="auto"/>
            <w:noWrap/>
            <w:vAlign w:val="bottom"/>
            <w:hideMark/>
          </w:tcPr>
          <w:p w:rsidR="00D812E9" w:rsidRPr="00DB0AC3" w:rsidRDefault="00D812E9" w:rsidP="005F69B3">
            <w:pPr>
              <w:rPr>
                <w:rFonts w:cs="Arial"/>
                <w:color w:val="000000"/>
                <w:sz w:val="20"/>
                <w:lang w:val="ru-RU"/>
              </w:rPr>
            </w:pPr>
          </w:p>
        </w:tc>
        <w:tc>
          <w:tcPr>
            <w:tcW w:w="0" w:type="auto"/>
            <w:tcBorders>
              <w:top w:val="nil"/>
              <w:left w:val="nil"/>
              <w:bottom w:val="single" w:sz="4" w:space="0" w:color="auto"/>
              <w:right w:val="nil"/>
            </w:tcBorders>
            <w:shd w:val="clear" w:color="auto" w:fill="auto"/>
            <w:vAlign w:val="bottom"/>
            <w:hideMark/>
          </w:tcPr>
          <w:p w:rsidR="008E3EDA" w:rsidRPr="00DB0AC3" w:rsidRDefault="00D812E9">
            <w:pPr>
              <w:jc w:val="right"/>
              <w:rPr>
                <w:rFonts w:cs="Arial"/>
                <w:b/>
                <w:bCs/>
                <w:color w:val="000000"/>
                <w:sz w:val="20"/>
                <w:lang w:val="ru-RU"/>
              </w:rPr>
            </w:pPr>
            <w:r w:rsidRPr="00DB0AC3">
              <w:rPr>
                <w:rFonts w:cs="Arial"/>
                <w:b/>
                <w:bCs/>
                <w:color w:val="000000"/>
                <w:sz w:val="20"/>
                <w:lang w:val="ru-RU"/>
              </w:rPr>
              <w:t>2014</w:t>
            </w:r>
          </w:p>
        </w:tc>
        <w:tc>
          <w:tcPr>
            <w:tcW w:w="0" w:type="auto"/>
            <w:tcBorders>
              <w:top w:val="nil"/>
              <w:left w:val="nil"/>
              <w:bottom w:val="single" w:sz="4" w:space="0" w:color="auto"/>
              <w:right w:val="nil"/>
            </w:tcBorders>
            <w:shd w:val="clear" w:color="auto" w:fill="auto"/>
            <w:vAlign w:val="bottom"/>
            <w:hideMark/>
          </w:tcPr>
          <w:p w:rsidR="008E3EDA" w:rsidRPr="00DB0AC3" w:rsidRDefault="00D812E9">
            <w:pPr>
              <w:jc w:val="right"/>
              <w:rPr>
                <w:rFonts w:cs="Arial"/>
                <w:b/>
                <w:bCs/>
                <w:color w:val="000000"/>
                <w:sz w:val="20"/>
                <w:lang w:val="ru-RU"/>
              </w:rPr>
            </w:pPr>
            <w:r w:rsidRPr="00DB0AC3">
              <w:rPr>
                <w:rFonts w:cs="Arial"/>
                <w:b/>
                <w:bCs/>
                <w:color w:val="000000"/>
                <w:sz w:val="20"/>
                <w:lang w:val="ru-RU"/>
              </w:rPr>
              <w:t>2013</w:t>
            </w:r>
          </w:p>
        </w:tc>
      </w:tr>
      <w:tr w:rsidR="00D812E9" w:rsidRPr="00DB0AC3" w:rsidTr="005F69B3">
        <w:trPr>
          <w:trHeight w:val="300"/>
        </w:trPr>
        <w:tc>
          <w:tcPr>
            <w:tcW w:w="0" w:type="auto"/>
            <w:tcBorders>
              <w:top w:val="nil"/>
              <w:left w:val="nil"/>
              <w:bottom w:val="nil"/>
              <w:right w:val="nil"/>
            </w:tcBorders>
            <w:shd w:val="clear" w:color="auto" w:fill="auto"/>
            <w:noWrap/>
            <w:vAlign w:val="bottom"/>
            <w:hideMark/>
          </w:tcPr>
          <w:p w:rsidR="00D812E9" w:rsidRPr="00DB0AC3" w:rsidRDefault="00D812E9" w:rsidP="005F69B3">
            <w:pPr>
              <w:rPr>
                <w:rFonts w:cs="Arial"/>
                <w:color w:val="000000"/>
                <w:sz w:val="20"/>
                <w:lang w:val="ru-RU"/>
              </w:rPr>
            </w:pPr>
            <w:r w:rsidRPr="00DB0AC3">
              <w:rPr>
                <w:rFonts w:cs="Arial"/>
                <w:color w:val="000000"/>
                <w:sz w:val="20"/>
                <w:lang w:val="ru-RU"/>
              </w:rPr>
              <w:t xml:space="preserve">На начало года </w:t>
            </w:r>
          </w:p>
        </w:tc>
        <w:tc>
          <w:tcPr>
            <w:tcW w:w="0" w:type="auto"/>
            <w:tcBorders>
              <w:top w:val="nil"/>
              <w:left w:val="nil"/>
              <w:bottom w:val="nil"/>
              <w:right w:val="nil"/>
            </w:tcBorders>
            <w:shd w:val="clear" w:color="auto" w:fill="auto"/>
            <w:noWrap/>
            <w:vAlign w:val="bottom"/>
            <w:hideMark/>
          </w:tcPr>
          <w:p w:rsidR="00D812E9" w:rsidRPr="00DB0AC3" w:rsidRDefault="00D812E9" w:rsidP="005F69B3">
            <w:pPr>
              <w:jc w:val="right"/>
              <w:rPr>
                <w:rFonts w:cs="Arial"/>
                <w:color w:val="000000"/>
                <w:sz w:val="20"/>
                <w:lang w:val="ru-RU"/>
              </w:rPr>
            </w:pPr>
            <w:r w:rsidRPr="00DB0AC3">
              <w:rPr>
                <w:rFonts w:cs="Arial"/>
                <w:color w:val="000000"/>
                <w:sz w:val="20"/>
                <w:lang w:val="ru-RU"/>
              </w:rPr>
              <w:t xml:space="preserve">                   (11 829)</w:t>
            </w:r>
          </w:p>
        </w:tc>
        <w:tc>
          <w:tcPr>
            <w:tcW w:w="0" w:type="auto"/>
            <w:tcBorders>
              <w:top w:val="nil"/>
              <w:left w:val="nil"/>
              <w:bottom w:val="nil"/>
              <w:right w:val="nil"/>
            </w:tcBorders>
            <w:shd w:val="clear" w:color="auto" w:fill="auto"/>
            <w:noWrap/>
            <w:vAlign w:val="bottom"/>
            <w:hideMark/>
          </w:tcPr>
          <w:p w:rsidR="00D812E9" w:rsidRPr="00DB0AC3" w:rsidRDefault="00D812E9" w:rsidP="005F69B3">
            <w:pPr>
              <w:jc w:val="right"/>
              <w:rPr>
                <w:rFonts w:cs="Arial"/>
                <w:color w:val="000000"/>
                <w:sz w:val="20"/>
                <w:lang w:val="ru-RU"/>
              </w:rPr>
            </w:pPr>
            <w:r w:rsidRPr="00DB0AC3">
              <w:rPr>
                <w:rFonts w:cs="Arial"/>
                <w:color w:val="000000"/>
                <w:sz w:val="20"/>
                <w:lang w:val="ru-RU"/>
              </w:rPr>
              <w:t xml:space="preserve">                      (13 886)</w:t>
            </w:r>
          </w:p>
        </w:tc>
      </w:tr>
      <w:tr w:rsidR="00D812E9" w:rsidRPr="00DB0AC3" w:rsidTr="005F69B3">
        <w:trPr>
          <w:trHeight w:val="300"/>
        </w:trPr>
        <w:tc>
          <w:tcPr>
            <w:tcW w:w="0" w:type="auto"/>
            <w:tcBorders>
              <w:top w:val="nil"/>
              <w:left w:val="nil"/>
              <w:bottom w:val="nil"/>
              <w:right w:val="nil"/>
            </w:tcBorders>
            <w:shd w:val="clear" w:color="auto" w:fill="auto"/>
            <w:noWrap/>
            <w:vAlign w:val="bottom"/>
            <w:hideMark/>
          </w:tcPr>
          <w:p w:rsidR="00D812E9" w:rsidRPr="00DB0AC3" w:rsidRDefault="00D812E9" w:rsidP="00404441">
            <w:pPr>
              <w:rPr>
                <w:rFonts w:cs="Arial"/>
                <w:color w:val="000000"/>
                <w:sz w:val="20"/>
                <w:lang w:val="ru-RU"/>
              </w:rPr>
            </w:pPr>
            <w:r w:rsidRPr="00DB0AC3">
              <w:rPr>
                <w:rFonts w:cs="Arial"/>
                <w:color w:val="000000"/>
                <w:sz w:val="20"/>
                <w:lang w:val="ru-RU"/>
              </w:rPr>
              <w:t xml:space="preserve">Восстановление/(начисление)резерва </w:t>
            </w:r>
          </w:p>
        </w:tc>
        <w:tc>
          <w:tcPr>
            <w:tcW w:w="0" w:type="auto"/>
            <w:tcBorders>
              <w:top w:val="nil"/>
              <w:left w:val="nil"/>
              <w:bottom w:val="nil"/>
              <w:right w:val="nil"/>
            </w:tcBorders>
            <w:shd w:val="clear" w:color="auto" w:fill="auto"/>
            <w:noWrap/>
            <w:vAlign w:val="bottom"/>
            <w:hideMark/>
          </w:tcPr>
          <w:p w:rsidR="00B454C2" w:rsidRPr="00DB0AC3" w:rsidRDefault="00D137C9">
            <w:pPr>
              <w:jc w:val="right"/>
              <w:rPr>
                <w:rFonts w:cs="Arial"/>
                <w:color w:val="000000"/>
                <w:sz w:val="20"/>
                <w:lang w:val="ru-RU"/>
              </w:rPr>
            </w:pPr>
            <w:r w:rsidRPr="00DB0AC3">
              <w:rPr>
                <w:rFonts w:cs="Arial"/>
                <w:color w:val="000000"/>
                <w:sz w:val="20"/>
                <w:lang w:val="ru-RU"/>
              </w:rPr>
              <w:t>(57 772)</w:t>
            </w:r>
          </w:p>
        </w:tc>
        <w:tc>
          <w:tcPr>
            <w:tcW w:w="0" w:type="auto"/>
            <w:tcBorders>
              <w:top w:val="nil"/>
              <w:left w:val="nil"/>
              <w:bottom w:val="nil"/>
              <w:right w:val="nil"/>
            </w:tcBorders>
            <w:shd w:val="clear" w:color="auto" w:fill="auto"/>
            <w:noWrap/>
            <w:vAlign w:val="bottom"/>
            <w:hideMark/>
          </w:tcPr>
          <w:p w:rsidR="00B454C2" w:rsidRPr="00DB0AC3" w:rsidRDefault="00D137C9">
            <w:pPr>
              <w:jc w:val="right"/>
              <w:rPr>
                <w:rFonts w:cs="Arial"/>
                <w:color w:val="000000"/>
                <w:sz w:val="20"/>
                <w:lang w:val="ru-RU"/>
              </w:rPr>
            </w:pPr>
            <w:r w:rsidRPr="00DB0AC3">
              <w:rPr>
                <w:rFonts w:cs="Arial"/>
                <w:color w:val="000000"/>
                <w:sz w:val="20"/>
                <w:lang w:val="ru-RU"/>
              </w:rPr>
              <w:t xml:space="preserve">                           2 057 </w:t>
            </w:r>
          </w:p>
        </w:tc>
      </w:tr>
      <w:tr w:rsidR="00D812E9" w:rsidRPr="00DB0AC3" w:rsidTr="005F69B3">
        <w:trPr>
          <w:trHeight w:val="300"/>
        </w:trPr>
        <w:tc>
          <w:tcPr>
            <w:tcW w:w="0" w:type="auto"/>
            <w:tcBorders>
              <w:top w:val="nil"/>
              <w:left w:val="nil"/>
              <w:bottom w:val="nil"/>
              <w:right w:val="nil"/>
            </w:tcBorders>
            <w:shd w:val="clear" w:color="auto" w:fill="auto"/>
            <w:noWrap/>
            <w:vAlign w:val="bottom"/>
            <w:hideMark/>
          </w:tcPr>
          <w:p w:rsidR="00D812E9" w:rsidRPr="00DB0AC3" w:rsidRDefault="00D812E9" w:rsidP="005F69B3">
            <w:pPr>
              <w:rPr>
                <w:rFonts w:cs="Arial"/>
                <w:color w:val="000000"/>
                <w:sz w:val="20"/>
                <w:lang w:val="ru-RU"/>
              </w:rPr>
            </w:pPr>
            <w:r w:rsidRPr="00DB0AC3">
              <w:rPr>
                <w:rFonts w:cs="Arial"/>
                <w:color w:val="000000"/>
                <w:sz w:val="20"/>
                <w:lang w:val="ru-RU"/>
              </w:rPr>
              <w:t xml:space="preserve">Активы, списанные в отчетном году как безнадежные </w:t>
            </w:r>
          </w:p>
        </w:tc>
        <w:tc>
          <w:tcPr>
            <w:tcW w:w="0" w:type="auto"/>
            <w:tcBorders>
              <w:top w:val="nil"/>
              <w:left w:val="nil"/>
              <w:bottom w:val="single" w:sz="4" w:space="0" w:color="auto"/>
              <w:right w:val="nil"/>
            </w:tcBorders>
            <w:shd w:val="clear" w:color="auto" w:fill="auto"/>
            <w:noWrap/>
            <w:vAlign w:val="bottom"/>
            <w:hideMark/>
          </w:tcPr>
          <w:p w:rsidR="00D812E9" w:rsidRPr="00DB0AC3" w:rsidRDefault="00D812E9" w:rsidP="005F69B3">
            <w:pPr>
              <w:rPr>
                <w:rFonts w:cs="Arial"/>
                <w:color w:val="000000"/>
                <w:sz w:val="20"/>
                <w:lang w:val="ru-RU"/>
              </w:rPr>
            </w:pPr>
            <w:r w:rsidRPr="00DB0AC3">
              <w:rPr>
                <w:rFonts w:cs="Arial"/>
                <w:color w:val="000000"/>
                <w:sz w:val="20"/>
                <w:lang w:val="ru-RU"/>
              </w:rPr>
              <w:t xml:space="preserve">                      12 294 </w:t>
            </w:r>
          </w:p>
        </w:tc>
        <w:tc>
          <w:tcPr>
            <w:tcW w:w="0" w:type="auto"/>
            <w:tcBorders>
              <w:top w:val="nil"/>
              <w:left w:val="nil"/>
              <w:bottom w:val="single" w:sz="4" w:space="0" w:color="auto"/>
              <w:right w:val="nil"/>
            </w:tcBorders>
            <w:shd w:val="clear" w:color="auto" w:fill="auto"/>
            <w:noWrap/>
            <w:vAlign w:val="bottom"/>
            <w:hideMark/>
          </w:tcPr>
          <w:p w:rsidR="00D812E9" w:rsidRPr="00DB0AC3" w:rsidRDefault="00D812E9" w:rsidP="005F69B3">
            <w:pPr>
              <w:jc w:val="right"/>
              <w:rPr>
                <w:rFonts w:cs="Arial"/>
                <w:color w:val="000000"/>
                <w:sz w:val="20"/>
                <w:lang w:val="ru-RU"/>
              </w:rPr>
            </w:pPr>
            <w:r w:rsidRPr="00DB0AC3">
              <w:rPr>
                <w:rFonts w:cs="Arial"/>
                <w:color w:val="000000"/>
                <w:sz w:val="20"/>
                <w:lang w:val="ru-RU"/>
              </w:rPr>
              <w:t xml:space="preserve"> - </w:t>
            </w:r>
          </w:p>
        </w:tc>
      </w:tr>
      <w:tr w:rsidR="00D812E9" w:rsidRPr="00DB0AC3" w:rsidTr="005F69B3">
        <w:trPr>
          <w:trHeight w:val="315"/>
        </w:trPr>
        <w:tc>
          <w:tcPr>
            <w:tcW w:w="0" w:type="auto"/>
            <w:tcBorders>
              <w:top w:val="nil"/>
              <w:left w:val="nil"/>
              <w:bottom w:val="nil"/>
              <w:right w:val="nil"/>
            </w:tcBorders>
            <w:shd w:val="clear" w:color="auto" w:fill="auto"/>
            <w:noWrap/>
            <w:vAlign w:val="bottom"/>
            <w:hideMark/>
          </w:tcPr>
          <w:p w:rsidR="00D812E9" w:rsidRPr="00DB0AC3" w:rsidRDefault="00D812E9" w:rsidP="005F69B3">
            <w:pPr>
              <w:rPr>
                <w:rFonts w:cs="Arial"/>
                <w:b/>
                <w:bCs/>
                <w:color w:val="000000"/>
                <w:sz w:val="20"/>
                <w:lang w:val="ru-RU"/>
              </w:rPr>
            </w:pPr>
            <w:r w:rsidRPr="00DB0AC3">
              <w:rPr>
                <w:rFonts w:cs="Arial"/>
                <w:b/>
                <w:bCs/>
                <w:color w:val="000000"/>
                <w:sz w:val="20"/>
                <w:lang w:val="ru-RU"/>
              </w:rPr>
              <w:t>На конец года</w:t>
            </w:r>
          </w:p>
        </w:tc>
        <w:tc>
          <w:tcPr>
            <w:tcW w:w="0" w:type="auto"/>
            <w:tcBorders>
              <w:top w:val="nil"/>
              <w:left w:val="nil"/>
              <w:bottom w:val="double" w:sz="6" w:space="0" w:color="auto"/>
              <w:right w:val="nil"/>
            </w:tcBorders>
            <w:shd w:val="clear" w:color="auto" w:fill="auto"/>
            <w:noWrap/>
            <w:vAlign w:val="bottom"/>
            <w:hideMark/>
          </w:tcPr>
          <w:p w:rsidR="00D812E9" w:rsidRPr="00DB0AC3" w:rsidRDefault="00D812E9" w:rsidP="005F69B3">
            <w:pPr>
              <w:rPr>
                <w:rFonts w:cs="Arial"/>
                <w:b/>
                <w:bCs/>
                <w:color w:val="000000"/>
                <w:sz w:val="20"/>
                <w:lang w:val="ru-RU"/>
              </w:rPr>
            </w:pPr>
            <w:r w:rsidRPr="00DB0AC3">
              <w:rPr>
                <w:rFonts w:cs="Arial"/>
                <w:b/>
                <w:bCs/>
                <w:color w:val="000000"/>
                <w:sz w:val="20"/>
                <w:lang w:val="ru-RU"/>
              </w:rPr>
              <w:t xml:space="preserve">                   (57 307)</w:t>
            </w:r>
          </w:p>
        </w:tc>
        <w:tc>
          <w:tcPr>
            <w:tcW w:w="0" w:type="auto"/>
            <w:tcBorders>
              <w:top w:val="nil"/>
              <w:left w:val="nil"/>
              <w:bottom w:val="double" w:sz="6" w:space="0" w:color="auto"/>
              <w:right w:val="nil"/>
            </w:tcBorders>
            <w:shd w:val="clear" w:color="auto" w:fill="auto"/>
            <w:noWrap/>
            <w:vAlign w:val="bottom"/>
            <w:hideMark/>
          </w:tcPr>
          <w:p w:rsidR="00D812E9" w:rsidRPr="00DB0AC3" w:rsidRDefault="00D812E9" w:rsidP="005F69B3">
            <w:pPr>
              <w:rPr>
                <w:rFonts w:cs="Arial"/>
                <w:b/>
                <w:bCs/>
                <w:color w:val="000000"/>
                <w:sz w:val="20"/>
                <w:lang w:val="ru-RU"/>
              </w:rPr>
            </w:pPr>
            <w:r w:rsidRPr="00DB0AC3">
              <w:rPr>
                <w:rFonts w:cs="Arial"/>
                <w:b/>
                <w:bCs/>
                <w:color w:val="000000"/>
                <w:sz w:val="20"/>
                <w:lang w:val="ru-RU"/>
              </w:rPr>
              <w:t xml:space="preserve">                      (11 829)</w:t>
            </w:r>
          </w:p>
        </w:tc>
      </w:tr>
    </w:tbl>
    <w:p w:rsidR="006572FF" w:rsidRPr="00DB0AC3" w:rsidRDefault="00DA2245" w:rsidP="00E60E79">
      <w:pPr>
        <w:pStyle w:val="1"/>
        <w:keepNext w:val="0"/>
        <w:widowControl w:val="0"/>
        <w:spacing w:line="233" w:lineRule="auto"/>
        <w:rPr>
          <w:rFonts w:cs="Arial"/>
          <w:lang w:val="en-US"/>
        </w:rPr>
      </w:pPr>
      <w:bookmarkStart w:id="110" w:name="_Toc441479798"/>
      <w:bookmarkEnd w:id="93"/>
      <w:bookmarkEnd w:id="94"/>
      <w:bookmarkEnd w:id="95"/>
      <w:bookmarkEnd w:id="96"/>
      <w:bookmarkEnd w:id="97"/>
      <w:bookmarkEnd w:id="98"/>
      <w:bookmarkEnd w:id="99"/>
      <w:r w:rsidRPr="00DB0AC3">
        <w:rPr>
          <w:rFonts w:cs="Arial"/>
          <w:lang w:val="ru-RU"/>
        </w:rPr>
        <w:lastRenderedPageBreak/>
        <w:t>Отложенное налоговое (обязательство)/актив</w:t>
      </w:r>
      <w:bookmarkEnd w:id="110"/>
    </w:p>
    <w:p w:rsidR="00663F3D" w:rsidRPr="00DB0AC3" w:rsidRDefault="00663F3D" w:rsidP="00663F3D">
      <w:pPr>
        <w:pStyle w:val="210"/>
        <w:shd w:val="clear" w:color="auto" w:fill="auto"/>
        <w:spacing w:line="230" w:lineRule="exact"/>
        <w:ind w:firstLine="0"/>
        <w:jc w:val="both"/>
        <w:rPr>
          <w:rFonts w:eastAsia="SimSun"/>
          <w:b w:val="0"/>
          <w:sz w:val="20"/>
          <w:szCs w:val="20"/>
        </w:rPr>
      </w:pPr>
      <w:r w:rsidRPr="00DB0AC3">
        <w:rPr>
          <w:rFonts w:eastAsia="SimSun"/>
          <w:b w:val="0"/>
          <w:sz w:val="20"/>
          <w:szCs w:val="20"/>
        </w:rPr>
        <w:t>Банк считает получение достаточной налогооблагаемой прибыли в обозримой перспективе маловероятным, а также не располагает возможностями налогового планирования, которые обеспечат получение налогооблагаемой прибыли в требуемых периодах согласно МСФО (</w:t>
      </w:r>
      <w:r w:rsidRPr="00DB0AC3">
        <w:rPr>
          <w:rFonts w:eastAsia="SimSun"/>
          <w:b w:val="0"/>
          <w:sz w:val="20"/>
          <w:szCs w:val="20"/>
          <w:lang w:val="en-US"/>
        </w:rPr>
        <w:t>IAS</w:t>
      </w:r>
      <w:r w:rsidRPr="00DB0AC3">
        <w:rPr>
          <w:rFonts w:eastAsia="SimSun"/>
          <w:b w:val="0"/>
          <w:sz w:val="20"/>
          <w:szCs w:val="20"/>
        </w:rPr>
        <w:t>) 12. Непризнанный налоговый актив на 31 декабря 2014 года составляет 6 482 671 тысяч</w:t>
      </w:r>
      <w:r w:rsidR="00FD65C6" w:rsidRPr="00DB0AC3">
        <w:rPr>
          <w:rFonts w:eastAsia="SimSun"/>
          <w:b w:val="0"/>
          <w:sz w:val="20"/>
          <w:szCs w:val="20"/>
        </w:rPr>
        <w:t>у</w:t>
      </w:r>
      <w:r w:rsidRPr="00DB0AC3">
        <w:rPr>
          <w:rFonts w:eastAsia="SimSun"/>
          <w:b w:val="0"/>
          <w:sz w:val="20"/>
          <w:szCs w:val="20"/>
        </w:rPr>
        <w:t xml:space="preserve"> рублей, который в основном относится к начислению резервов по кредитам клиентам и возможно будет признан в будущем.</w:t>
      </w:r>
    </w:p>
    <w:p w:rsidR="00663F3D" w:rsidRPr="00DB0AC3" w:rsidRDefault="00663F3D" w:rsidP="00954046">
      <w:pPr>
        <w:rPr>
          <w:rFonts w:cs="Arial"/>
          <w:sz w:val="20"/>
          <w:highlight w:val="red"/>
          <w:lang w:val="ru-RU"/>
        </w:rPr>
      </w:pPr>
    </w:p>
    <w:p w:rsidR="005F69B3" w:rsidRPr="00DB0AC3" w:rsidRDefault="005F69B3" w:rsidP="005F69B3">
      <w:pPr>
        <w:pStyle w:val="210"/>
        <w:shd w:val="clear" w:color="auto" w:fill="auto"/>
        <w:spacing w:line="230" w:lineRule="exact"/>
        <w:ind w:firstLine="0"/>
        <w:rPr>
          <w:rFonts w:eastAsia="SimSun"/>
          <w:b w:val="0"/>
          <w:sz w:val="20"/>
          <w:szCs w:val="20"/>
        </w:rPr>
      </w:pPr>
      <w:r w:rsidRPr="00DB0AC3">
        <w:rPr>
          <w:rFonts w:eastAsia="SimSun"/>
          <w:b w:val="0"/>
          <w:sz w:val="20"/>
          <w:szCs w:val="20"/>
        </w:rPr>
        <w:t>Движение отложенного налогового (обязательства) / актива за отчетный период представлено следующим образом:</w:t>
      </w:r>
    </w:p>
    <w:tbl>
      <w:tblPr>
        <w:tblW w:w="5000" w:type="pct"/>
        <w:tblLook w:val="04A0"/>
      </w:tblPr>
      <w:tblGrid>
        <w:gridCol w:w="7041"/>
        <w:gridCol w:w="1369"/>
        <w:gridCol w:w="1413"/>
      </w:tblGrid>
      <w:tr w:rsidR="0031011E" w:rsidRPr="00DB0AC3" w:rsidTr="0031011E">
        <w:trPr>
          <w:trHeight w:val="300"/>
        </w:trPr>
        <w:tc>
          <w:tcPr>
            <w:tcW w:w="3584" w:type="pct"/>
            <w:tcBorders>
              <w:top w:val="nil"/>
              <w:left w:val="nil"/>
              <w:bottom w:val="nil"/>
              <w:right w:val="nil"/>
            </w:tcBorders>
            <w:shd w:val="clear" w:color="auto" w:fill="auto"/>
            <w:noWrap/>
            <w:vAlign w:val="bottom"/>
            <w:hideMark/>
          </w:tcPr>
          <w:p w:rsidR="0031011E" w:rsidRPr="00DB0AC3" w:rsidRDefault="0031011E" w:rsidP="0031011E">
            <w:pPr>
              <w:rPr>
                <w:rFonts w:cs="Arial"/>
                <w:color w:val="000000"/>
                <w:sz w:val="20"/>
                <w:lang w:val="ru-RU"/>
              </w:rPr>
            </w:pPr>
          </w:p>
        </w:tc>
        <w:tc>
          <w:tcPr>
            <w:tcW w:w="697" w:type="pct"/>
            <w:tcBorders>
              <w:top w:val="nil"/>
              <w:left w:val="nil"/>
              <w:bottom w:val="single" w:sz="4" w:space="0" w:color="auto"/>
              <w:right w:val="nil"/>
            </w:tcBorders>
            <w:shd w:val="clear" w:color="auto" w:fill="auto"/>
            <w:vAlign w:val="bottom"/>
            <w:hideMark/>
          </w:tcPr>
          <w:p w:rsidR="0031011E" w:rsidRPr="00DB0AC3" w:rsidRDefault="0031011E" w:rsidP="0031011E">
            <w:pPr>
              <w:jc w:val="center"/>
              <w:rPr>
                <w:rFonts w:cs="Arial"/>
                <w:b/>
                <w:bCs/>
                <w:color w:val="000000"/>
                <w:sz w:val="20"/>
                <w:lang w:val="ru-RU"/>
              </w:rPr>
            </w:pPr>
            <w:r w:rsidRPr="00DB0AC3">
              <w:rPr>
                <w:rFonts w:cs="Arial"/>
                <w:b/>
                <w:bCs/>
                <w:color w:val="000000"/>
                <w:sz w:val="20"/>
                <w:lang w:val="ru-RU"/>
              </w:rPr>
              <w:t>2014</w:t>
            </w:r>
          </w:p>
        </w:tc>
        <w:tc>
          <w:tcPr>
            <w:tcW w:w="719" w:type="pct"/>
            <w:tcBorders>
              <w:top w:val="nil"/>
              <w:left w:val="nil"/>
              <w:bottom w:val="single" w:sz="4" w:space="0" w:color="auto"/>
              <w:right w:val="nil"/>
            </w:tcBorders>
            <w:shd w:val="clear" w:color="auto" w:fill="auto"/>
            <w:vAlign w:val="bottom"/>
            <w:hideMark/>
          </w:tcPr>
          <w:p w:rsidR="0031011E" w:rsidRPr="00DB0AC3" w:rsidRDefault="0031011E" w:rsidP="0031011E">
            <w:pPr>
              <w:jc w:val="center"/>
              <w:rPr>
                <w:rFonts w:cs="Arial"/>
                <w:b/>
                <w:bCs/>
                <w:color w:val="000000"/>
                <w:sz w:val="20"/>
                <w:lang w:val="ru-RU"/>
              </w:rPr>
            </w:pPr>
            <w:r w:rsidRPr="00DB0AC3">
              <w:rPr>
                <w:rFonts w:cs="Arial"/>
                <w:b/>
                <w:bCs/>
                <w:color w:val="000000"/>
                <w:sz w:val="20"/>
                <w:lang w:val="ru-RU"/>
              </w:rPr>
              <w:t>2013</w:t>
            </w:r>
          </w:p>
        </w:tc>
      </w:tr>
      <w:tr w:rsidR="0031011E" w:rsidRPr="00DB0AC3" w:rsidTr="0031011E">
        <w:trPr>
          <w:trHeight w:val="300"/>
        </w:trPr>
        <w:tc>
          <w:tcPr>
            <w:tcW w:w="3584" w:type="pct"/>
            <w:tcBorders>
              <w:top w:val="nil"/>
              <w:left w:val="nil"/>
              <w:bottom w:val="nil"/>
              <w:right w:val="nil"/>
            </w:tcBorders>
            <w:shd w:val="clear" w:color="auto" w:fill="auto"/>
            <w:noWrap/>
            <w:vAlign w:val="bottom"/>
            <w:hideMark/>
          </w:tcPr>
          <w:p w:rsidR="0031011E" w:rsidRPr="00DB0AC3" w:rsidRDefault="0031011E" w:rsidP="0031011E">
            <w:pPr>
              <w:rPr>
                <w:rFonts w:cs="Arial"/>
                <w:color w:val="000000"/>
                <w:sz w:val="20"/>
                <w:lang w:val="ru-RU"/>
              </w:rPr>
            </w:pPr>
            <w:r w:rsidRPr="00DB0AC3">
              <w:rPr>
                <w:rFonts w:cs="Arial"/>
                <w:color w:val="000000"/>
                <w:sz w:val="20"/>
                <w:lang w:val="ru-RU"/>
              </w:rPr>
              <w:t xml:space="preserve">На начало отчетного года </w:t>
            </w:r>
          </w:p>
        </w:tc>
        <w:tc>
          <w:tcPr>
            <w:tcW w:w="697" w:type="pct"/>
            <w:tcBorders>
              <w:top w:val="nil"/>
              <w:left w:val="nil"/>
              <w:bottom w:val="nil"/>
              <w:right w:val="nil"/>
            </w:tcBorders>
            <w:shd w:val="clear" w:color="auto" w:fill="auto"/>
            <w:noWrap/>
            <w:vAlign w:val="bottom"/>
            <w:hideMark/>
          </w:tcPr>
          <w:p w:rsidR="0031011E" w:rsidRPr="00DB0AC3" w:rsidRDefault="0031011E" w:rsidP="0031011E">
            <w:pPr>
              <w:jc w:val="center"/>
              <w:rPr>
                <w:rFonts w:cs="Arial"/>
                <w:color w:val="000000"/>
                <w:sz w:val="20"/>
                <w:lang w:val="ru-RU"/>
              </w:rPr>
            </w:pPr>
            <w:r w:rsidRPr="00DB0AC3">
              <w:rPr>
                <w:rFonts w:cs="Arial"/>
                <w:color w:val="000000"/>
                <w:sz w:val="20"/>
                <w:lang w:val="ru-RU"/>
              </w:rPr>
              <w:t>35 799</w:t>
            </w:r>
          </w:p>
        </w:tc>
        <w:tc>
          <w:tcPr>
            <w:tcW w:w="719" w:type="pct"/>
            <w:tcBorders>
              <w:top w:val="nil"/>
              <w:left w:val="nil"/>
              <w:bottom w:val="nil"/>
              <w:right w:val="nil"/>
            </w:tcBorders>
            <w:shd w:val="clear" w:color="auto" w:fill="auto"/>
            <w:noWrap/>
            <w:vAlign w:val="bottom"/>
            <w:hideMark/>
          </w:tcPr>
          <w:p w:rsidR="0031011E" w:rsidRPr="00DB0AC3" w:rsidRDefault="0031011E" w:rsidP="0031011E">
            <w:pPr>
              <w:jc w:val="center"/>
              <w:rPr>
                <w:rFonts w:cs="Arial"/>
                <w:color w:val="000000"/>
                <w:sz w:val="20"/>
                <w:lang w:val="ru-RU"/>
              </w:rPr>
            </w:pPr>
            <w:r w:rsidRPr="00DB0AC3">
              <w:rPr>
                <w:rFonts w:cs="Arial"/>
                <w:color w:val="000000"/>
                <w:sz w:val="20"/>
                <w:lang w:val="ru-RU"/>
              </w:rPr>
              <w:t>(33 413)</w:t>
            </w:r>
          </w:p>
        </w:tc>
      </w:tr>
      <w:tr w:rsidR="0031011E" w:rsidRPr="00DB0AC3" w:rsidTr="0031011E">
        <w:trPr>
          <w:trHeight w:val="300"/>
        </w:trPr>
        <w:tc>
          <w:tcPr>
            <w:tcW w:w="3584" w:type="pct"/>
            <w:tcBorders>
              <w:top w:val="nil"/>
              <w:left w:val="nil"/>
              <w:bottom w:val="nil"/>
              <w:right w:val="nil"/>
            </w:tcBorders>
            <w:shd w:val="clear" w:color="auto" w:fill="auto"/>
            <w:noWrap/>
            <w:vAlign w:val="bottom"/>
            <w:hideMark/>
          </w:tcPr>
          <w:p w:rsidR="0031011E" w:rsidRPr="00DB0AC3" w:rsidRDefault="0031011E" w:rsidP="0031011E">
            <w:pPr>
              <w:rPr>
                <w:rFonts w:cs="Arial"/>
                <w:color w:val="000000"/>
                <w:sz w:val="20"/>
                <w:lang w:val="ru-RU"/>
              </w:rPr>
            </w:pPr>
            <w:r w:rsidRPr="00DB0AC3">
              <w:rPr>
                <w:rFonts w:cs="Arial"/>
                <w:color w:val="000000"/>
                <w:sz w:val="20"/>
                <w:lang w:val="ru-RU"/>
              </w:rPr>
              <w:t>Восстановление/(начисление) отложенного налога (Прим. 28)</w:t>
            </w:r>
          </w:p>
        </w:tc>
        <w:tc>
          <w:tcPr>
            <w:tcW w:w="697" w:type="pct"/>
            <w:tcBorders>
              <w:top w:val="nil"/>
              <w:left w:val="nil"/>
              <w:bottom w:val="nil"/>
              <w:right w:val="nil"/>
            </w:tcBorders>
            <w:shd w:val="clear" w:color="auto" w:fill="auto"/>
            <w:noWrap/>
            <w:vAlign w:val="bottom"/>
            <w:hideMark/>
          </w:tcPr>
          <w:p w:rsidR="0031011E" w:rsidRPr="00DB0AC3" w:rsidRDefault="00663F3D" w:rsidP="00D07A82">
            <w:pPr>
              <w:jc w:val="center"/>
              <w:rPr>
                <w:rFonts w:cs="Arial"/>
                <w:color w:val="000000"/>
                <w:sz w:val="20"/>
                <w:lang w:val="en-US"/>
              </w:rPr>
            </w:pPr>
            <w:r w:rsidRPr="00DB0AC3">
              <w:rPr>
                <w:rFonts w:cs="Arial"/>
                <w:color w:val="000000"/>
                <w:sz w:val="20"/>
                <w:lang w:val="en-US"/>
              </w:rPr>
              <w:t>13 645</w:t>
            </w:r>
          </w:p>
        </w:tc>
        <w:tc>
          <w:tcPr>
            <w:tcW w:w="719" w:type="pct"/>
            <w:tcBorders>
              <w:top w:val="nil"/>
              <w:left w:val="nil"/>
              <w:bottom w:val="nil"/>
              <w:right w:val="nil"/>
            </w:tcBorders>
            <w:shd w:val="clear" w:color="auto" w:fill="auto"/>
            <w:noWrap/>
            <w:vAlign w:val="bottom"/>
            <w:hideMark/>
          </w:tcPr>
          <w:p w:rsidR="0031011E" w:rsidRPr="00DB0AC3" w:rsidRDefault="0031011E" w:rsidP="0031011E">
            <w:pPr>
              <w:jc w:val="center"/>
              <w:rPr>
                <w:rFonts w:cs="Arial"/>
                <w:color w:val="000000"/>
                <w:sz w:val="20"/>
                <w:lang w:val="ru-RU"/>
              </w:rPr>
            </w:pPr>
            <w:r w:rsidRPr="00DB0AC3">
              <w:rPr>
                <w:rFonts w:cs="Arial"/>
                <w:color w:val="000000"/>
                <w:sz w:val="20"/>
                <w:lang w:val="ru-RU"/>
              </w:rPr>
              <w:t>46 968</w:t>
            </w:r>
          </w:p>
        </w:tc>
      </w:tr>
      <w:tr w:rsidR="0031011E" w:rsidRPr="00DB0AC3" w:rsidTr="0031011E">
        <w:trPr>
          <w:trHeight w:val="600"/>
        </w:trPr>
        <w:tc>
          <w:tcPr>
            <w:tcW w:w="3584" w:type="pct"/>
            <w:tcBorders>
              <w:top w:val="nil"/>
              <w:left w:val="nil"/>
              <w:bottom w:val="nil"/>
              <w:right w:val="nil"/>
            </w:tcBorders>
            <w:shd w:val="clear" w:color="auto" w:fill="auto"/>
            <w:vAlign w:val="bottom"/>
            <w:hideMark/>
          </w:tcPr>
          <w:p w:rsidR="0031011E" w:rsidRPr="00DB0AC3" w:rsidRDefault="0031011E" w:rsidP="0031011E">
            <w:pPr>
              <w:rPr>
                <w:rFonts w:cs="Arial"/>
                <w:color w:val="000000"/>
                <w:sz w:val="20"/>
                <w:lang w:val="ru-RU"/>
              </w:rPr>
            </w:pPr>
            <w:r w:rsidRPr="00DB0AC3">
              <w:rPr>
                <w:rFonts w:cs="Arial"/>
                <w:color w:val="000000"/>
                <w:sz w:val="20"/>
                <w:lang w:val="ru-RU"/>
              </w:rPr>
              <w:t>Налоговый эффект от переоценки ценных бумаг, имеющихся в наличии для продажи</w:t>
            </w:r>
          </w:p>
        </w:tc>
        <w:tc>
          <w:tcPr>
            <w:tcW w:w="697" w:type="pct"/>
            <w:tcBorders>
              <w:top w:val="nil"/>
              <w:left w:val="nil"/>
              <w:bottom w:val="single" w:sz="4" w:space="0" w:color="auto"/>
              <w:right w:val="nil"/>
            </w:tcBorders>
            <w:shd w:val="clear" w:color="auto" w:fill="auto"/>
            <w:noWrap/>
            <w:vAlign w:val="bottom"/>
            <w:hideMark/>
          </w:tcPr>
          <w:p w:rsidR="0031011E" w:rsidRPr="00DB0AC3" w:rsidRDefault="00663F3D" w:rsidP="00663F3D">
            <w:pPr>
              <w:jc w:val="center"/>
              <w:rPr>
                <w:rFonts w:cs="Arial"/>
                <w:color w:val="000000"/>
                <w:sz w:val="20"/>
                <w:lang w:val="en-US"/>
              </w:rPr>
            </w:pPr>
            <w:r w:rsidRPr="00DB0AC3">
              <w:rPr>
                <w:rFonts w:cs="Arial"/>
                <w:color w:val="000000"/>
                <w:sz w:val="20"/>
                <w:lang w:val="en-US"/>
              </w:rPr>
              <w:t>(49 444)</w:t>
            </w:r>
          </w:p>
        </w:tc>
        <w:tc>
          <w:tcPr>
            <w:tcW w:w="719" w:type="pct"/>
            <w:tcBorders>
              <w:top w:val="nil"/>
              <w:left w:val="nil"/>
              <w:bottom w:val="single" w:sz="4" w:space="0" w:color="auto"/>
              <w:right w:val="nil"/>
            </w:tcBorders>
            <w:shd w:val="clear" w:color="auto" w:fill="auto"/>
            <w:noWrap/>
            <w:vAlign w:val="bottom"/>
            <w:hideMark/>
          </w:tcPr>
          <w:p w:rsidR="0031011E" w:rsidRPr="00DB0AC3" w:rsidRDefault="0031011E" w:rsidP="0031011E">
            <w:pPr>
              <w:jc w:val="center"/>
              <w:rPr>
                <w:rFonts w:cs="Arial"/>
                <w:color w:val="000000"/>
                <w:sz w:val="20"/>
                <w:lang w:val="ru-RU"/>
              </w:rPr>
            </w:pPr>
            <w:r w:rsidRPr="00DB0AC3">
              <w:rPr>
                <w:rFonts w:cs="Arial"/>
                <w:color w:val="000000"/>
                <w:sz w:val="20"/>
                <w:lang w:val="ru-RU"/>
              </w:rPr>
              <w:t>22 244</w:t>
            </w:r>
          </w:p>
        </w:tc>
      </w:tr>
      <w:tr w:rsidR="0031011E" w:rsidRPr="00DB0AC3" w:rsidTr="0031011E">
        <w:trPr>
          <w:trHeight w:val="615"/>
        </w:trPr>
        <w:tc>
          <w:tcPr>
            <w:tcW w:w="3584" w:type="pct"/>
            <w:tcBorders>
              <w:top w:val="nil"/>
              <w:left w:val="nil"/>
              <w:bottom w:val="nil"/>
              <w:right w:val="nil"/>
            </w:tcBorders>
            <w:shd w:val="clear" w:color="auto" w:fill="auto"/>
            <w:vAlign w:val="bottom"/>
            <w:hideMark/>
          </w:tcPr>
          <w:p w:rsidR="0031011E" w:rsidRPr="00DB0AC3" w:rsidRDefault="0031011E" w:rsidP="0031011E">
            <w:pPr>
              <w:rPr>
                <w:rFonts w:cs="Arial"/>
                <w:b/>
                <w:bCs/>
                <w:color w:val="000000"/>
                <w:sz w:val="20"/>
                <w:lang w:val="ru-RU"/>
              </w:rPr>
            </w:pPr>
            <w:r w:rsidRPr="00DB0AC3">
              <w:rPr>
                <w:rFonts w:cs="Arial"/>
                <w:b/>
                <w:bCs/>
                <w:color w:val="000000"/>
                <w:sz w:val="20"/>
                <w:lang w:val="ru-RU"/>
              </w:rPr>
              <w:t>Итого отложенный налоговый актив/отложенное налоговое (обязательство) на конец отчетного года</w:t>
            </w:r>
          </w:p>
        </w:tc>
        <w:tc>
          <w:tcPr>
            <w:tcW w:w="697" w:type="pct"/>
            <w:tcBorders>
              <w:top w:val="nil"/>
              <w:left w:val="nil"/>
              <w:bottom w:val="double" w:sz="6" w:space="0" w:color="auto"/>
              <w:right w:val="nil"/>
            </w:tcBorders>
            <w:shd w:val="clear" w:color="auto" w:fill="auto"/>
            <w:noWrap/>
            <w:vAlign w:val="bottom"/>
            <w:hideMark/>
          </w:tcPr>
          <w:p w:rsidR="0031011E" w:rsidRPr="00DB0AC3" w:rsidRDefault="00D739AF" w:rsidP="00D07A82">
            <w:pPr>
              <w:jc w:val="center"/>
              <w:rPr>
                <w:rFonts w:cs="Arial"/>
                <w:b/>
                <w:bCs/>
                <w:color w:val="000000"/>
                <w:sz w:val="20"/>
                <w:lang w:val="en-US"/>
              </w:rPr>
            </w:pPr>
            <w:r w:rsidRPr="00DB0AC3">
              <w:rPr>
                <w:rFonts w:cs="Arial"/>
                <w:b/>
                <w:bCs/>
                <w:color w:val="000000"/>
                <w:sz w:val="20"/>
                <w:lang w:val="ru-RU"/>
              </w:rPr>
              <w:t> </w:t>
            </w:r>
            <w:r w:rsidRPr="00DB0AC3">
              <w:rPr>
                <w:rFonts w:cs="Arial"/>
                <w:b/>
                <w:bCs/>
                <w:color w:val="000000"/>
                <w:sz w:val="20"/>
                <w:lang w:val="en-US"/>
              </w:rPr>
              <w:t>-</w:t>
            </w:r>
          </w:p>
        </w:tc>
        <w:tc>
          <w:tcPr>
            <w:tcW w:w="719" w:type="pct"/>
            <w:tcBorders>
              <w:top w:val="nil"/>
              <w:left w:val="nil"/>
              <w:bottom w:val="double" w:sz="6" w:space="0" w:color="auto"/>
              <w:right w:val="nil"/>
            </w:tcBorders>
            <w:shd w:val="clear" w:color="auto" w:fill="auto"/>
            <w:noWrap/>
            <w:vAlign w:val="bottom"/>
            <w:hideMark/>
          </w:tcPr>
          <w:p w:rsidR="0031011E" w:rsidRPr="00DB0AC3" w:rsidRDefault="0031011E" w:rsidP="0031011E">
            <w:pPr>
              <w:jc w:val="center"/>
              <w:rPr>
                <w:rFonts w:cs="Arial"/>
                <w:b/>
                <w:bCs/>
                <w:color w:val="000000"/>
                <w:sz w:val="20"/>
                <w:lang w:val="ru-RU"/>
              </w:rPr>
            </w:pPr>
            <w:r w:rsidRPr="00DB0AC3">
              <w:rPr>
                <w:rFonts w:cs="Arial"/>
                <w:b/>
                <w:bCs/>
                <w:color w:val="000000"/>
                <w:sz w:val="20"/>
                <w:lang w:val="ru-RU"/>
              </w:rPr>
              <w:t>35 799</w:t>
            </w:r>
          </w:p>
        </w:tc>
      </w:tr>
    </w:tbl>
    <w:p w:rsidR="0031011E" w:rsidRPr="00DB0AC3" w:rsidRDefault="0031011E" w:rsidP="005F69B3">
      <w:pPr>
        <w:pStyle w:val="210"/>
        <w:shd w:val="clear" w:color="auto" w:fill="auto"/>
        <w:spacing w:line="230" w:lineRule="exact"/>
        <w:ind w:firstLine="0"/>
        <w:rPr>
          <w:rFonts w:eastAsia="SimSun"/>
          <w:b w:val="0"/>
          <w:sz w:val="20"/>
          <w:szCs w:val="20"/>
        </w:rPr>
      </w:pPr>
    </w:p>
    <w:p w:rsidR="0031011E" w:rsidRPr="00DB0AC3" w:rsidRDefault="0031011E" w:rsidP="00C92525">
      <w:pPr>
        <w:pStyle w:val="210"/>
        <w:shd w:val="clear" w:color="auto" w:fill="auto"/>
        <w:spacing w:line="230" w:lineRule="exact"/>
        <w:ind w:firstLine="0"/>
        <w:jc w:val="both"/>
        <w:rPr>
          <w:b w:val="0"/>
          <w:bCs w:val="0"/>
          <w:color w:val="000000"/>
          <w:sz w:val="20"/>
          <w:szCs w:val="20"/>
        </w:rPr>
      </w:pPr>
      <w:r w:rsidRPr="00DB0AC3">
        <w:rPr>
          <w:b w:val="0"/>
          <w:sz w:val="20"/>
          <w:szCs w:val="20"/>
        </w:rPr>
        <w:t>Бо</w:t>
      </w:r>
      <w:r w:rsidR="00732B7E" w:rsidRPr="00DB0AC3">
        <w:rPr>
          <w:b w:val="0"/>
          <w:sz w:val="20"/>
          <w:szCs w:val="20"/>
        </w:rPr>
        <w:t>льшая часть доходов Банка в 2014</w:t>
      </w:r>
      <w:r w:rsidRPr="00DB0AC3">
        <w:rPr>
          <w:b w:val="0"/>
          <w:sz w:val="20"/>
          <w:szCs w:val="20"/>
        </w:rPr>
        <w:t xml:space="preserve"> и 201</w:t>
      </w:r>
      <w:r w:rsidR="00732B7E" w:rsidRPr="00DB0AC3">
        <w:rPr>
          <w:b w:val="0"/>
          <w:sz w:val="20"/>
          <w:szCs w:val="20"/>
        </w:rPr>
        <w:t>3</w:t>
      </w:r>
      <w:r w:rsidRPr="00DB0AC3">
        <w:rPr>
          <w:b w:val="0"/>
          <w:sz w:val="20"/>
          <w:szCs w:val="20"/>
        </w:rPr>
        <w:t xml:space="preserve"> годах облагалась по ставке налога на прибыль в размере 20%.</w:t>
      </w:r>
    </w:p>
    <w:p w:rsidR="00DC2703" w:rsidRPr="00DB0AC3" w:rsidRDefault="00DC2703" w:rsidP="005F69B3">
      <w:pPr>
        <w:pStyle w:val="210"/>
        <w:shd w:val="clear" w:color="auto" w:fill="auto"/>
        <w:spacing w:line="230" w:lineRule="exact"/>
        <w:ind w:firstLine="0"/>
        <w:rPr>
          <w:rFonts w:eastAsia="SimSun"/>
          <w:b w:val="0"/>
          <w:sz w:val="20"/>
          <w:szCs w:val="20"/>
        </w:rPr>
      </w:pPr>
    </w:p>
    <w:p w:rsidR="00DC2703" w:rsidRPr="00DB0AC3" w:rsidRDefault="00DC2703" w:rsidP="005F69B3">
      <w:pPr>
        <w:pStyle w:val="210"/>
        <w:shd w:val="clear" w:color="auto" w:fill="auto"/>
        <w:spacing w:line="230" w:lineRule="exact"/>
        <w:ind w:firstLine="0"/>
        <w:rPr>
          <w:rFonts w:eastAsia="SimSun"/>
          <w:b w:val="0"/>
          <w:sz w:val="20"/>
          <w:szCs w:val="20"/>
        </w:rPr>
      </w:pPr>
    </w:p>
    <w:p w:rsidR="00B454C2" w:rsidRPr="00DB0AC3" w:rsidRDefault="0031011E">
      <w:pPr>
        <w:pStyle w:val="210"/>
        <w:shd w:val="clear" w:color="auto" w:fill="auto"/>
        <w:spacing w:line="230" w:lineRule="exact"/>
        <w:ind w:firstLine="0"/>
        <w:jc w:val="both"/>
        <w:rPr>
          <w:b w:val="0"/>
          <w:sz w:val="20"/>
          <w:szCs w:val="20"/>
        </w:rPr>
      </w:pPr>
      <w:r w:rsidRPr="00DB0AC3">
        <w:rPr>
          <w:b w:val="0"/>
          <w:sz w:val="20"/>
          <w:szCs w:val="20"/>
        </w:rPr>
        <w:t>Основные компоненты, составляющие отложенные налоговые (обязательства)/активы на 31 декабря 2013 года, включали в себя:</w:t>
      </w:r>
    </w:p>
    <w:p w:rsidR="00DC2703" w:rsidRPr="00DB0AC3" w:rsidRDefault="00DC2703" w:rsidP="005F69B3">
      <w:pPr>
        <w:pStyle w:val="210"/>
        <w:shd w:val="clear" w:color="auto" w:fill="auto"/>
        <w:spacing w:line="230" w:lineRule="exact"/>
        <w:ind w:firstLine="0"/>
        <w:rPr>
          <w:rFonts w:eastAsia="SimSun"/>
          <w:b w:val="0"/>
          <w:sz w:val="20"/>
          <w:szCs w:val="20"/>
        </w:rPr>
      </w:pPr>
    </w:p>
    <w:tbl>
      <w:tblPr>
        <w:tblW w:w="5000" w:type="pct"/>
        <w:tblLayout w:type="fixed"/>
        <w:tblLook w:val="04A0"/>
      </w:tblPr>
      <w:tblGrid>
        <w:gridCol w:w="4927"/>
        <w:gridCol w:w="283"/>
        <w:gridCol w:w="1136"/>
        <w:gridCol w:w="1281"/>
        <w:gridCol w:w="2196"/>
      </w:tblGrid>
      <w:tr w:rsidR="00B05C14" w:rsidRPr="00DB0AC3" w:rsidTr="00B05C14">
        <w:trPr>
          <w:trHeight w:val="900"/>
        </w:trPr>
        <w:tc>
          <w:tcPr>
            <w:tcW w:w="2508" w:type="pct"/>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p>
        </w:tc>
        <w:tc>
          <w:tcPr>
            <w:tcW w:w="722" w:type="pct"/>
            <w:gridSpan w:val="2"/>
            <w:tcBorders>
              <w:top w:val="nil"/>
              <w:left w:val="nil"/>
              <w:bottom w:val="single" w:sz="4" w:space="0" w:color="auto"/>
              <w:right w:val="nil"/>
            </w:tcBorders>
            <w:shd w:val="clear" w:color="auto" w:fill="auto"/>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Временные разницы</w:t>
            </w:r>
          </w:p>
        </w:tc>
        <w:tc>
          <w:tcPr>
            <w:tcW w:w="652" w:type="pct"/>
            <w:tcBorders>
              <w:top w:val="nil"/>
              <w:left w:val="nil"/>
              <w:bottom w:val="single" w:sz="4" w:space="0" w:color="auto"/>
              <w:right w:val="nil"/>
            </w:tcBorders>
            <w:shd w:val="clear" w:color="auto" w:fill="auto"/>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Налоговая ставка, %</w:t>
            </w:r>
          </w:p>
        </w:tc>
        <w:tc>
          <w:tcPr>
            <w:tcW w:w="1118" w:type="pct"/>
            <w:tcBorders>
              <w:top w:val="nil"/>
              <w:left w:val="nil"/>
              <w:bottom w:val="single" w:sz="4" w:space="0" w:color="auto"/>
              <w:right w:val="nil"/>
            </w:tcBorders>
            <w:shd w:val="clear" w:color="auto" w:fill="auto"/>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Отложенный налоговый актив/ (обязательство)</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Резерв под обесценение кредитов клиентам</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101 929</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(20 385)</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Прочие обязательства</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(93 106)</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18 621</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Прочие активы и начисленные доходы</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60 312</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(12 062)</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Средства клиентов</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(46 223)</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9 245</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Кредиты клиентам</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36 438</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(7 288)</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Резерв по прочим активам</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18 454</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(3 691)</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Основные средства</w:t>
            </w: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(11 829)</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2 366</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Ценные бумаги</w:t>
            </w:r>
          </w:p>
        </w:tc>
        <w:tc>
          <w:tcPr>
            <w:tcW w:w="578" w:type="pct"/>
            <w:tcBorders>
              <w:top w:val="nil"/>
              <w:left w:val="nil"/>
              <w:bottom w:val="single" w:sz="4" w:space="0" w:color="auto"/>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2 257</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single" w:sz="4" w:space="0" w:color="auto"/>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(451)</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p>
        </w:tc>
        <w:tc>
          <w:tcPr>
            <w:tcW w:w="57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68 232</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p>
        </w:tc>
        <w:tc>
          <w:tcPr>
            <w:tcW w:w="1118"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(13 645)</w:t>
            </w:r>
          </w:p>
        </w:tc>
      </w:tr>
      <w:tr w:rsidR="00B05C14" w:rsidRPr="00DB0AC3" w:rsidTr="00B05C14">
        <w:trPr>
          <w:trHeight w:val="300"/>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r w:rsidRPr="00DB0AC3">
              <w:rPr>
                <w:rFonts w:cs="Arial"/>
                <w:color w:val="000000"/>
                <w:sz w:val="20"/>
                <w:lang w:val="ru-RU"/>
              </w:rPr>
              <w:t>Резерв по переоценке ценных бумаг</w:t>
            </w:r>
          </w:p>
        </w:tc>
        <w:tc>
          <w:tcPr>
            <w:tcW w:w="578" w:type="pct"/>
            <w:tcBorders>
              <w:top w:val="nil"/>
              <w:left w:val="nil"/>
              <w:bottom w:val="single" w:sz="4" w:space="0" w:color="auto"/>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(247 218)</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20</w:t>
            </w:r>
          </w:p>
        </w:tc>
        <w:tc>
          <w:tcPr>
            <w:tcW w:w="1118" w:type="pct"/>
            <w:tcBorders>
              <w:top w:val="nil"/>
              <w:left w:val="nil"/>
              <w:bottom w:val="single" w:sz="4" w:space="0" w:color="auto"/>
              <w:right w:val="nil"/>
            </w:tcBorders>
            <w:shd w:val="clear" w:color="auto" w:fill="auto"/>
            <w:noWrap/>
            <w:vAlign w:val="bottom"/>
            <w:hideMark/>
          </w:tcPr>
          <w:p w:rsidR="00B05C14" w:rsidRPr="00DB0AC3" w:rsidRDefault="00B05C14" w:rsidP="00B05C14">
            <w:pPr>
              <w:jc w:val="center"/>
              <w:rPr>
                <w:rFonts w:cs="Arial"/>
                <w:color w:val="000000"/>
                <w:sz w:val="20"/>
                <w:lang w:val="ru-RU"/>
              </w:rPr>
            </w:pPr>
            <w:r w:rsidRPr="00DB0AC3">
              <w:rPr>
                <w:rFonts w:cs="Arial"/>
                <w:color w:val="000000"/>
                <w:sz w:val="20"/>
                <w:lang w:val="ru-RU"/>
              </w:rPr>
              <w:t>49 444</w:t>
            </w:r>
          </w:p>
        </w:tc>
      </w:tr>
      <w:tr w:rsidR="00B05C14" w:rsidRPr="00DB0AC3" w:rsidTr="00B05C14">
        <w:trPr>
          <w:trHeight w:val="315"/>
        </w:trPr>
        <w:tc>
          <w:tcPr>
            <w:tcW w:w="2652" w:type="pct"/>
            <w:gridSpan w:val="2"/>
            <w:tcBorders>
              <w:top w:val="nil"/>
              <w:left w:val="nil"/>
              <w:bottom w:val="nil"/>
              <w:right w:val="nil"/>
            </w:tcBorders>
            <w:shd w:val="clear" w:color="auto" w:fill="auto"/>
            <w:noWrap/>
            <w:vAlign w:val="bottom"/>
            <w:hideMark/>
          </w:tcPr>
          <w:p w:rsidR="00B05C14" w:rsidRPr="00DB0AC3" w:rsidRDefault="00B05C14" w:rsidP="00B05C14">
            <w:pPr>
              <w:rPr>
                <w:rFonts w:cs="Arial"/>
                <w:color w:val="000000"/>
                <w:sz w:val="20"/>
                <w:lang w:val="ru-RU"/>
              </w:rPr>
            </w:pPr>
          </w:p>
        </w:tc>
        <w:tc>
          <w:tcPr>
            <w:tcW w:w="578" w:type="pct"/>
            <w:tcBorders>
              <w:top w:val="nil"/>
              <w:left w:val="nil"/>
              <w:bottom w:val="double" w:sz="6" w:space="0" w:color="auto"/>
              <w:right w:val="nil"/>
            </w:tcBorders>
            <w:shd w:val="clear" w:color="auto" w:fill="auto"/>
            <w:noWrap/>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(178 986)</w:t>
            </w:r>
          </w:p>
        </w:tc>
        <w:tc>
          <w:tcPr>
            <w:tcW w:w="652" w:type="pct"/>
            <w:tcBorders>
              <w:top w:val="nil"/>
              <w:left w:val="nil"/>
              <w:bottom w:val="nil"/>
              <w:right w:val="nil"/>
            </w:tcBorders>
            <w:shd w:val="clear" w:color="auto" w:fill="auto"/>
            <w:noWrap/>
            <w:vAlign w:val="bottom"/>
            <w:hideMark/>
          </w:tcPr>
          <w:p w:rsidR="00B05C14" w:rsidRPr="00DB0AC3" w:rsidRDefault="00B05C14" w:rsidP="00B05C14">
            <w:pPr>
              <w:jc w:val="center"/>
              <w:rPr>
                <w:rFonts w:cs="Arial"/>
                <w:color w:val="000000"/>
                <w:sz w:val="20"/>
                <w:lang w:val="ru-RU"/>
              </w:rPr>
            </w:pPr>
          </w:p>
        </w:tc>
        <w:tc>
          <w:tcPr>
            <w:tcW w:w="1118" w:type="pct"/>
            <w:tcBorders>
              <w:top w:val="nil"/>
              <w:left w:val="nil"/>
              <w:bottom w:val="double" w:sz="6" w:space="0" w:color="auto"/>
              <w:right w:val="nil"/>
            </w:tcBorders>
            <w:shd w:val="clear" w:color="auto" w:fill="auto"/>
            <w:noWrap/>
            <w:vAlign w:val="bottom"/>
            <w:hideMark/>
          </w:tcPr>
          <w:p w:rsidR="00B05C14" w:rsidRPr="00DB0AC3" w:rsidRDefault="00B05C14" w:rsidP="00B05C14">
            <w:pPr>
              <w:jc w:val="center"/>
              <w:rPr>
                <w:rFonts w:cs="Arial"/>
                <w:b/>
                <w:bCs/>
                <w:color w:val="000000"/>
                <w:sz w:val="20"/>
                <w:lang w:val="ru-RU"/>
              </w:rPr>
            </w:pPr>
            <w:r w:rsidRPr="00DB0AC3">
              <w:rPr>
                <w:rFonts w:cs="Arial"/>
                <w:b/>
                <w:bCs/>
                <w:color w:val="000000"/>
                <w:sz w:val="20"/>
                <w:lang w:val="ru-RU"/>
              </w:rPr>
              <w:t>35 799</w:t>
            </w:r>
          </w:p>
        </w:tc>
      </w:tr>
    </w:tbl>
    <w:p w:rsidR="00C92525" w:rsidRDefault="00C92525" w:rsidP="00C92525">
      <w:pPr>
        <w:pStyle w:val="1"/>
        <w:keepNext w:val="0"/>
        <w:widowControl w:val="0"/>
        <w:numPr>
          <w:ilvl w:val="0"/>
          <w:numId w:val="0"/>
        </w:numPr>
        <w:spacing w:before="0"/>
        <w:ind w:left="567"/>
        <w:rPr>
          <w:rFonts w:cs="Arial"/>
          <w:lang w:val="ru-RU"/>
        </w:rPr>
      </w:pPr>
      <w:bookmarkStart w:id="111" w:name="_Toc441479799"/>
    </w:p>
    <w:p w:rsidR="006572FF" w:rsidRPr="00DB0AC3" w:rsidRDefault="00EA31BB" w:rsidP="00360E6A">
      <w:pPr>
        <w:pStyle w:val="1"/>
        <w:keepNext w:val="0"/>
        <w:widowControl w:val="0"/>
        <w:numPr>
          <w:ilvl w:val="0"/>
          <w:numId w:val="3"/>
        </w:numPr>
        <w:spacing w:before="0"/>
        <w:rPr>
          <w:rFonts w:cs="Arial"/>
          <w:lang w:val="ru-RU"/>
        </w:rPr>
      </w:pPr>
      <w:r>
        <w:rPr>
          <w:rFonts w:cs="Arial"/>
          <w:lang w:val="ru-RU"/>
        </w:rPr>
        <w:t xml:space="preserve">Долгосрочные </w:t>
      </w:r>
      <w:r w:rsidR="005F69B3" w:rsidRPr="00DB0AC3">
        <w:rPr>
          <w:rFonts w:cs="Arial"/>
          <w:lang w:val="ru-RU"/>
        </w:rPr>
        <w:t>активы, предназначенные для продажи</w:t>
      </w:r>
      <w:bookmarkEnd w:id="111"/>
    </w:p>
    <w:tbl>
      <w:tblPr>
        <w:tblW w:w="5000" w:type="pct"/>
        <w:tblLayout w:type="fixed"/>
        <w:tblLook w:val="04A0"/>
      </w:tblPr>
      <w:tblGrid>
        <w:gridCol w:w="6346"/>
        <w:gridCol w:w="1701"/>
        <w:gridCol w:w="1776"/>
      </w:tblGrid>
      <w:tr w:rsidR="00DC2703" w:rsidRPr="00DB0AC3" w:rsidTr="00FD65C6">
        <w:trPr>
          <w:trHeight w:val="300"/>
        </w:trPr>
        <w:tc>
          <w:tcPr>
            <w:tcW w:w="3230" w:type="pct"/>
            <w:tcBorders>
              <w:top w:val="nil"/>
              <w:left w:val="nil"/>
            </w:tcBorders>
            <w:shd w:val="clear" w:color="auto" w:fill="auto"/>
            <w:noWrap/>
            <w:vAlign w:val="bottom"/>
            <w:hideMark/>
          </w:tcPr>
          <w:p w:rsidR="00DC2703" w:rsidRPr="00DB0AC3" w:rsidRDefault="00DC2703" w:rsidP="00DC2703">
            <w:pPr>
              <w:rPr>
                <w:rFonts w:cs="Arial"/>
                <w:color w:val="000000"/>
                <w:sz w:val="20"/>
                <w:lang w:val="ru-RU"/>
              </w:rPr>
            </w:pPr>
          </w:p>
        </w:tc>
        <w:tc>
          <w:tcPr>
            <w:tcW w:w="866" w:type="pct"/>
            <w:shd w:val="clear" w:color="auto" w:fill="auto"/>
            <w:vAlign w:val="bottom"/>
            <w:hideMark/>
          </w:tcPr>
          <w:p w:rsidR="00DC2703" w:rsidRPr="00DB0AC3" w:rsidRDefault="00DC2703" w:rsidP="00DC2703">
            <w:pPr>
              <w:jc w:val="right"/>
              <w:rPr>
                <w:rFonts w:cs="Arial"/>
                <w:b/>
                <w:bCs/>
                <w:color w:val="000000"/>
                <w:sz w:val="20"/>
                <w:lang w:val="ru-RU"/>
              </w:rPr>
            </w:pPr>
            <w:r w:rsidRPr="00DB0AC3">
              <w:rPr>
                <w:rFonts w:cs="Arial"/>
                <w:b/>
                <w:bCs/>
                <w:color w:val="000000"/>
                <w:sz w:val="20"/>
                <w:lang w:val="ru-RU"/>
              </w:rPr>
              <w:t>31 декабря 2014</w:t>
            </w:r>
          </w:p>
        </w:tc>
        <w:tc>
          <w:tcPr>
            <w:tcW w:w="904" w:type="pct"/>
            <w:shd w:val="clear" w:color="auto" w:fill="auto"/>
            <w:vAlign w:val="bottom"/>
            <w:hideMark/>
          </w:tcPr>
          <w:p w:rsidR="00DC2703" w:rsidRPr="00DB0AC3" w:rsidRDefault="00DC2703" w:rsidP="00DC2703">
            <w:pPr>
              <w:jc w:val="right"/>
              <w:rPr>
                <w:rFonts w:cs="Arial"/>
                <w:b/>
                <w:bCs/>
                <w:color w:val="000000"/>
                <w:sz w:val="20"/>
                <w:lang w:val="ru-RU"/>
              </w:rPr>
            </w:pPr>
            <w:r w:rsidRPr="00DB0AC3">
              <w:rPr>
                <w:rFonts w:cs="Arial"/>
                <w:b/>
                <w:bCs/>
                <w:color w:val="000000"/>
                <w:sz w:val="20"/>
                <w:lang w:val="ru-RU"/>
              </w:rPr>
              <w:t>31 декабря 2013</w:t>
            </w:r>
          </w:p>
        </w:tc>
      </w:tr>
      <w:tr w:rsidR="00DC2703" w:rsidRPr="00DB0AC3" w:rsidTr="00FD65C6">
        <w:trPr>
          <w:trHeight w:val="300"/>
        </w:trPr>
        <w:tc>
          <w:tcPr>
            <w:tcW w:w="3230" w:type="pct"/>
            <w:tcBorders>
              <w:top w:val="nil"/>
              <w:left w:val="nil"/>
              <w:bottom w:val="nil"/>
            </w:tcBorders>
            <w:shd w:val="clear" w:color="auto" w:fill="auto"/>
            <w:noWrap/>
            <w:vAlign w:val="bottom"/>
            <w:hideMark/>
          </w:tcPr>
          <w:p w:rsidR="00DC2703" w:rsidRPr="00DB0AC3" w:rsidRDefault="00DC2703" w:rsidP="00DC2703">
            <w:pPr>
              <w:rPr>
                <w:rFonts w:cs="Arial"/>
                <w:color w:val="000000"/>
                <w:sz w:val="20"/>
                <w:lang w:val="ru-RU"/>
              </w:rPr>
            </w:pPr>
            <w:r w:rsidRPr="00DB0AC3">
              <w:rPr>
                <w:rFonts w:cs="Arial"/>
                <w:color w:val="000000"/>
                <w:sz w:val="20"/>
                <w:lang w:val="ru-RU"/>
              </w:rPr>
              <w:t xml:space="preserve">На начало года </w:t>
            </w:r>
          </w:p>
        </w:tc>
        <w:tc>
          <w:tcPr>
            <w:tcW w:w="866" w:type="pct"/>
            <w:shd w:val="clear" w:color="auto" w:fill="auto"/>
            <w:noWrap/>
            <w:vAlign w:val="bottom"/>
            <w:hideMark/>
          </w:tcPr>
          <w:p w:rsidR="00DC2703" w:rsidRPr="00DB0AC3" w:rsidRDefault="00DC2703" w:rsidP="00A5111B">
            <w:pPr>
              <w:jc w:val="right"/>
              <w:rPr>
                <w:rFonts w:cs="Arial"/>
                <w:color w:val="000000"/>
                <w:sz w:val="20"/>
                <w:lang w:val="ru-RU"/>
              </w:rPr>
            </w:pPr>
            <w:r w:rsidRPr="00DB0AC3">
              <w:rPr>
                <w:rFonts w:cs="Arial"/>
                <w:color w:val="000000"/>
                <w:sz w:val="20"/>
                <w:lang w:val="ru-RU"/>
              </w:rPr>
              <w:t>17 071</w:t>
            </w:r>
          </w:p>
        </w:tc>
        <w:tc>
          <w:tcPr>
            <w:tcW w:w="904" w:type="pct"/>
            <w:shd w:val="clear" w:color="auto" w:fill="auto"/>
            <w:noWrap/>
            <w:vAlign w:val="bottom"/>
            <w:hideMark/>
          </w:tcPr>
          <w:p w:rsidR="00DC2703" w:rsidRPr="00DB0AC3" w:rsidRDefault="00DC2703" w:rsidP="00A5111B">
            <w:pPr>
              <w:jc w:val="right"/>
              <w:rPr>
                <w:rFonts w:cs="Arial"/>
                <w:color w:val="000000"/>
                <w:sz w:val="20"/>
                <w:lang w:val="ru-RU"/>
              </w:rPr>
            </w:pPr>
            <w:r w:rsidRPr="00DB0AC3">
              <w:rPr>
                <w:rFonts w:cs="Arial"/>
                <w:color w:val="000000"/>
                <w:sz w:val="20"/>
                <w:lang w:val="ru-RU"/>
              </w:rPr>
              <w:t>4 608</w:t>
            </w:r>
          </w:p>
        </w:tc>
      </w:tr>
      <w:tr w:rsidR="00FD65C6" w:rsidRPr="00DB0AC3" w:rsidTr="00FD65C6">
        <w:trPr>
          <w:trHeight w:val="300"/>
        </w:trPr>
        <w:tc>
          <w:tcPr>
            <w:tcW w:w="3230" w:type="pct"/>
            <w:tcBorders>
              <w:top w:val="nil"/>
              <w:left w:val="nil"/>
            </w:tcBorders>
            <w:shd w:val="clear" w:color="auto" w:fill="auto"/>
            <w:noWrap/>
            <w:vAlign w:val="bottom"/>
            <w:hideMark/>
          </w:tcPr>
          <w:p w:rsidR="00DC2703" w:rsidRPr="00DB0AC3" w:rsidRDefault="00DC2703" w:rsidP="00DC2703">
            <w:pPr>
              <w:rPr>
                <w:rFonts w:cs="Arial"/>
                <w:color w:val="000000"/>
                <w:sz w:val="20"/>
                <w:lang w:val="ru-RU"/>
              </w:rPr>
            </w:pPr>
            <w:r w:rsidRPr="00DB0AC3">
              <w:rPr>
                <w:rFonts w:cs="Arial"/>
                <w:color w:val="000000"/>
                <w:sz w:val="20"/>
                <w:lang w:val="ru-RU"/>
              </w:rPr>
              <w:t>Обеспечение, полученное в счет неплатежей</w:t>
            </w:r>
          </w:p>
        </w:tc>
        <w:tc>
          <w:tcPr>
            <w:tcW w:w="866" w:type="pct"/>
            <w:shd w:val="clear" w:color="auto" w:fill="auto"/>
            <w:noWrap/>
            <w:vAlign w:val="bottom"/>
            <w:hideMark/>
          </w:tcPr>
          <w:p w:rsidR="00DC2703" w:rsidRPr="00DB0AC3" w:rsidRDefault="00DC2703" w:rsidP="00A5111B">
            <w:pPr>
              <w:jc w:val="right"/>
              <w:rPr>
                <w:rFonts w:cs="Arial"/>
                <w:color w:val="000000"/>
                <w:sz w:val="20"/>
                <w:lang w:val="ru-RU"/>
              </w:rPr>
            </w:pPr>
            <w:r w:rsidRPr="00DB0AC3">
              <w:rPr>
                <w:rFonts w:cs="Arial"/>
                <w:color w:val="000000"/>
                <w:sz w:val="20"/>
                <w:lang w:val="ru-RU"/>
              </w:rPr>
              <w:t>75 786</w:t>
            </w:r>
          </w:p>
        </w:tc>
        <w:tc>
          <w:tcPr>
            <w:tcW w:w="904" w:type="pct"/>
            <w:shd w:val="clear" w:color="auto" w:fill="auto"/>
            <w:noWrap/>
            <w:vAlign w:val="bottom"/>
            <w:hideMark/>
          </w:tcPr>
          <w:p w:rsidR="00DC2703" w:rsidRPr="00DB0AC3" w:rsidRDefault="00DC2703" w:rsidP="00A5111B">
            <w:pPr>
              <w:jc w:val="right"/>
              <w:rPr>
                <w:rFonts w:cs="Arial"/>
                <w:color w:val="000000"/>
                <w:sz w:val="20"/>
                <w:lang w:val="ru-RU"/>
              </w:rPr>
            </w:pPr>
            <w:r w:rsidRPr="00DB0AC3">
              <w:rPr>
                <w:rFonts w:cs="Arial"/>
                <w:color w:val="000000"/>
                <w:sz w:val="20"/>
                <w:lang w:val="ru-RU"/>
              </w:rPr>
              <w:t>191</w:t>
            </w:r>
          </w:p>
        </w:tc>
      </w:tr>
      <w:tr w:rsidR="00FD65C6" w:rsidRPr="00DB0AC3" w:rsidTr="006A4C42">
        <w:trPr>
          <w:trHeight w:val="300"/>
        </w:trPr>
        <w:tc>
          <w:tcPr>
            <w:tcW w:w="3230" w:type="pct"/>
            <w:shd w:val="clear" w:color="auto" w:fill="auto"/>
            <w:noWrap/>
            <w:vAlign w:val="bottom"/>
            <w:hideMark/>
          </w:tcPr>
          <w:p w:rsidR="00DC2703" w:rsidRPr="00DB0AC3" w:rsidRDefault="00DC2703" w:rsidP="00DC2703">
            <w:pPr>
              <w:rPr>
                <w:rFonts w:cs="Arial"/>
                <w:color w:val="000000"/>
                <w:sz w:val="20"/>
                <w:lang w:val="ru-RU"/>
              </w:rPr>
            </w:pPr>
            <w:r w:rsidRPr="00DB0AC3">
              <w:rPr>
                <w:rFonts w:cs="Arial"/>
                <w:color w:val="000000"/>
                <w:sz w:val="20"/>
                <w:lang w:val="ru-RU"/>
              </w:rPr>
              <w:t>Реализация обеспечения</w:t>
            </w:r>
          </w:p>
        </w:tc>
        <w:tc>
          <w:tcPr>
            <w:tcW w:w="866" w:type="pct"/>
            <w:shd w:val="clear" w:color="auto" w:fill="auto"/>
            <w:noWrap/>
            <w:vAlign w:val="bottom"/>
            <w:hideMark/>
          </w:tcPr>
          <w:p w:rsidR="00DC2703" w:rsidRPr="00DB0AC3" w:rsidRDefault="00DC2703" w:rsidP="00A5111B">
            <w:pPr>
              <w:jc w:val="right"/>
              <w:rPr>
                <w:rFonts w:cs="Arial"/>
                <w:color w:val="000000"/>
                <w:sz w:val="20"/>
                <w:lang w:val="ru-RU"/>
              </w:rPr>
            </w:pPr>
            <w:r w:rsidRPr="00DB0AC3">
              <w:rPr>
                <w:rFonts w:cs="Arial"/>
                <w:color w:val="000000"/>
                <w:sz w:val="20"/>
                <w:lang w:val="ru-RU"/>
              </w:rPr>
              <w:t>(1 226)</w:t>
            </w:r>
          </w:p>
        </w:tc>
        <w:tc>
          <w:tcPr>
            <w:tcW w:w="904" w:type="pct"/>
            <w:shd w:val="clear" w:color="auto" w:fill="auto"/>
            <w:noWrap/>
            <w:vAlign w:val="bottom"/>
            <w:hideMark/>
          </w:tcPr>
          <w:p w:rsidR="00DC2703" w:rsidRPr="00DB0AC3" w:rsidRDefault="00DC2703" w:rsidP="00A5111B">
            <w:pPr>
              <w:jc w:val="right"/>
              <w:rPr>
                <w:rFonts w:cs="Arial"/>
                <w:color w:val="000000"/>
                <w:sz w:val="20"/>
                <w:lang w:val="ru-RU"/>
              </w:rPr>
            </w:pPr>
            <w:r w:rsidRPr="00DB0AC3">
              <w:rPr>
                <w:rFonts w:cs="Arial"/>
                <w:color w:val="000000"/>
                <w:sz w:val="20"/>
                <w:lang w:val="ru-RU"/>
              </w:rPr>
              <w:t>(3 382)</w:t>
            </w:r>
          </w:p>
        </w:tc>
      </w:tr>
      <w:tr w:rsidR="00FD65C6" w:rsidRPr="00DB0AC3" w:rsidTr="006A4C42">
        <w:trPr>
          <w:trHeight w:val="300"/>
        </w:trPr>
        <w:tc>
          <w:tcPr>
            <w:tcW w:w="3230" w:type="pct"/>
            <w:shd w:val="clear" w:color="auto" w:fill="auto"/>
            <w:noWrap/>
            <w:vAlign w:val="bottom"/>
            <w:hideMark/>
          </w:tcPr>
          <w:p w:rsidR="00FD65C6" w:rsidRPr="00DB0AC3" w:rsidRDefault="00FD65C6" w:rsidP="00DC2703">
            <w:pPr>
              <w:rPr>
                <w:rFonts w:cs="Arial"/>
                <w:color w:val="000000"/>
                <w:sz w:val="20"/>
                <w:lang w:val="ru-RU"/>
              </w:rPr>
            </w:pPr>
            <w:r w:rsidRPr="00DB0AC3">
              <w:rPr>
                <w:rFonts w:cs="Arial"/>
                <w:color w:val="000000"/>
                <w:sz w:val="20"/>
                <w:lang w:val="ru-RU"/>
              </w:rPr>
              <w:t>Реклассификация в инвестиционную недвижимость (Прим. 13)</w:t>
            </w:r>
          </w:p>
        </w:tc>
        <w:tc>
          <w:tcPr>
            <w:tcW w:w="866" w:type="pct"/>
            <w:tcBorders>
              <w:bottom w:val="single" w:sz="4" w:space="0" w:color="auto"/>
            </w:tcBorders>
            <w:shd w:val="clear" w:color="auto" w:fill="auto"/>
            <w:noWrap/>
            <w:vAlign w:val="bottom"/>
            <w:hideMark/>
          </w:tcPr>
          <w:p w:rsidR="00FD65C6" w:rsidRPr="00DB0AC3" w:rsidRDefault="00FD65C6" w:rsidP="00A5111B">
            <w:pPr>
              <w:jc w:val="right"/>
              <w:rPr>
                <w:rFonts w:cs="Arial"/>
                <w:color w:val="000000"/>
                <w:sz w:val="20"/>
                <w:lang w:val="ru-RU"/>
              </w:rPr>
            </w:pPr>
            <w:r w:rsidRPr="00DB0AC3">
              <w:rPr>
                <w:rFonts w:cs="Arial"/>
                <w:color w:val="000000"/>
                <w:sz w:val="20"/>
                <w:lang w:val="ru-RU"/>
              </w:rPr>
              <w:t>-</w:t>
            </w:r>
          </w:p>
        </w:tc>
        <w:tc>
          <w:tcPr>
            <w:tcW w:w="904" w:type="pct"/>
            <w:tcBorders>
              <w:bottom w:val="single" w:sz="4" w:space="0" w:color="auto"/>
            </w:tcBorders>
            <w:shd w:val="clear" w:color="auto" w:fill="auto"/>
            <w:noWrap/>
            <w:vAlign w:val="bottom"/>
            <w:hideMark/>
          </w:tcPr>
          <w:p w:rsidR="00FD65C6" w:rsidRPr="00DB0AC3" w:rsidRDefault="00FD65C6" w:rsidP="00A5111B">
            <w:pPr>
              <w:jc w:val="right"/>
              <w:rPr>
                <w:rFonts w:cs="Arial"/>
                <w:color w:val="000000"/>
                <w:sz w:val="20"/>
                <w:lang w:val="ru-RU"/>
              </w:rPr>
            </w:pPr>
            <w:r w:rsidRPr="00DB0AC3">
              <w:rPr>
                <w:rFonts w:cs="Arial"/>
                <w:color w:val="000000"/>
                <w:sz w:val="20"/>
                <w:lang w:val="ru-RU"/>
              </w:rPr>
              <w:t>15 654</w:t>
            </w:r>
          </w:p>
        </w:tc>
      </w:tr>
      <w:tr w:rsidR="00FD65C6" w:rsidRPr="00DB0AC3" w:rsidTr="006A4C42">
        <w:trPr>
          <w:trHeight w:val="315"/>
        </w:trPr>
        <w:tc>
          <w:tcPr>
            <w:tcW w:w="3230" w:type="pct"/>
            <w:shd w:val="clear" w:color="auto" w:fill="auto"/>
            <w:noWrap/>
            <w:vAlign w:val="bottom"/>
            <w:hideMark/>
          </w:tcPr>
          <w:p w:rsidR="00DC2703" w:rsidRPr="00DB0AC3" w:rsidRDefault="00DC2703" w:rsidP="00DC2703">
            <w:pPr>
              <w:rPr>
                <w:rFonts w:cs="Arial"/>
                <w:b/>
                <w:bCs/>
                <w:color w:val="000000"/>
                <w:sz w:val="20"/>
                <w:lang w:val="ru-RU"/>
              </w:rPr>
            </w:pPr>
            <w:r w:rsidRPr="00DB0AC3">
              <w:rPr>
                <w:rFonts w:cs="Arial"/>
                <w:b/>
                <w:bCs/>
                <w:color w:val="000000"/>
                <w:sz w:val="20"/>
                <w:lang w:val="ru-RU"/>
              </w:rPr>
              <w:lastRenderedPageBreak/>
              <w:t>Итого</w:t>
            </w:r>
          </w:p>
        </w:tc>
        <w:tc>
          <w:tcPr>
            <w:tcW w:w="866" w:type="pct"/>
            <w:tcBorders>
              <w:top w:val="single" w:sz="4" w:space="0" w:color="auto"/>
              <w:bottom w:val="double" w:sz="4" w:space="0" w:color="auto"/>
            </w:tcBorders>
            <w:shd w:val="clear" w:color="auto" w:fill="auto"/>
            <w:noWrap/>
            <w:vAlign w:val="bottom"/>
            <w:hideMark/>
          </w:tcPr>
          <w:p w:rsidR="00DC2703" w:rsidRPr="00DB0AC3" w:rsidRDefault="00DC2703" w:rsidP="00A5111B">
            <w:pPr>
              <w:jc w:val="right"/>
              <w:rPr>
                <w:rFonts w:cs="Arial"/>
                <w:b/>
                <w:bCs/>
                <w:color w:val="000000"/>
                <w:sz w:val="20"/>
                <w:lang w:val="ru-RU"/>
              </w:rPr>
            </w:pPr>
            <w:r w:rsidRPr="00DB0AC3">
              <w:rPr>
                <w:rFonts w:cs="Arial"/>
                <w:b/>
                <w:bCs/>
                <w:color w:val="000000"/>
                <w:sz w:val="20"/>
                <w:lang w:val="ru-RU"/>
              </w:rPr>
              <w:t>91 631</w:t>
            </w:r>
          </w:p>
        </w:tc>
        <w:tc>
          <w:tcPr>
            <w:tcW w:w="904" w:type="pct"/>
            <w:tcBorders>
              <w:top w:val="single" w:sz="4" w:space="0" w:color="auto"/>
              <w:bottom w:val="double" w:sz="4" w:space="0" w:color="auto"/>
            </w:tcBorders>
            <w:shd w:val="clear" w:color="auto" w:fill="auto"/>
            <w:noWrap/>
            <w:vAlign w:val="bottom"/>
            <w:hideMark/>
          </w:tcPr>
          <w:p w:rsidR="00DC2703" w:rsidRPr="00DB0AC3" w:rsidRDefault="00DC2703" w:rsidP="00A5111B">
            <w:pPr>
              <w:jc w:val="right"/>
              <w:rPr>
                <w:rFonts w:cs="Arial"/>
                <w:b/>
                <w:bCs/>
                <w:color w:val="000000"/>
                <w:sz w:val="20"/>
                <w:lang w:val="ru-RU"/>
              </w:rPr>
            </w:pPr>
            <w:r w:rsidRPr="00DB0AC3">
              <w:rPr>
                <w:rFonts w:cs="Arial"/>
                <w:b/>
                <w:bCs/>
                <w:color w:val="000000"/>
                <w:sz w:val="20"/>
                <w:lang w:val="ru-RU"/>
              </w:rPr>
              <w:t>17 071</w:t>
            </w:r>
          </w:p>
        </w:tc>
      </w:tr>
    </w:tbl>
    <w:p w:rsidR="00E7546D" w:rsidRPr="00DB0AC3" w:rsidRDefault="00DC2703" w:rsidP="00DC2703">
      <w:pPr>
        <w:pStyle w:val="TrebuchetMS"/>
        <w:rPr>
          <w:rFonts w:ascii="Arial" w:eastAsia="SimSun" w:hAnsi="Arial" w:cs="Arial"/>
          <w:bCs/>
          <w:szCs w:val="20"/>
        </w:rPr>
      </w:pPr>
      <w:r w:rsidRPr="00DB0AC3">
        <w:rPr>
          <w:rFonts w:ascii="Arial" w:eastAsia="SimSun" w:hAnsi="Arial" w:cs="Arial"/>
          <w:bCs/>
          <w:szCs w:val="20"/>
        </w:rPr>
        <w:t>Долгосрочные активы, предназначенные для продажи, в сумме 75 786 тысяч рублей, были получены Банком в течение 2014 года по договорам отступного, залога (2013 г.: 191 тысяча рублей).</w:t>
      </w:r>
    </w:p>
    <w:p w:rsidR="00DC2703" w:rsidRPr="00DB0AC3" w:rsidRDefault="00DC2703" w:rsidP="00DC2703">
      <w:pPr>
        <w:pStyle w:val="TrebuchetMS"/>
        <w:rPr>
          <w:rFonts w:ascii="Arial" w:eastAsia="SimSun" w:hAnsi="Arial" w:cs="Arial"/>
          <w:bCs/>
          <w:szCs w:val="20"/>
        </w:rPr>
      </w:pPr>
      <w:r w:rsidRPr="00DB0AC3">
        <w:rPr>
          <w:rFonts w:ascii="Arial" w:eastAsia="SimSun" w:hAnsi="Arial" w:cs="Arial"/>
          <w:bCs/>
          <w:szCs w:val="20"/>
        </w:rPr>
        <w:t>Банк не предполагает использовать данные активы в своей деятельности, и их балансовая стоимость будет возмещена посредством операции по их продаже, а не дальнейшего использования. Активы доступны для немедленной продажи в их нынешнем состоянии на обычных типовых условиях, характерных для продажи таких активов. Руководство имеет твердое намерение осуществить реализацию активов, ведется активный поиск покупателей, часть активов была реализована в 2015 году.</w:t>
      </w:r>
    </w:p>
    <w:p w:rsidR="00DC2703" w:rsidRPr="00DB0AC3" w:rsidRDefault="00DC2703" w:rsidP="00DC2703">
      <w:pPr>
        <w:pStyle w:val="TrebuchetMS"/>
        <w:rPr>
          <w:rFonts w:ascii="Arial" w:eastAsia="SimSun" w:hAnsi="Arial" w:cs="Arial"/>
          <w:bCs/>
          <w:szCs w:val="20"/>
        </w:rPr>
      </w:pPr>
      <w:r w:rsidRPr="00DB0AC3">
        <w:rPr>
          <w:rFonts w:ascii="Arial" w:eastAsia="SimSun" w:hAnsi="Arial" w:cs="Arial"/>
          <w:bCs/>
          <w:szCs w:val="20"/>
        </w:rPr>
        <w:t>Ниже представлена информация по активам, предназначенным для продажи.</w:t>
      </w:r>
    </w:p>
    <w:tbl>
      <w:tblPr>
        <w:tblW w:w="5000" w:type="pct"/>
        <w:tblLayout w:type="fixed"/>
        <w:tblLook w:val="04A0"/>
      </w:tblPr>
      <w:tblGrid>
        <w:gridCol w:w="7963"/>
        <w:gridCol w:w="126"/>
        <w:gridCol w:w="752"/>
        <w:gridCol w:w="982"/>
      </w:tblGrid>
      <w:tr w:rsidR="00E7546D" w:rsidRPr="00DB0AC3" w:rsidTr="00E7546D">
        <w:trPr>
          <w:trHeight w:val="225"/>
        </w:trPr>
        <w:tc>
          <w:tcPr>
            <w:tcW w:w="4053" w:type="pct"/>
            <w:tcBorders>
              <w:bottom w:val="single" w:sz="4" w:space="0" w:color="auto"/>
            </w:tcBorders>
            <w:shd w:val="clear" w:color="auto" w:fill="auto"/>
            <w:noWrap/>
            <w:vAlign w:val="bottom"/>
            <w:hideMark/>
          </w:tcPr>
          <w:p w:rsidR="00E7546D" w:rsidRPr="00DB0AC3" w:rsidRDefault="00E7546D" w:rsidP="00E7546D">
            <w:pPr>
              <w:rPr>
                <w:rFonts w:cs="Arial"/>
                <w:b/>
                <w:bCs/>
                <w:sz w:val="20"/>
                <w:lang w:val="ru-RU"/>
              </w:rPr>
            </w:pPr>
            <w:r w:rsidRPr="00DB0AC3">
              <w:rPr>
                <w:rFonts w:cs="Arial"/>
                <w:b/>
                <w:color w:val="000000"/>
                <w:sz w:val="20"/>
                <w:lang w:val="ru-RU"/>
              </w:rPr>
              <w:t>Наименование объекта</w:t>
            </w:r>
          </w:p>
        </w:tc>
        <w:tc>
          <w:tcPr>
            <w:tcW w:w="447" w:type="pct"/>
            <w:gridSpan w:val="2"/>
            <w:tcBorders>
              <w:bottom w:val="single" w:sz="4" w:space="0" w:color="auto"/>
            </w:tcBorders>
            <w:shd w:val="clear" w:color="auto" w:fill="auto"/>
            <w:noWrap/>
            <w:vAlign w:val="bottom"/>
            <w:hideMark/>
          </w:tcPr>
          <w:p w:rsidR="00E7546D" w:rsidRPr="00DB0AC3" w:rsidRDefault="00E7546D" w:rsidP="00E7546D">
            <w:pPr>
              <w:jc w:val="right"/>
              <w:rPr>
                <w:rFonts w:cs="Arial"/>
                <w:b/>
                <w:color w:val="000000"/>
                <w:sz w:val="20"/>
                <w:lang w:val="ru-RU"/>
              </w:rPr>
            </w:pPr>
            <w:r w:rsidRPr="00DB0AC3">
              <w:rPr>
                <w:rFonts w:cs="Arial"/>
                <w:b/>
                <w:color w:val="000000"/>
                <w:sz w:val="20"/>
                <w:lang w:val="ru-RU"/>
              </w:rPr>
              <w:t xml:space="preserve">2014   </w:t>
            </w:r>
          </w:p>
        </w:tc>
        <w:tc>
          <w:tcPr>
            <w:tcW w:w="500" w:type="pct"/>
            <w:tcBorders>
              <w:bottom w:val="single" w:sz="4" w:space="0" w:color="auto"/>
            </w:tcBorders>
            <w:shd w:val="clear" w:color="auto" w:fill="auto"/>
            <w:noWrap/>
            <w:vAlign w:val="bottom"/>
            <w:hideMark/>
          </w:tcPr>
          <w:p w:rsidR="00E7546D" w:rsidRPr="00DB0AC3" w:rsidRDefault="00E7546D" w:rsidP="00E7546D">
            <w:pPr>
              <w:jc w:val="right"/>
              <w:rPr>
                <w:rFonts w:cs="Arial"/>
                <w:b/>
                <w:color w:val="000000"/>
                <w:sz w:val="20"/>
                <w:lang w:val="ru-RU"/>
              </w:rPr>
            </w:pPr>
            <w:r w:rsidRPr="00DB0AC3">
              <w:rPr>
                <w:rFonts w:cs="Arial"/>
                <w:b/>
                <w:color w:val="000000"/>
                <w:sz w:val="20"/>
                <w:lang w:val="ru-RU"/>
              </w:rPr>
              <w:t>2013</w:t>
            </w:r>
          </w:p>
        </w:tc>
      </w:tr>
      <w:tr w:rsidR="00E7546D" w:rsidRPr="00DB55F7" w:rsidTr="00E7546D">
        <w:trPr>
          <w:trHeight w:val="225"/>
        </w:trPr>
        <w:tc>
          <w:tcPr>
            <w:tcW w:w="4053" w:type="pct"/>
            <w:tcBorders>
              <w:top w:val="single" w:sz="4" w:space="0" w:color="auto"/>
            </w:tcBorders>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Земля, врем. не исп. в осн. деят-сти</w:t>
            </w:r>
            <w:r w:rsidR="00DB55F7">
              <w:rPr>
                <w:rFonts w:cs="Arial"/>
                <w:color w:val="000000"/>
                <w:sz w:val="20"/>
                <w:lang w:val="ru-RU"/>
              </w:rPr>
              <w:t xml:space="preserve">, </w:t>
            </w:r>
            <w:r w:rsidRPr="00DB0AC3">
              <w:rPr>
                <w:rFonts w:cs="Arial"/>
                <w:color w:val="000000"/>
                <w:sz w:val="20"/>
                <w:lang w:val="ru-RU"/>
              </w:rPr>
              <w:t>кад.№ 11:12:17 02 08:0072 (2629</w:t>
            </w:r>
            <w:r w:rsidR="00EC3346" w:rsidRPr="00DB0AC3">
              <w:rPr>
                <w:rFonts w:cs="Arial"/>
                <w:color w:val="000000"/>
                <w:sz w:val="20"/>
                <w:lang w:val="ru-RU"/>
              </w:rPr>
              <w:t> </w:t>
            </w:r>
            <w:r w:rsidRPr="00DB0AC3">
              <w:rPr>
                <w:rFonts w:cs="Arial"/>
                <w:color w:val="000000"/>
                <w:sz w:val="20"/>
                <w:lang w:val="ru-RU"/>
              </w:rPr>
              <w:t>кв.м. г.Печора, ул.Стадионная, д.50)</w:t>
            </w:r>
          </w:p>
        </w:tc>
        <w:tc>
          <w:tcPr>
            <w:tcW w:w="447" w:type="pct"/>
            <w:gridSpan w:val="2"/>
            <w:tcBorders>
              <w:top w:val="single" w:sz="4" w:space="0" w:color="auto"/>
            </w:tcBorders>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38</w:t>
            </w:r>
          </w:p>
        </w:tc>
        <w:tc>
          <w:tcPr>
            <w:tcW w:w="500" w:type="pct"/>
            <w:tcBorders>
              <w:top w:val="single" w:sz="4" w:space="0" w:color="auto"/>
            </w:tcBorders>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38</w:t>
            </w:r>
          </w:p>
        </w:tc>
      </w:tr>
      <w:tr w:rsidR="00E7546D" w:rsidRPr="00DB55F7"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Земля, врем. не исп. в осн. деят-сти</w:t>
            </w:r>
            <w:r w:rsidR="00EA2C04">
              <w:rPr>
                <w:rFonts w:cs="Arial"/>
                <w:color w:val="000000"/>
                <w:sz w:val="20"/>
                <w:lang w:val="ru-RU"/>
              </w:rPr>
              <w:t xml:space="preserve">, </w:t>
            </w:r>
            <w:r w:rsidRPr="00DB0AC3">
              <w:rPr>
                <w:rFonts w:cs="Arial"/>
                <w:color w:val="000000"/>
                <w:sz w:val="20"/>
                <w:lang w:val="ru-RU"/>
              </w:rPr>
              <w:t>кад.№ 11:12:17 02 08:0010 (2124</w:t>
            </w:r>
            <w:r w:rsidR="00EC3346" w:rsidRPr="00DB0AC3">
              <w:rPr>
                <w:rFonts w:cs="Arial"/>
                <w:color w:val="000000"/>
                <w:sz w:val="20"/>
                <w:lang w:val="ru-RU"/>
              </w:rPr>
              <w:t> </w:t>
            </w:r>
            <w:r w:rsidRPr="00DB0AC3">
              <w:rPr>
                <w:rFonts w:cs="Arial"/>
                <w:color w:val="000000"/>
                <w:sz w:val="20"/>
                <w:lang w:val="ru-RU"/>
              </w:rPr>
              <w:t>кв.м. г.Печора, ул.Стадионная, д.50)</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30</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30</w:t>
            </w:r>
          </w:p>
        </w:tc>
      </w:tr>
      <w:tr w:rsidR="00E7546D" w:rsidRPr="00DB0AC3" w:rsidTr="00E7546D">
        <w:trPr>
          <w:trHeight w:val="225"/>
        </w:trPr>
        <w:tc>
          <w:tcPr>
            <w:tcW w:w="4053" w:type="pct"/>
            <w:shd w:val="clear" w:color="auto" w:fill="auto"/>
            <w:noWrap/>
            <w:vAlign w:val="bottom"/>
            <w:hideMark/>
          </w:tcPr>
          <w:p w:rsidR="00E7546D" w:rsidRPr="00DB0AC3" w:rsidRDefault="00E7546D" w:rsidP="00EA2C04">
            <w:pPr>
              <w:rPr>
                <w:rFonts w:cs="Arial"/>
                <w:color w:val="000000"/>
                <w:sz w:val="20"/>
                <w:lang w:val="ru-RU"/>
              </w:rPr>
            </w:pPr>
            <w:r w:rsidRPr="00DB0AC3">
              <w:rPr>
                <w:rFonts w:cs="Arial"/>
                <w:color w:val="000000"/>
                <w:sz w:val="20"/>
                <w:lang w:val="ru-RU"/>
              </w:rPr>
              <w:t xml:space="preserve">Недвижимость, временно не используемая в осн. </w:t>
            </w:r>
            <w:r w:rsidR="00EA2C04" w:rsidRPr="00DB0AC3">
              <w:rPr>
                <w:rFonts w:cs="Arial"/>
                <w:color w:val="000000"/>
                <w:sz w:val="20"/>
                <w:lang w:val="ru-RU"/>
              </w:rPr>
              <w:t>Д</w:t>
            </w:r>
            <w:r w:rsidRPr="00DB0AC3">
              <w:rPr>
                <w:rFonts w:cs="Arial"/>
                <w:color w:val="000000"/>
                <w:sz w:val="20"/>
                <w:lang w:val="ru-RU"/>
              </w:rPr>
              <w:t>еятельности</w:t>
            </w:r>
            <w:r w:rsidR="00EA2C04">
              <w:rPr>
                <w:rFonts w:cs="Arial"/>
                <w:color w:val="000000"/>
                <w:sz w:val="20"/>
                <w:lang w:val="ru-RU"/>
              </w:rPr>
              <w:t>, з</w:t>
            </w:r>
            <w:r w:rsidRPr="00DB0AC3">
              <w:rPr>
                <w:rFonts w:cs="Arial"/>
                <w:color w:val="000000"/>
                <w:sz w:val="20"/>
                <w:lang w:val="ru-RU"/>
              </w:rPr>
              <w:t>дание магазина по адресу: ул.Стадионная д.50</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15 591</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15 591</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Имущество (автомобиль Нива Шевроле легковой)</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186</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186</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Недвижимость (щитовое здание пл. 261 кв.м. адрес: г.</w:t>
            </w:r>
            <w:r w:rsidR="00A5111B" w:rsidRPr="00DB0AC3">
              <w:rPr>
                <w:rFonts w:cs="Arial"/>
                <w:color w:val="000000"/>
                <w:sz w:val="20"/>
                <w:lang w:val="ru-RU"/>
              </w:rPr>
              <w:t> </w:t>
            </w:r>
            <w:r w:rsidRPr="00DB0AC3">
              <w:rPr>
                <w:rFonts w:cs="Arial"/>
                <w:color w:val="000000"/>
                <w:sz w:val="20"/>
                <w:lang w:val="ru-RU"/>
              </w:rPr>
              <w:t>Печора, ул.</w:t>
            </w:r>
            <w:r w:rsidR="00A5111B" w:rsidRPr="00DB0AC3">
              <w:rPr>
                <w:rFonts w:cs="Arial"/>
                <w:color w:val="000000"/>
                <w:sz w:val="20"/>
                <w:lang w:val="ru-RU"/>
              </w:rPr>
              <w:t> </w:t>
            </w:r>
            <w:r w:rsidRPr="00DB0AC3">
              <w:rPr>
                <w:rFonts w:cs="Arial"/>
                <w:color w:val="000000"/>
                <w:sz w:val="20"/>
                <w:lang w:val="ru-RU"/>
              </w:rPr>
              <w:t>Западная д.47В)</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1 226</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Внеоб.зап.(Всеволож.р-н, д.Аро,д.50,зем.участок)</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14 805</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ООО"Норд"/Земельный уч-к</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10 508</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ООО"Норд"/Ограждение ж/б</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321</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Дачный дом с хоз. постройками, зем.участок (Мурманская обл.,Кольский р-н)</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1 883</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ООО"Норд"/Здание склада</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17 515</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ООО"Норд"/автодороги и площадки бетонные</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627</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ООО"Норд"/Наруж.инж.сетипроизв.и ливневой канализации</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627</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Внеобор.запасы/согл.отступного 431 с ООО"Норд"/земельный уч-к</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16 615</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EA2C04"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w:t>
            </w:r>
            <w:r w:rsidR="00EA2C04">
              <w:rPr>
                <w:rFonts w:cs="Arial"/>
                <w:color w:val="000000"/>
                <w:sz w:val="20"/>
                <w:lang w:val="ru-RU"/>
              </w:rPr>
              <w:t>.</w:t>
            </w:r>
            <w:r w:rsidRPr="00DB0AC3">
              <w:rPr>
                <w:rFonts w:cs="Arial"/>
                <w:color w:val="000000"/>
                <w:sz w:val="20"/>
                <w:lang w:val="ru-RU"/>
              </w:rPr>
              <w:t xml:space="preserve"> запасы-Блок подсоб.помещений(Мурманская обл.)</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4 668</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EA2C04"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ООО"Норд"/наружная сеть и паропровод</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627</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 запасы/согл.отступного 436 с ООО"Норд"/наружные сети водопровода</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627</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Внеобор.запасы/согл.отступного 431 с ООО"Норд"/уч-к ж/д пути 47-16-1/1998-7400</w:t>
            </w:r>
          </w:p>
        </w:tc>
        <w:tc>
          <w:tcPr>
            <w:tcW w:w="447" w:type="pct"/>
            <w:gridSpan w:val="2"/>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1 863</w:t>
            </w:r>
          </w:p>
        </w:tc>
        <w:tc>
          <w:tcPr>
            <w:tcW w:w="500" w:type="pct"/>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167"/>
        </w:trPr>
        <w:tc>
          <w:tcPr>
            <w:tcW w:w="4053" w:type="pct"/>
            <w:tcBorders>
              <w:bottom w:val="single" w:sz="4" w:space="0" w:color="auto"/>
            </w:tcBorders>
            <w:shd w:val="clear" w:color="auto" w:fill="auto"/>
            <w:noWrap/>
            <w:vAlign w:val="bottom"/>
            <w:hideMark/>
          </w:tcPr>
          <w:p w:rsidR="00E7546D" w:rsidRPr="00DB0AC3" w:rsidRDefault="00E7546D" w:rsidP="00E7546D">
            <w:pPr>
              <w:rPr>
                <w:rFonts w:cs="Arial"/>
                <w:color w:val="000000"/>
                <w:sz w:val="20"/>
                <w:lang w:val="ru-RU"/>
              </w:rPr>
            </w:pPr>
            <w:r w:rsidRPr="00DB0AC3">
              <w:rPr>
                <w:rFonts w:cs="Arial"/>
                <w:color w:val="000000"/>
                <w:sz w:val="20"/>
                <w:lang w:val="ru-RU"/>
              </w:rPr>
              <w:t>Теплоход "НТ-157" иден. № П-01-171, самоходное, наливное, г.п. 1971</w:t>
            </w:r>
          </w:p>
        </w:tc>
        <w:tc>
          <w:tcPr>
            <w:tcW w:w="447" w:type="pct"/>
            <w:gridSpan w:val="2"/>
            <w:tcBorders>
              <w:bottom w:val="single" w:sz="4" w:space="0" w:color="auto"/>
            </w:tcBorders>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5 100</w:t>
            </w:r>
          </w:p>
        </w:tc>
        <w:tc>
          <w:tcPr>
            <w:tcW w:w="500" w:type="pct"/>
            <w:tcBorders>
              <w:bottom w:val="single" w:sz="4" w:space="0" w:color="auto"/>
            </w:tcBorders>
            <w:shd w:val="clear" w:color="auto" w:fill="auto"/>
            <w:noWrap/>
            <w:vAlign w:val="bottom"/>
            <w:hideMark/>
          </w:tcPr>
          <w:p w:rsidR="00E7546D" w:rsidRPr="00DB0AC3" w:rsidRDefault="00E7546D" w:rsidP="00E7546D">
            <w:pPr>
              <w:jc w:val="right"/>
              <w:rPr>
                <w:rFonts w:cs="Arial"/>
                <w:color w:val="000000"/>
                <w:sz w:val="20"/>
                <w:lang w:val="ru-RU"/>
              </w:rPr>
            </w:pPr>
            <w:r w:rsidRPr="00DB0AC3">
              <w:rPr>
                <w:rFonts w:cs="Arial"/>
                <w:color w:val="000000"/>
                <w:sz w:val="20"/>
                <w:lang w:val="ru-RU"/>
              </w:rPr>
              <w:t>-</w:t>
            </w:r>
          </w:p>
        </w:tc>
      </w:tr>
      <w:tr w:rsidR="00E7546D" w:rsidRPr="00DB0AC3" w:rsidTr="00E7546D">
        <w:trPr>
          <w:trHeight w:val="41"/>
        </w:trPr>
        <w:tc>
          <w:tcPr>
            <w:tcW w:w="4053" w:type="pct"/>
            <w:tcBorders>
              <w:top w:val="single" w:sz="4" w:space="0" w:color="auto"/>
            </w:tcBorders>
            <w:shd w:val="clear" w:color="auto" w:fill="auto"/>
            <w:noWrap/>
            <w:vAlign w:val="bottom"/>
          </w:tcPr>
          <w:p w:rsidR="00E7546D" w:rsidRPr="00DB0AC3" w:rsidRDefault="00E7546D" w:rsidP="00E7546D">
            <w:pPr>
              <w:rPr>
                <w:rFonts w:cs="Arial"/>
                <w:color w:val="000000"/>
                <w:sz w:val="20"/>
                <w:lang w:val="ru-RU"/>
              </w:rPr>
            </w:pPr>
          </w:p>
        </w:tc>
        <w:tc>
          <w:tcPr>
            <w:tcW w:w="447" w:type="pct"/>
            <w:gridSpan w:val="2"/>
            <w:tcBorders>
              <w:top w:val="single" w:sz="4" w:space="0" w:color="auto"/>
            </w:tcBorders>
            <w:shd w:val="clear" w:color="auto" w:fill="auto"/>
            <w:noWrap/>
            <w:vAlign w:val="bottom"/>
          </w:tcPr>
          <w:p w:rsidR="00E7546D" w:rsidRPr="00DB0AC3" w:rsidRDefault="00E7546D" w:rsidP="00E7546D">
            <w:pPr>
              <w:rPr>
                <w:rFonts w:cs="Arial"/>
                <w:sz w:val="20"/>
                <w:lang w:val="ru-RU"/>
              </w:rPr>
            </w:pPr>
          </w:p>
        </w:tc>
        <w:tc>
          <w:tcPr>
            <w:tcW w:w="500" w:type="pct"/>
            <w:tcBorders>
              <w:top w:val="single" w:sz="4" w:space="0" w:color="auto"/>
            </w:tcBorders>
            <w:shd w:val="clear" w:color="auto" w:fill="auto"/>
            <w:noWrap/>
            <w:vAlign w:val="bottom"/>
          </w:tcPr>
          <w:p w:rsidR="00E7546D" w:rsidRPr="00DB0AC3" w:rsidRDefault="00E7546D" w:rsidP="00E7546D">
            <w:pPr>
              <w:rPr>
                <w:rFonts w:cs="Arial"/>
                <w:sz w:val="20"/>
                <w:lang w:val="ru-RU"/>
              </w:rPr>
            </w:pPr>
          </w:p>
        </w:tc>
      </w:tr>
      <w:tr w:rsidR="00E7546D" w:rsidRPr="00DB0AC3" w:rsidTr="00E7546D">
        <w:trPr>
          <w:trHeight w:val="225"/>
        </w:trPr>
        <w:tc>
          <w:tcPr>
            <w:tcW w:w="4053" w:type="pct"/>
            <w:shd w:val="clear" w:color="auto" w:fill="auto"/>
            <w:noWrap/>
            <w:vAlign w:val="bottom"/>
            <w:hideMark/>
          </w:tcPr>
          <w:p w:rsidR="00E7546D" w:rsidRPr="00DB0AC3" w:rsidRDefault="00E7546D" w:rsidP="00E7546D">
            <w:pPr>
              <w:rPr>
                <w:rFonts w:cs="Arial"/>
                <w:b/>
                <w:color w:val="000000"/>
                <w:sz w:val="20"/>
                <w:lang w:val="ru-RU"/>
              </w:rPr>
            </w:pPr>
            <w:r w:rsidRPr="00DB0AC3">
              <w:rPr>
                <w:rFonts w:cs="Arial"/>
                <w:b/>
                <w:color w:val="000000"/>
                <w:sz w:val="20"/>
                <w:lang w:val="ru-RU"/>
              </w:rPr>
              <w:t>Итого</w:t>
            </w:r>
          </w:p>
        </w:tc>
        <w:tc>
          <w:tcPr>
            <w:tcW w:w="447" w:type="pct"/>
            <w:gridSpan w:val="2"/>
            <w:tcBorders>
              <w:bottom w:val="double" w:sz="4" w:space="0" w:color="auto"/>
            </w:tcBorders>
            <w:shd w:val="clear" w:color="auto" w:fill="auto"/>
            <w:noWrap/>
            <w:vAlign w:val="bottom"/>
            <w:hideMark/>
          </w:tcPr>
          <w:p w:rsidR="00E7546D" w:rsidRPr="00DB0AC3" w:rsidRDefault="00E7546D" w:rsidP="00E7546D">
            <w:pPr>
              <w:jc w:val="center"/>
              <w:rPr>
                <w:rFonts w:cs="Arial"/>
                <w:b/>
                <w:bCs/>
                <w:color w:val="000000"/>
                <w:sz w:val="20"/>
                <w:lang w:val="ru-RU"/>
              </w:rPr>
            </w:pPr>
            <w:r w:rsidRPr="00DB0AC3">
              <w:rPr>
                <w:rFonts w:cs="Arial"/>
                <w:b/>
                <w:bCs/>
                <w:color w:val="000000"/>
                <w:sz w:val="20"/>
                <w:lang w:val="ru-RU"/>
              </w:rPr>
              <w:t>91 631</w:t>
            </w:r>
          </w:p>
        </w:tc>
        <w:tc>
          <w:tcPr>
            <w:tcW w:w="500" w:type="pct"/>
            <w:tcBorders>
              <w:bottom w:val="double" w:sz="4" w:space="0" w:color="auto"/>
            </w:tcBorders>
            <w:shd w:val="clear" w:color="auto" w:fill="auto"/>
            <w:noWrap/>
            <w:vAlign w:val="bottom"/>
            <w:hideMark/>
          </w:tcPr>
          <w:p w:rsidR="00E7546D" w:rsidRPr="00DB0AC3" w:rsidRDefault="00E7546D" w:rsidP="00E7546D">
            <w:pPr>
              <w:jc w:val="center"/>
              <w:rPr>
                <w:rFonts w:cs="Arial"/>
                <w:b/>
                <w:bCs/>
                <w:color w:val="000000"/>
                <w:sz w:val="20"/>
                <w:lang w:val="ru-RU"/>
              </w:rPr>
            </w:pPr>
            <w:r w:rsidRPr="00DB0AC3">
              <w:rPr>
                <w:rFonts w:cs="Arial"/>
                <w:b/>
                <w:bCs/>
                <w:color w:val="000000"/>
                <w:sz w:val="20"/>
                <w:lang w:val="ru-RU"/>
              </w:rPr>
              <w:t>17 071</w:t>
            </w:r>
          </w:p>
        </w:tc>
      </w:tr>
      <w:tr w:rsidR="00E7546D" w:rsidRPr="00DB0AC3" w:rsidTr="00E7546D">
        <w:tblPrEx>
          <w:tblBorders>
            <w:top w:val="double" w:sz="4" w:space="0" w:color="auto"/>
          </w:tblBorders>
          <w:tblLook w:val="0000"/>
        </w:tblPrEx>
        <w:trPr>
          <w:gridBefore w:val="2"/>
          <w:gridAfter w:val="1"/>
          <w:wBefore w:w="4117" w:type="pct"/>
          <w:wAfter w:w="500" w:type="pct"/>
          <w:trHeight w:val="100"/>
        </w:trPr>
        <w:tc>
          <w:tcPr>
            <w:tcW w:w="382" w:type="pct"/>
            <w:tcBorders>
              <w:top w:val="double" w:sz="4" w:space="0" w:color="auto"/>
            </w:tcBorders>
          </w:tcPr>
          <w:p w:rsidR="00E7546D" w:rsidRPr="00DB0AC3" w:rsidRDefault="00E7546D" w:rsidP="00E7546D">
            <w:pPr>
              <w:pStyle w:val="TrebuchetMS"/>
              <w:rPr>
                <w:rFonts w:ascii="Arial" w:eastAsia="SimSun" w:hAnsi="Arial" w:cs="Arial"/>
                <w:bCs/>
                <w:szCs w:val="20"/>
              </w:rPr>
            </w:pPr>
          </w:p>
        </w:tc>
      </w:tr>
    </w:tbl>
    <w:p w:rsidR="00D87F5C" w:rsidRPr="00DB0AC3" w:rsidRDefault="00D87F5C" w:rsidP="0043598A">
      <w:pPr>
        <w:pStyle w:val="ABC-paragrahinNotes"/>
        <w:rPr>
          <w:rFonts w:cs="Arial"/>
          <w:lang w:val="ru-RU"/>
        </w:rPr>
      </w:pPr>
    </w:p>
    <w:p w:rsidR="006572FF" w:rsidRPr="00DB0AC3" w:rsidRDefault="006F1039">
      <w:pPr>
        <w:pStyle w:val="1"/>
        <w:keepLines/>
        <w:pageBreakBefore/>
        <w:spacing w:line="228" w:lineRule="auto"/>
        <w:rPr>
          <w:rFonts w:cs="Arial"/>
          <w:lang w:val="ru-RU"/>
        </w:rPr>
      </w:pPr>
      <w:bookmarkStart w:id="112" w:name="_Toc290592301"/>
      <w:bookmarkStart w:id="113" w:name="_Toc290594569"/>
      <w:bookmarkStart w:id="114" w:name="_Toc290598539"/>
      <w:bookmarkStart w:id="115" w:name="_Toc290592302"/>
      <w:bookmarkStart w:id="116" w:name="_Toc290594570"/>
      <w:bookmarkStart w:id="117" w:name="_Toc290598540"/>
      <w:bookmarkStart w:id="118" w:name="_Toc290592303"/>
      <w:bookmarkStart w:id="119" w:name="_Toc290594571"/>
      <w:bookmarkStart w:id="120" w:name="_Toc290598541"/>
      <w:bookmarkStart w:id="121" w:name="_Toc441479800"/>
      <w:bookmarkEnd w:id="100"/>
      <w:bookmarkEnd w:id="101"/>
      <w:bookmarkEnd w:id="102"/>
      <w:bookmarkEnd w:id="103"/>
      <w:bookmarkEnd w:id="104"/>
      <w:bookmarkEnd w:id="105"/>
      <w:bookmarkEnd w:id="106"/>
      <w:bookmarkEnd w:id="107"/>
      <w:bookmarkEnd w:id="108"/>
      <w:bookmarkEnd w:id="109"/>
      <w:bookmarkEnd w:id="112"/>
      <w:bookmarkEnd w:id="113"/>
      <w:bookmarkEnd w:id="114"/>
      <w:bookmarkEnd w:id="115"/>
      <w:bookmarkEnd w:id="116"/>
      <w:bookmarkEnd w:id="117"/>
      <w:bookmarkEnd w:id="118"/>
      <w:bookmarkEnd w:id="119"/>
      <w:bookmarkEnd w:id="120"/>
      <w:r w:rsidRPr="00DB0AC3">
        <w:rPr>
          <w:rFonts w:cs="Arial"/>
          <w:lang w:val="ru-RU"/>
        </w:rPr>
        <w:lastRenderedPageBreak/>
        <w:t>Инвестиционная недвижимость</w:t>
      </w:r>
      <w:bookmarkEnd w:id="121"/>
    </w:p>
    <w:p w:rsidR="006F1039" w:rsidRPr="00DB0AC3" w:rsidRDefault="006F1039" w:rsidP="006F1039">
      <w:pPr>
        <w:rPr>
          <w:rFonts w:cs="Arial"/>
          <w:color w:val="000000"/>
          <w:sz w:val="20"/>
          <w:lang w:val="ru-RU"/>
        </w:rPr>
      </w:pPr>
      <w:bookmarkStart w:id="122" w:name="_Toc290592305"/>
      <w:bookmarkStart w:id="123" w:name="_Toc290594573"/>
      <w:bookmarkStart w:id="124" w:name="_Toc290598543"/>
      <w:bookmarkStart w:id="125" w:name="_Toc290592306"/>
      <w:bookmarkStart w:id="126" w:name="_Toc290594574"/>
      <w:bookmarkStart w:id="127" w:name="_Toc290598544"/>
      <w:bookmarkStart w:id="128" w:name="_Toc290592307"/>
      <w:bookmarkStart w:id="129" w:name="_Toc290594575"/>
      <w:bookmarkStart w:id="130" w:name="_Toc290598545"/>
      <w:bookmarkStart w:id="131" w:name="_Toc290592308"/>
      <w:bookmarkStart w:id="132" w:name="_Toc290594576"/>
      <w:bookmarkStart w:id="133" w:name="_Toc290598546"/>
      <w:bookmarkStart w:id="134" w:name="_Toc290592309"/>
      <w:bookmarkStart w:id="135" w:name="_Toc290594577"/>
      <w:bookmarkStart w:id="136" w:name="_Toc290598547"/>
      <w:bookmarkStart w:id="137" w:name="_Toc290592310"/>
      <w:bookmarkStart w:id="138" w:name="_Toc290594578"/>
      <w:bookmarkStart w:id="139" w:name="_Toc290598548"/>
      <w:bookmarkStart w:id="140" w:name="_Toc290592311"/>
      <w:bookmarkStart w:id="141" w:name="_Toc290594579"/>
      <w:bookmarkStart w:id="142" w:name="_Toc290598549"/>
      <w:bookmarkStart w:id="143" w:name="_Ref113247762"/>
      <w:bookmarkStart w:id="144" w:name="_Toc41608622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DB0AC3">
        <w:rPr>
          <w:rFonts w:cs="Arial"/>
          <w:color w:val="000000"/>
          <w:sz w:val="20"/>
          <w:lang w:val="ru-RU"/>
        </w:rPr>
        <w:t>Инвестиционная недвижимость представлена зданием в г. Гдов, которое сдается Банком в аренду. На 31 декабря 2014 года инвестиционная недвижимость была продана Банком.</w:t>
      </w:r>
    </w:p>
    <w:p w:rsidR="006F1039" w:rsidRPr="00DB0AC3" w:rsidRDefault="006F1039" w:rsidP="006F1039">
      <w:pPr>
        <w:rPr>
          <w:rFonts w:cs="Arial"/>
          <w:sz w:val="20"/>
          <w:lang w:val="ru-RU"/>
        </w:rPr>
      </w:pPr>
    </w:p>
    <w:tbl>
      <w:tblPr>
        <w:tblW w:w="5000" w:type="pct"/>
        <w:tblLook w:val="04A0"/>
      </w:tblPr>
      <w:tblGrid>
        <w:gridCol w:w="6942"/>
        <w:gridCol w:w="2521"/>
        <w:gridCol w:w="360"/>
      </w:tblGrid>
      <w:tr w:rsidR="006F1039" w:rsidRPr="00DB0AC3" w:rsidTr="00C17872">
        <w:trPr>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Первоначальная стоимость</w:t>
            </w:r>
          </w:p>
        </w:tc>
        <w:tc>
          <w:tcPr>
            <w:tcW w:w="1466" w:type="pct"/>
            <w:gridSpan w:val="2"/>
            <w:tcBorders>
              <w:top w:val="nil"/>
              <w:left w:val="nil"/>
              <w:bottom w:val="nil"/>
              <w:right w:val="nil"/>
            </w:tcBorders>
            <w:shd w:val="clear" w:color="auto" w:fill="auto"/>
            <w:noWrap/>
            <w:vAlign w:val="bottom"/>
            <w:hideMark/>
          </w:tcPr>
          <w:p w:rsidR="006F1039" w:rsidRPr="00DB0AC3" w:rsidRDefault="006F1039" w:rsidP="00C17872">
            <w:pPr>
              <w:jc w:val="center"/>
              <w:rPr>
                <w:rFonts w:cs="Arial"/>
                <w:b/>
                <w:bCs/>
                <w:color w:val="000000"/>
                <w:sz w:val="20"/>
                <w:lang w:val="ru-RU"/>
              </w:rPr>
            </w:pP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2012</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b/>
                <w:color w:val="000000"/>
                <w:sz w:val="20"/>
                <w:lang w:val="ru-RU"/>
              </w:rPr>
            </w:pPr>
            <w:r w:rsidRPr="00DB0AC3">
              <w:rPr>
                <w:rFonts w:cs="Arial"/>
                <w:b/>
                <w:color w:val="000000"/>
                <w:sz w:val="20"/>
                <w:lang w:val="ru-RU"/>
              </w:rPr>
              <w:t>158 042</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Поступление</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Трансфер в основные средства</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(140 000)</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Трансфер в активы, удерживаемые для продажи</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(16 654)</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Выбытие</w:t>
            </w:r>
          </w:p>
        </w:tc>
        <w:tc>
          <w:tcPr>
            <w:tcW w:w="1283" w:type="pct"/>
            <w:tcBorders>
              <w:top w:val="nil"/>
              <w:left w:val="nil"/>
              <w:bottom w:val="single" w:sz="4" w:space="0" w:color="auto"/>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2013</w:t>
            </w:r>
          </w:p>
        </w:tc>
        <w:tc>
          <w:tcPr>
            <w:tcW w:w="1283" w:type="pct"/>
            <w:tcBorders>
              <w:top w:val="single" w:sz="4" w:space="0" w:color="auto"/>
              <w:left w:val="nil"/>
              <w:bottom w:val="nil"/>
              <w:right w:val="nil"/>
            </w:tcBorders>
            <w:shd w:val="clear" w:color="auto" w:fill="auto"/>
            <w:noWrap/>
            <w:vAlign w:val="bottom"/>
            <w:hideMark/>
          </w:tcPr>
          <w:p w:rsidR="006F1039" w:rsidRPr="00DB0AC3" w:rsidRDefault="006F1039" w:rsidP="006B3896">
            <w:pPr>
              <w:jc w:val="right"/>
              <w:rPr>
                <w:rFonts w:cs="Arial"/>
                <w:b/>
                <w:color w:val="000000"/>
                <w:sz w:val="20"/>
                <w:lang w:val="ru-RU"/>
              </w:rPr>
            </w:pPr>
            <w:r w:rsidRPr="00DB0AC3">
              <w:rPr>
                <w:rFonts w:cs="Arial"/>
                <w:b/>
                <w:color w:val="000000"/>
                <w:sz w:val="20"/>
                <w:lang w:val="ru-RU"/>
              </w:rPr>
              <w:t>1 388</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EA31BB" w:rsidP="00C17872">
            <w:pPr>
              <w:rPr>
                <w:rFonts w:cs="Arial"/>
                <w:color w:val="000000"/>
                <w:sz w:val="20"/>
                <w:lang w:val="ru-RU"/>
              </w:rPr>
            </w:pPr>
            <w:r w:rsidRPr="00DB0AC3">
              <w:rPr>
                <w:rFonts w:cs="Arial"/>
                <w:color w:val="000000"/>
                <w:sz w:val="20"/>
                <w:lang w:val="ru-RU"/>
              </w:rPr>
              <w:t>Выбытие</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p>
        </w:tc>
      </w:tr>
      <w:tr w:rsidR="006F1039" w:rsidRPr="00DB0AC3" w:rsidTr="006B3896">
        <w:trPr>
          <w:gridAfter w:val="1"/>
          <w:wAfter w:w="183" w:type="pct"/>
          <w:trHeight w:val="216"/>
        </w:trPr>
        <w:tc>
          <w:tcPr>
            <w:tcW w:w="3534" w:type="pct"/>
            <w:vMerge w:val="restart"/>
            <w:tcBorders>
              <w:top w:val="nil"/>
              <w:left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283" w:type="pct"/>
            <w:tcBorders>
              <w:top w:val="nil"/>
              <w:left w:val="nil"/>
              <w:bottom w:val="single" w:sz="4" w:space="0" w:color="auto"/>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(1 388)</w:t>
            </w:r>
          </w:p>
        </w:tc>
      </w:tr>
      <w:tr w:rsidR="006F1039" w:rsidRPr="00DB0AC3" w:rsidTr="006B3896">
        <w:trPr>
          <w:gridAfter w:val="1"/>
          <w:wAfter w:w="183" w:type="pct"/>
          <w:trHeight w:val="81"/>
        </w:trPr>
        <w:tc>
          <w:tcPr>
            <w:tcW w:w="3534" w:type="pct"/>
            <w:vMerge/>
            <w:tcBorders>
              <w:left w:val="nil"/>
              <w:bottom w:val="nil"/>
              <w:right w:val="nil"/>
            </w:tcBorders>
            <w:shd w:val="clear" w:color="auto" w:fill="auto"/>
            <w:noWrap/>
            <w:vAlign w:val="bottom"/>
          </w:tcPr>
          <w:p w:rsidR="006F1039" w:rsidRPr="00DB0AC3" w:rsidRDefault="006F1039" w:rsidP="00C17872">
            <w:pPr>
              <w:rPr>
                <w:rFonts w:cs="Arial"/>
                <w:color w:val="000000"/>
                <w:sz w:val="20"/>
                <w:lang w:val="ru-RU"/>
              </w:rPr>
            </w:pPr>
          </w:p>
        </w:tc>
        <w:tc>
          <w:tcPr>
            <w:tcW w:w="1283" w:type="pct"/>
            <w:tcBorders>
              <w:top w:val="single" w:sz="4" w:space="0" w:color="auto"/>
              <w:left w:val="nil"/>
              <w:right w:val="nil"/>
            </w:tcBorders>
            <w:shd w:val="clear" w:color="auto" w:fill="auto"/>
            <w:noWrap/>
            <w:vAlign w:val="bottom"/>
          </w:tcPr>
          <w:p w:rsidR="006F1039" w:rsidRPr="00DB0AC3" w:rsidRDefault="006F1039" w:rsidP="00C17872">
            <w:pPr>
              <w:jc w:val="center"/>
              <w:rPr>
                <w:rFonts w:cs="Arial"/>
                <w:color w:val="000000"/>
                <w:sz w:val="20"/>
                <w:lang w:val="ru-RU"/>
              </w:rPr>
            </w:pP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2014</w:t>
            </w:r>
          </w:p>
        </w:tc>
        <w:tc>
          <w:tcPr>
            <w:tcW w:w="1283" w:type="pct"/>
            <w:tcBorders>
              <w:left w:val="nil"/>
              <w:right w:val="nil"/>
            </w:tcBorders>
            <w:shd w:val="clear" w:color="auto" w:fill="auto"/>
            <w:noWrap/>
            <w:vAlign w:val="bottom"/>
            <w:hideMark/>
          </w:tcPr>
          <w:p w:rsidR="006F1039" w:rsidRPr="00DB0AC3" w:rsidRDefault="006F1039" w:rsidP="00C17872">
            <w:pPr>
              <w:jc w:val="center"/>
              <w:rPr>
                <w:rFonts w:cs="Arial"/>
                <w:color w:val="000000"/>
                <w:sz w:val="20"/>
                <w:lang w:val="ru-RU"/>
              </w:rPr>
            </w:pPr>
            <w:r w:rsidRPr="00DB0AC3">
              <w:rPr>
                <w:rFonts w:cs="Arial"/>
                <w:color w:val="000000"/>
                <w:sz w:val="20"/>
                <w:lang w:val="ru-RU"/>
              </w:rPr>
              <w:t>-</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283" w:type="pct"/>
            <w:tcBorders>
              <w:left w:val="nil"/>
              <w:bottom w:val="nil"/>
              <w:right w:val="nil"/>
            </w:tcBorders>
            <w:shd w:val="clear" w:color="auto" w:fill="auto"/>
            <w:noWrap/>
            <w:vAlign w:val="bottom"/>
            <w:hideMark/>
          </w:tcPr>
          <w:p w:rsidR="006F1039" w:rsidRPr="00DB0AC3" w:rsidRDefault="006F1039" w:rsidP="00C17872">
            <w:pPr>
              <w:jc w:val="center"/>
              <w:rPr>
                <w:rFonts w:cs="Arial"/>
                <w:color w:val="000000"/>
                <w:sz w:val="20"/>
                <w:lang w:val="ru-RU"/>
              </w:rPr>
            </w:pP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Накопленная амортизация</w:t>
            </w:r>
          </w:p>
        </w:tc>
        <w:tc>
          <w:tcPr>
            <w:tcW w:w="1283" w:type="pct"/>
            <w:tcBorders>
              <w:top w:val="nil"/>
              <w:left w:val="nil"/>
              <w:bottom w:val="nil"/>
              <w:right w:val="nil"/>
            </w:tcBorders>
            <w:shd w:val="clear" w:color="auto" w:fill="auto"/>
            <w:noWrap/>
            <w:vAlign w:val="bottom"/>
            <w:hideMark/>
          </w:tcPr>
          <w:p w:rsidR="006F1039" w:rsidRPr="00DB0AC3" w:rsidRDefault="006F1039" w:rsidP="00C17872">
            <w:pPr>
              <w:jc w:val="center"/>
              <w:rPr>
                <w:rFonts w:cs="Arial"/>
                <w:color w:val="000000"/>
                <w:sz w:val="20"/>
                <w:lang w:val="ru-RU"/>
              </w:rPr>
            </w:pP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p>
        </w:tc>
        <w:tc>
          <w:tcPr>
            <w:tcW w:w="1283" w:type="pct"/>
            <w:tcBorders>
              <w:top w:val="nil"/>
              <w:left w:val="nil"/>
              <w:bottom w:val="nil"/>
              <w:right w:val="nil"/>
            </w:tcBorders>
            <w:shd w:val="clear" w:color="auto" w:fill="auto"/>
            <w:noWrap/>
            <w:vAlign w:val="bottom"/>
            <w:hideMark/>
          </w:tcPr>
          <w:p w:rsidR="006F1039" w:rsidRPr="00DB0AC3" w:rsidRDefault="006F1039" w:rsidP="00C17872">
            <w:pPr>
              <w:jc w:val="center"/>
              <w:rPr>
                <w:rFonts w:cs="Arial"/>
                <w:color w:val="000000"/>
                <w:sz w:val="20"/>
                <w:lang w:val="ru-RU"/>
              </w:rPr>
            </w:pP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2012</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b/>
                <w:color w:val="000000"/>
                <w:sz w:val="20"/>
                <w:lang w:val="ru-RU"/>
              </w:rPr>
            </w:pPr>
            <w:r w:rsidRPr="00DB0AC3">
              <w:rPr>
                <w:rFonts w:cs="Arial"/>
                <w:b/>
                <w:color w:val="000000"/>
                <w:sz w:val="20"/>
                <w:lang w:val="ru-RU"/>
              </w:rPr>
              <w:t>(15 903)</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Начислено за период</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(679)</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Трансфер в основные средства</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15 556</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Трансфер в активы, удерживаемые для продажи</w:t>
            </w:r>
          </w:p>
        </w:tc>
        <w:tc>
          <w:tcPr>
            <w:tcW w:w="1283" w:type="pct"/>
            <w:tcBorders>
              <w:top w:val="nil"/>
              <w:left w:val="nil"/>
              <w:bottom w:val="single" w:sz="4" w:space="0" w:color="auto"/>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995</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2013</w:t>
            </w:r>
          </w:p>
        </w:tc>
        <w:tc>
          <w:tcPr>
            <w:tcW w:w="1283" w:type="pct"/>
            <w:tcBorders>
              <w:top w:val="single" w:sz="4" w:space="0" w:color="auto"/>
              <w:left w:val="nil"/>
              <w:bottom w:val="nil"/>
              <w:right w:val="nil"/>
            </w:tcBorders>
            <w:shd w:val="clear" w:color="auto" w:fill="auto"/>
            <w:noWrap/>
            <w:vAlign w:val="bottom"/>
            <w:hideMark/>
          </w:tcPr>
          <w:p w:rsidR="006F1039" w:rsidRPr="00DB0AC3" w:rsidRDefault="006F1039" w:rsidP="006B3896">
            <w:pPr>
              <w:jc w:val="right"/>
              <w:rPr>
                <w:rFonts w:cs="Arial"/>
                <w:b/>
                <w:color w:val="000000"/>
                <w:sz w:val="20"/>
                <w:lang w:val="ru-RU"/>
              </w:rPr>
            </w:pPr>
            <w:r w:rsidRPr="00DB0AC3">
              <w:rPr>
                <w:rFonts w:cs="Arial"/>
                <w:b/>
                <w:color w:val="000000"/>
                <w:sz w:val="20"/>
                <w:lang w:val="ru-RU"/>
              </w:rPr>
              <w:t>(31)</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Начислено за период</w:t>
            </w:r>
          </w:p>
        </w:tc>
        <w:tc>
          <w:tcPr>
            <w:tcW w:w="1283" w:type="pct"/>
            <w:tcBorders>
              <w:top w:val="nil"/>
              <w:left w:val="nil"/>
              <w:bottom w:val="nil"/>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(4)</w:t>
            </w:r>
          </w:p>
        </w:tc>
      </w:tr>
      <w:tr w:rsidR="006F1039" w:rsidRPr="00DB0AC3" w:rsidTr="006B3896">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Выбытие</w:t>
            </w:r>
          </w:p>
        </w:tc>
        <w:tc>
          <w:tcPr>
            <w:tcW w:w="1283" w:type="pct"/>
            <w:tcBorders>
              <w:top w:val="nil"/>
              <w:left w:val="nil"/>
              <w:bottom w:val="single" w:sz="4" w:space="0" w:color="auto"/>
              <w:right w:val="nil"/>
            </w:tcBorders>
            <w:shd w:val="clear" w:color="auto" w:fill="auto"/>
            <w:noWrap/>
            <w:vAlign w:val="bottom"/>
            <w:hideMark/>
          </w:tcPr>
          <w:p w:rsidR="006F1039" w:rsidRPr="00DB0AC3" w:rsidRDefault="006F1039" w:rsidP="006B3896">
            <w:pPr>
              <w:jc w:val="right"/>
              <w:rPr>
                <w:rFonts w:cs="Arial"/>
                <w:color w:val="000000"/>
                <w:sz w:val="20"/>
                <w:lang w:val="ru-RU"/>
              </w:rPr>
            </w:pPr>
            <w:r w:rsidRPr="00DB0AC3">
              <w:rPr>
                <w:rFonts w:cs="Arial"/>
                <w:color w:val="000000"/>
                <w:sz w:val="20"/>
                <w:lang w:val="ru-RU"/>
              </w:rPr>
              <w:t>35</w:t>
            </w:r>
          </w:p>
        </w:tc>
      </w:tr>
      <w:tr w:rsidR="006F1039" w:rsidRPr="00DB0AC3" w:rsidTr="00C670CE">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2013</w:t>
            </w:r>
          </w:p>
        </w:tc>
        <w:tc>
          <w:tcPr>
            <w:tcW w:w="1283" w:type="pct"/>
            <w:tcBorders>
              <w:top w:val="single" w:sz="4" w:space="0" w:color="auto"/>
              <w:left w:val="nil"/>
              <w:bottom w:val="nil"/>
              <w:right w:val="nil"/>
            </w:tcBorders>
            <w:shd w:val="clear" w:color="auto" w:fill="auto"/>
            <w:noWrap/>
            <w:vAlign w:val="bottom"/>
            <w:hideMark/>
          </w:tcPr>
          <w:p w:rsidR="006F1039" w:rsidRPr="00DB0AC3" w:rsidRDefault="006F1039" w:rsidP="00C670CE">
            <w:pPr>
              <w:jc w:val="right"/>
              <w:rPr>
                <w:rFonts w:cs="Arial"/>
                <w:color w:val="000000"/>
                <w:sz w:val="20"/>
                <w:lang w:val="ru-RU"/>
              </w:rPr>
            </w:pPr>
            <w:r w:rsidRPr="00DB0AC3">
              <w:rPr>
                <w:rFonts w:cs="Arial"/>
                <w:color w:val="000000"/>
                <w:sz w:val="20"/>
                <w:lang w:val="ru-RU"/>
              </w:rPr>
              <w:t>-</w:t>
            </w:r>
          </w:p>
        </w:tc>
      </w:tr>
      <w:tr w:rsidR="006F1039" w:rsidRPr="00DB0AC3" w:rsidTr="00C670CE">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283" w:type="pct"/>
            <w:tcBorders>
              <w:top w:val="nil"/>
              <w:left w:val="nil"/>
              <w:bottom w:val="nil"/>
              <w:right w:val="nil"/>
            </w:tcBorders>
            <w:shd w:val="clear" w:color="auto" w:fill="auto"/>
            <w:noWrap/>
            <w:vAlign w:val="bottom"/>
            <w:hideMark/>
          </w:tcPr>
          <w:p w:rsidR="006F1039" w:rsidRPr="00DB0AC3" w:rsidRDefault="006F1039" w:rsidP="00C670CE">
            <w:pPr>
              <w:jc w:val="right"/>
              <w:rPr>
                <w:rFonts w:cs="Arial"/>
                <w:color w:val="000000"/>
                <w:sz w:val="20"/>
                <w:lang w:val="ru-RU"/>
              </w:rPr>
            </w:pPr>
          </w:p>
        </w:tc>
      </w:tr>
      <w:tr w:rsidR="006F1039" w:rsidRPr="00DB0AC3" w:rsidTr="00C670CE">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Остаточная стоимость</w:t>
            </w:r>
          </w:p>
        </w:tc>
        <w:tc>
          <w:tcPr>
            <w:tcW w:w="1283" w:type="pct"/>
            <w:tcBorders>
              <w:top w:val="nil"/>
              <w:left w:val="nil"/>
              <w:bottom w:val="nil"/>
              <w:right w:val="nil"/>
            </w:tcBorders>
            <w:shd w:val="clear" w:color="auto" w:fill="auto"/>
            <w:noWrap/>
            <w:vAlign w:val="bottom"/>
            <w:hideMark/>
          </w:tcPr>
          <w:p w:rsidR="006F1039" w:rsidRPr="00DB0AC3" w:rsidRDefault="006F1039" w:rsidP="00C670CE">
            <w:pPr>
              <w:jc w:val="right"/>
              <w:rPr>
                <w:rFonts w:cs="Arial"/>
                <w:color w:val="000000"/>
                <w:sz w:val="20"/>
                <w:lang w:val="ru-RU"/>
              </w:rPr>
            </w:pPr>
          </w:p>
        </w:tc>
      </w:tr>
      <w:tr w:rsidR="006F1039" w:rsidRPr="00DB0AC3" w:rsidTr="00C670CE">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2014</w:t>
            </w:r>
          </w:p>
        </w:tc>
        <w:tc>
          <w:tcPr>
            <w:tcW w:w="1283" w:type="pct"/>
            <w:tcBorders>
              <w:top w:val="nil"/>
              <w:left w:val="nil"/>
              <w:bottom w:val="double" w:sz="4" w:space="0" w:color="auto"/>
              <w:right w:val="nil"/>
            </w:tcBorders>
            <w:shd w:val="clear" w:color="auto" w:fill="auto"/>
            <w:noWrap/>
            <w:vAlign w:val="bottom"/>
            <w:hideMark/>
          </w:tcPr>
          <w:p w:rsidR="006F1039" w:rsidRPr="00DB0AC3" w:rsidRDefault="006F1039" w:rsidP="00C670CE">
            <w:pPr>
              <w:jc w:val="right"/>
              <w:rPr>
                <w:rFonts w:cs="Arial"/>
                <w:color w:val="000000"/>
                <w:sz w:val="20"/>
                <w:lang w:val="ru-RU"/>
              </w:rPr>
            </w:pPr>
            <w:r w:rsidRPr="00DB0AC3">
              <w:rPr>
                <w:rFonts w:cs="Arial"/>
                <w:color w:val="000000"/>
                <w:sz w:val="20"/>
                <w:lang w:val="ru-RU"/>
              </w:rPr>
              <w:t>-</w:t>
            </w:r>
          </w:p>
        </w:tc>
      </w:tr>
      <w:tr w:rsidR="006F1039" w:rsidRPr="00DB0AC3" w:rsidTr="00C670CE">
        <w:trPr>
          <w:gridAfter w:val="1"/>
          <w:wAfter w:w="183" w:type="pct"/>
          <w:trHeight w:val="300"/>
        </w:trPr>
        <w:tc>
          <w:tcPr>
            <w:tcW w:w="3534"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 31 декабря 2013</w:t>
            </w:r>
          </w:p>
        </w:tc>
        <w:tc>
          <w:tcPr>
            <w:tcW w:w="1283" w:type="pct"/>
            <w:tcBorders>
              <w:top w:val="double" w:sz="4" w:space="0" w:color="auto"/>
              <w:left w:val="nil"/>
              <w:bottom w:val="double" w:sz="4" w:space="0" w:color="auto"/>
              <w:right w:val="nil"/>
            </w:tcBorders>
            <w:shd w:val="clear" w:color="auto" w:fill="auto"/>
            <w:noWrap/>
            <w:vAlign w:val="bottom"/>
            <w:hideMark/>
          </w:tcPr>
          <w:p w:rsidR="006F1039" w:rsidRPr="00DB0AC3" w:rsidRDefault="006F1039" w:rsidP="00C670CE">
            <w:pPr>
              <w:jc w:val="right"/>
              <w:rPr>
                <w:rFonts w:cs="Arial"/>
                <w:b/>
                <w:bCs/>
                <w:color w:val="000000"/>
                <w:sz w:val="20"/>
                <w:lang w:val="ru-RU"/>
              </w:rPr>
            </w:pPr>
            <w:r w:rsidRPr="00DB0AC3">
              <w:rPr>
                <w:rFonts w:cs="Arial"/>
                <w:b/>
                <w:bCs/>
                <w:color w:val="000000"/>
                <w:sz w:val="20"/>
                <w:lang w:val="ru-RU"/>
              </w:rPr>
              <w:t>1357</w:t>
            </w:r>
          </w:p>
        </w:tc>
      </w:tr>
    </w:tbl>
    <w:p w:rsidR="00E63075" w:rsidRPr="00DB0AC3" w:rsidRDefault="006F1039" w:rsidP="00360E6A">
      <w:pPr>
        <w:pStyle w:val="1"/>
        <w:keepLines/>
        <w:pageBreakBefore/>
        <w:spacing w:before="0"/>
        <w:rPr>
          <w:rFonts w:cs="Arial"/>
          <w:lang w:val="en-US"/>
        </w:rPr>
      </w:pPr>
      <w:bookmarkStart w:id="145" w:name="_Toc441479801"/>
      <w:bookmarkEnd w:id="143"/>
      <w:bookmarkEnd w:id="144"/>
      <w:r w:rsidRPr="00DB0AC3">
        <w:rPr>
          <w:rFonts w:cs="Arial"/>
          <w:lang w:val="ru-RU"/>
        </w:rPr>
        <w:lastRenderedPageBreak/>
        <w:t>Основные средства и нематериальные активы</w:t>
      </w:r>
      <w:bookmarkEnd w:id="145"/>
    </w:p>
    <w:p w:rsidR="0062600E" w:rsidRPr="00DB0AC3" w:rsidRDefault="006F1039" w:rsidP="00C06AC5">
      <w:pPr>
        <w:jc w:val="both"/>
        <w:rPr>
          <w:rFonts w:cs="Arial"/>
          <w:color w:val="000000"/>
          <w:sz w:val="20"/>
          <w:lang w:val="ru-RU"/>
        </w:rPr>
      </w:pPr>
      <w:bookmarkStart w:id="146" w:name="_Toc396912618"/>
      <w:bookmarkStart w:id="147" w:name="_Toc416086221"/>
      <w:bookmarkStart w:id="148" w:name="_Ref166397992"/>
      <w:r w:rsidRPr="00DB0AC3">
        <w:rPr>
          <w:rFonts w:cs="Arial"/>
          <w:color w:val="000000"/>
          <w:sz w:val="20"/>
          <w:lang w:val="ru-RU"/>
        </w:rPr>
        <w:t>Основные средства</w:t>
      </w:r>
      <w:r w:rsidR="00C670CE" w:rsidRPr="00DB0AC3">
        <w:rPr>
          <w:rFonts w:cs="Arial"/>
          <w:color w:val="000000"/>
          <w:sz w:val="20"/>
          <w:lang w:val="ru-RU"/>
        </w:rPr>
        <w:t xml:space="preserve"> и нематериальные активы</w:t>
      </w:r>
      <w:r w:rsidRPr="00DB0AC3">
        <w:rPr>
          <w:rFonts w:cs="Arial"/>
          <w:color w:val="000000"/>
          <w:sz w:val="20"/>
          <w:lang w:val="ru-RU"/>
        </w:rPr>
        <w:t xml:space="preserve"> по состоянию на 31 декабря 2014 года представлены следующим образом:</w:t>
      </w:r>
    </w:p>
    <w:p w:rsidR="006F1039" w:rsidRPr="00DB0AC3" w:rsidRDefault="006F1039" w:rsidP="006F1039">
      <w:pPr>
        <w:rPr>
          <w:rFonts w:cs="Arial"/>
          <w:sz w:val="20"/>
          <w:lang w:val="ru-RU"/>
        </w:rPr>
      </w:pPr>
    </w:p>
    <w:tbl>
      <w:tblPr>
        <w:tblW w:w="5000" w:type="pct"/>
        <w:tblLayout w:type="fixed"/>
        <w:tblCellMar>
          <w:left w:w="30" w:type="dxa"/>
          <w:right w:w="30" w:type="dxa"/>
        </w:tblCellMar>
        <w:tblLook w:val="0000"/>
      </w:tblPr>
      <w:tblGrid>
        <w:gridCol w:w="1546"/>
        <w:gridCol w:w="1104"/>
        <w:gridCol w:w="1019"/>
        <w:gridCol w:w="1019"/>
        <w:gridCol w:w="1164"/>
        <w:gridCol w:w="1021"/>
        <w:gridCol w:w="1164"/>
        <w:gridCol w:w="1630"/>
      </w:tblGrid>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jc w:val="right"/>
              <w:rPr>
                <w:rFonts w:cs="Arial"/>
                <w:b/>
                <w:bCs/>
                <w:color w:val="000000"/>
                <w:sz w:val="20"/>
                <w:lang w:val="ru-RU"/>
              </w:rPr>
            </w:pPr>
          </w:p>
        </w:tc>
        <w:tc>
          <w:tcPr>
            <w:tcW w:w="571" w:type="pct"/>
            <w:tcBorders>
              <w:bottom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r w:rsidRPr="00DB0AC3">
              <w:rPr>
                <w:rFonts w:cs="Arial"/>
                <w:b/>
                <w:bCs/>
                <w:color w:val="000000"/>
                <w:sz w:val="20"/>
                <w:lang w:val="ru-RU"/>
              </w:rPr>
              <w:t>Здания и земля</w:t>
            </w:r>
          </w:p>
        </w:tc>
        <w:tc>
          <w:tcPr>
            <w:tcW w:w="527" w:type="pct"/>
            <w:tcBorders>
              <w:bottom w:val="single" w:sz="4" w:space="0" w:color="auto"/>
            </w:tcBorders>
            <w:shd w:val="clear" w:color="auto" w:fill="auto"/>
          </w:tcPr>
          <w:p w:rsidR="006F1039" w:rsidRPr="00DB0AC3" w:rsidRDefault="006F1039" w:rsidP="003606F4">
            <w:pPr>
              <w:autoSpaceDE w:val="0"/>
              <w:autoSpaceDN w:val="0"/>
              <w:adjustRightInd w:val="0"/>
              <w:jc w:val="center"/>
              <w:rPr>
                <w:rFonts w:cs="Arial"/>
                <w:b/>
                <w:bCs/>
                <w:color w:val="000000"/>
                <w:sz w:val="20"/>
                <w:lang w:val="ru-RU"/>
              </w:rPr>
            </w:pPr>
            <w:r w:rsidRPr="00DB0AC3">
              <w:rPr>
                <w:rFonts w:cs="Arial"/>
                <w:b/>
                <w:bCs/>
                <w:color w:val="000000"/>
                <w:sz w:val="20"/>
                <w:lang w:val="ru-RU"/>
              </w:rPr>
              <w:t>Капи</w:t>
            </w:r>
            <w:r w:rsidR="003606F4">
              <w:rPr>
                <w:rFonts w:cs="Arial"/>
                <w:b/>
                <w:bCs/>
                <w:color w:val="000000"/>
                <w:sz w:val="20"/>
                <w:lang w:val="ru-RU"/>
              </w:rPr>
              <w:t>-</w:t>
            </w:r>
            <w:r w:rsidRPr="00DB0AC3">
              <w:rPr>
                <w:rFonts w:cs="Arial"/>
                <w:b/>
                <w:bCs/>
                <w:color w:val="000000"/>
                <w:sz w:val="20"/>
                <w:lang w:val="ru-RU"/>
              </w:rPr>
              <w:t>тальные вложения</w:t>
            </w:r>
          </w:p>
        </w:tc>
        <w:tc>
          <w:tcPr>
            <w:tcW w:w="527" w:type="pct"/>
            <w:tcBorders>
              <w:bottom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r w:rsidRPr="00DB0AC3">
              <w:rPr>
                <w:rFonts w:cs="Arial"/>
                <w:b/>
                <w:bCs/>
                <w:color w:val="000000"/>
                <w:sz w:val="20"/>
                <w:lang w:val="ru-RU"/>
              </w:rPr>
              <w:t>Транспор-тные средства</w:t>
            </w:r>
          </w:p>
        </w:tc>
        <w:tc>
          <w:tcPr>
            <w:tcW w:w="602" w:type="pct"/>
            <w:tcBorders>
              <w:bottom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r w:rsidRPr="00DB0AC3">
              <w:rPr>
                <w:rFonts w:cs="Arial"/>
                <w:b/>
                <w:bCs/>
                <w:color w:val="000000"/>
                <w:sz w:val="20"/>
                <w:lang w:val="ru-RU"/>
              </w:rPr>
              <w:t>Компютер-ное и офисное оборудование</w:t>
            </w:r>
          </w:p>
        </w:tc>
        <w:tc>
          <w:tcPr>
            <w:tcW w:w="528" w:type="pct"/>
            <w:tcBorders>
              <w:bottom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r w:rsidRPr="00DB0AC3">
              <w:rPr>
                <w:rFonts w:cs="Arial"/>
                <w:b/>
                <w:bCs/>
                <w:color w:val="000000"/>
                <w:sz w:val="20"/>
                <w:lang w:val="ru-RU"/>
              </w:rPr>
              <w:t>Прочее оборудо-вание</w:t>
            </w:r>
          </w:p>
        </w:tc>
        <w:tc>
          <w:tcPr>
            <w:tcW w:w="602" w:type="pct"/>
            <w:tcBorders>
              <w:bottom w:val="single" w:sz="4" w:space="0" w:color="auto"/>
            </w:tcBorders>
            <w:shd w:val="clear" w:color="auto" w:fill="auto"/>
          </w:tcPr>
          <w:p w:rsidR="006F1039" w:rsidRPr="00DB0AC3" w:rsidRDefault="006F1039" w:rsidP="003606F4">
            <w:pPr>
              <w:autoSpaceDE w:val="0"/>
              <w:autoSpaceDN w:val="0"/>
              <w:adjustRightInd w:val="0"/>
              <w:jc w:val="center"/>
              <w:rPr>
                <w:rFonts w:cs="Arial"/>
                <w:b/>
                <w:bCs/>
                <w:color w:val="000000"/>
                <w:sz w:val="20"/>
                <w:lang w:val="ru-RU"/>
              </w:rPr>
            </w:pPr>
            <w:r w:rsidRPr="00DB0AC3">
              <w:rPr>
                <w:rFonts w:cs="Arial"/>
                <w:b/>
                <w:bCs/>
                <w:color w:val="000000"/>
                <w:sz w:val="20"/>
                <w:lang w:val="ru-RU"/>
              </w:rPr>
              <w:t>Немате</w:t>
            </w:r>
            <w:r w:rsidR="003606F4">
              <w:rPr>
                <w:rFonts w:cs="Arial"/>
                <w:b/>
                <w:bCs/>
                <w:color w:val="000000"/>
                <w:sz w:val="20"/>
                <w:lang w:val="ru-RU"/>
              </w:rPr>
              <w:t>-</w:t>
            </w:r>
            <w:r w:rsidRPr="00DB0AC3">
              <w:rPr>
                <w:rFonts w:cs="Arial"/>
                <w:b/>
                <w:bCs/>
                <w:color w:val="000000"/>
                <w:sz w:val="20"/>
                <w:lang w:val="ru-RU"/>
              </w:rPr>
              <w:t>риальные активы</w:t>
            </w:r>
          </w:p>
        </w:tc>
        <w:tc>
          <w:tcPr>
            <w:tcW w:w="843" w:type="pct"/>
            <w:tcBorders>
              <w:bottom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r w:rsidRPr="00DB0AC3">
              <w:rPr>
                <w:rFonts w:cs="Arial"/>
                <w:b/>
                <w:bCs/>
                <w:color w:val="000000"/>
                <w:sz w:val="20"/>
                <w:lang w:val="ru-RU"/>
              </w:rPr>
              <w:t>Итого</w:t>
            </w:r>
          </w:p>
        </w:tc>
      </w:tr>
      <w:tr w:rsidR="006F1039" w:rsidRPr="00DB0AC3" w:rsidTr="00C17872">
        <w:trPr>
          <w:trHeight w:val="305"/>
        </w:trPr>
        <w:tc>
          <w:tcPr>
            <w:tcW w:w="800" w:type="pct"/>
            <w:shd w:val="clear" w:color="auto" w:fill="auto"/>
          </w:tcPr>
          <w:p w:rsidR="006F1039" w:rsidRPr="00DB0AC3" w:rsidRDefault="006F1039" w:rsidP="00C17872">
            <w:pPr>
              <w:autoSpaceDE w:val="0"/>
              <w:autoSpaceDN w:val="0"/>
              <w:adjustRightInd w:val="0"/>
              <w:jc w:val="right"/>
              <w:rPr>
                <w:rFonts w:cs="Arial"/>
                <w:b/>
                <w:bCs/>
                <w:color w:val="000000"/>
                <w:sz w:val="20"/>
                <w:lang w:val="ru-RU"/>
              </w:rPr>
            </w:pPr>
          </w:p>
        </w:tc>
        <w:tc>
          <w:tcPr>
            <w:tcW w:w="571"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27"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27"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602"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28"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602"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843"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r>
      <w:tr w:rsidR="009441F2" w:rsidRPr="00DB0AC3" w:rsidTr="009441F2">
        <w:trPr>
          <w:trHeight w:val="290"/>
        </w:trPr>
        <w:tc>
          <w:tcPr>
            <w:tcW w:w="1371" w:type="pct"/>
            <w:gridSpan w:val="2"/>
            <w:shd w:val="clear" w:color="auto" w:fill="auto"/>
          </w:tcPr>
          <w:p w:rsidR="009441F2" w:rsidRPr="00DB0AC3" w:rsidRDefault="009441F2" w:rsidP="00C17872">
            <w:pPr>
              <w:autoSpaceDE w:val="0"/>
              <w:autoSpaceDN w:val="0"/>
              <w:adjustRightInd w:val="0"/>
              <w:jc w:val="center"/>
              <w:rPr>
                <w:rFonts w:cs="Arial"/>
                <w:color w:val="000000"/>
                <w:sz w:val="20"/>
                <w:lang w:val="ru-RU"/>
              </w:rPr>
            </w:pPr>
            <w:r w:rsidRPr="00DB0AC3">
              <w:rPr>
                <w:rFonts w:cs="Arial"/>
                <w:b/>
                <w:bCs/>
                <w:color w:val="000000"/>
                <w:sz w:val="20"/>
                <w:lang w:val="ru-RU"/>
              </w:rPr>
              <w:t>Первоначальная стоимость</w:t>
            </w:r>
          </w:p>
        </w:tc>
        <w:tc>
          <w:tcPr>
            <w:tcW w:w="527" w:type="pct"/>
            <w:shd w:val="clear" w:color="auto" w:fill="auto"/>
          </w:tcPr>
          <w:p w:rsidR="009441F2" w:rsidRPr="00DB0AC3" w:rsidRDefault="009441F2" w:rsidP="00C17872">
            <w:pPr>
              <w:autoSpaceDE w:val="0"/>
              <w:autoSpaceDN w:val="0"/>
              <w:adjustRightInd w:val="0"/>
              <w:jc w:val="center"/>
              <w:rPr>
                <w:rFonts w:cs="Arial"/>
                <w:color w:val="000000"/>
                <w:sz w:val="20"/>
                <w:lang w:val="ru-RU"/>
              </w:rPr>
            </w:pPr>
          </w:p>
        </w:tc>
        <w:tc>
          <w:tcPr>
            <w:tcW w:w="527" w:type="pct"/>
            <w:shd w:val="clear" w:color="auto" w:fill="auto"/>
          </w:tcPr>
          <w:p w:rsidR="009441F2" w:rsidRPr="00DB0AC3" w:rsidRDefault="009441F2" w:rsidP="00C17872">
            <w:pPr>
              <w:autoSpaceDE w:val="0"/>
              <w:autoSpaceDN w:val="0"/>
              <w:adjustRightInd w:val="0"/>
              <w:jc w:val="center"/>
              <w:rPr>
                <w:rFonts w:cs="Arial"/>
                <w:color w:val="000000"/>
                <w:sz w:val="20"/>
                <w:lang w:val="ru-RU"/>
              </w:rPr>
            </w:pPr>
          </w:p>
        </w:tc>
        <w:tc>
          <w:tcPr>
            <w:tcW w:w="602" w:type="pct"/>
            <w:shd w:val="clear" w:color="auto" w:fill="auto"/>
          </w:tcPr>
          <w:p w:rsidR="009441F2" w:rsidRPr="00DB0AC3" w:rsidRDefault="009441F2" w:rsidP="00C17872">
            <w:pPr>
              <w:autoSpaceDE w:val="0"/>
              <w:autoSpaceDN w:val="0"/>
              <w:adjustRightInd w:val="0"/>
              <w:jc w:val="center"/>
              <w:rPr>
                <w:rFonts w:cs="Arial"/>
                <w:color w:val="000000"/>
                <w:sz w:val="20"/>
                <w:lang w:val="ru-RU"/>
              </w:rPr>
            </w:pPr>
          </w:p>
        </w:tc>
        <w:tc>
          <w:tcPr>
            <w:tcW w:w="528" w:type="pct"/>
            <w:shd w:val="clear" w:color="auto" w:fill="auto"/>
          </w:tcPr>
          <w:p w:rsidR="009441F2" w:rsidRPr="00DB0AC3" w:rsidRDefault="009441F2" w:rsidP="00C17872">
            <w:pPr>
              <w:autoSpaceDE w:val="0"/>
              <w:autoSpaceDN w:val="0"/>
              <w:adjustRightInd w:val="0"/>
              <w:jc w:val="center"/>
              <w:rPr>
                <w:rFonts w:cs="Arial"/>
                <w:color w:val="000000"/>
                <w:sz w:val="20"/>
                <w:lang w:val="ru-RU"/>
              </w:rPr>
            </w:pPr>
          </w:p>
        </w:tc>
        <w:tc>
          <w:tcPr>
            <w:tcW w:w="602" w:type="pct"/>
            <w:shd w:val="clear" w:color="auto" w:fill="auto"/>
          </w:tcPr>
          <w:p w:rsidR="009441F2" w:rsidRPr="00DB0AC3" w:rsidRDefault="009441F2" w:rsidP="00C17872">
            <w:pPr>
              <w:autoSpaceDE w:val="0"/>
              <w:autoSpaceDN w:val="0"/>
              <w:adjustRightInd w:val="0"/>
              <w:jc w:val="center"/>
              <w:rPr>
                <w:rFonts w:cs="Arial"/>
                <w:color w:val="000000"/>
                <w:sz w:val="20"/>
                <w:lang w:val="ru-RU"/>
              </w:rPr>
            </w:pPr>
          </w:p>
        </w:tc>
        <w:tc>
          <w:tcPr>
            <w:tcW w:w="843" w:type="pct"/>
            <w:shd w:val="clear" w:color="auto" w:fill="auto"/>
          </w:tcPr>
          <w:p w:rsidR="009441F2" w:rsidRPr="00DB0AC3" w:rsidRDefault="009441F2" w:rsidP="00C17872">
            <w:pPr>
              <w:autoSpaceDE w:val="0"/>
              <w:autoSpaceDN w:val="0"/>
              <w:adjustRightInd w:val="0"/>
              <w:jc w:val="center"/>
              <w:rPr>
                <w:rFonts w:cs="Arial"/>
                <w:color w:val="000000"/>
                <w:sz w:val="20"/>
                <w:lang w:val="ru-RU"/>
              </w:rPr>
            </w:pP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jc w:val="right"/>
              <w:rPr>
                <w:rFonts w:cs="Arial"/>
                <w:b/>
                <w:bCs/>
                <w:color w:val="000000"/>
                <w:sz w:val="20"/>
                <w:lang w:val="ru-RU"/>
              </w:rPr>
            </w:pPr>
          </w:p>
        </w:tc>
        <w:tc>
          <w:tcPr>
            <w:tcW w:w="571" w:type="pct"/>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527" w:type="pct"/>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527" w:type="pct"/>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602" w:type="pct"/>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528" w:type="pct"/>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602" w:type="pct"/>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843"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2012</w:t>
            </w:r>
          </w:p>
        </w:tc>
        <w:tc>
          <w:tcPr>
            <w:tcW w:w="571"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1 905 286</w:t>
            </w:r>
          </w:p>
        </w:tc>
        <w:tc>
          <w:tcPr>
            <w:tcW w:w="527"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45 505</w:t>
            </w:r>
          </w:p>
        </w:tc>
        <w:tc>
          <w:tcPr>
            <w:tcW w:w="527"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7 428</w:t>
            </w:r>
          </w:p>
        </w:tc>
        <w:tc>
          <w:tcPr>
            <w:tcW w:w="602"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47 324</w:t>
            </w:r>
          </w:p>
        </w:tc>
        <w:tc>
          <w:tcPr>
            <w:tcW w:w="528"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59 536</w:t>
            </w:r>
          </w:p>
        </w:tc>
        <w:tc>
          <w:tcPr>
            <w:tcW w:w="602"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50 320</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2 115 399</w:t>
            </w: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Поступления</w:t>
            </w:r>
          </w:p>
        </w:tc>
        <w:tc>
          <w:tcPr>
            <w:tcW w:w="571" w:type="pct"/>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 xml:space="preserve">19 </w:t>
            </w:r>
            <w:r w:rsidR="009441F2" w:rsidRPr="00DB0AC3">
              <w:rPr>
                <w:rFonts w:cs="Arial"/>
                <w:color w:val="000000"/>
                <w:sz w:val="20"/>
                <w:lang w:val="ru-RU"/>
              </w:rPr>
              <w:t>930</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314</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3 083</w:t>
            </w:r>
          </w:p>
        </w:tc>
        <w:tc>
          <w:tcPr>
            <w:tcW w:w="52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7 929</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31 256</w:t>
            </w: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Выбытие</w:t>
            </w:r>
          </w:p>
        </w:tc>
        <w:tc>
          <w:tcPr>
            <w:tcW w:w="57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(50)</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(2 369)</w:t>
            </w:r>
          </w:p>
        </w:tc>
        <w:tc>
          <w:tcPr>
            <w:tcW w:w="52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(3 494)</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(50 320)</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(56 </w:t>
            </w:r>
            <w:r w:rsidR="009441F2" w:rsidRPr="00DB0AC3">
              <w:rPr>
                <w:rFonts w:cs="Arial"/>
                <w:b/>
                <w:bCs/>
                <w:color w:val="000000"/>
                <w:sz w:val="20"/>
                <w:lang w:val="ru-RU"/>
              </w:rPr>
              <w:t>233</w:t>
            </w:r>
            <w:r w:rsidRPr="00DB0AC3">
              <w:rPr>
                <w:rFonts w:cs="Arial"/>
                <w:b/>
                <w:bCs/>
                <w:color w:val="000000"/>
                <w:sz w:val="20"/>
                <w:lang w:val="ru-RU"/>
              </w:rPr>
              <w:t>)</w:t>
            </w: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Трансферы</w:t>
            </w:r>
          </w:p>
        </w:tc>
        <w:tc>
          <w:tcPr>
            <w:tcW w:w="571" w:type="pct"/>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(46 395)</w:t>
            </w:r>
          </w:p>
        </w:tc>
        <w:tc>
          <w:tcPr>
            <w:tcW w:w="527" w:type="pct"/>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2" w:type="pct"/>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46 395</w:t>
            </w:r>
          </w:p>
        </w:tc>
        <w:tc>
          <w:tcPr>
            <w:tcW w:w="602" w:type="pct"/>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color w:val="000000"/>
                <w:sz w:val="20"/>
                <w:lang w:val="ru-RU"/>
              </w:rPr>
              <w:t>-</w:t>
            </w:r>
          </w:p>
        </w:tc>
      </w:tr>
      <w:tr w:rsidR="006F1039" w:rsidRPr="00DB0AC3" w:rsidTr="00C17872">
        <w:trPr>
          <w:trHeight w:val="310"/>
        </w:trPr>
        <w:tc>
          <w:tcPr>
            <w:tcW w:w="800" w:type="pct"/>
            <w:vMerge w:val="restart"/>
            <w:shd w:val="clear" w:color="auto" w:fill="auto"/>
          </w:tcPr>
          <w:p w:rsidR="006F1039" w:rsidRPr="00DB0AC3" w:rsidRDefault="006F1039" w:rsidP="00085006">
            <w:pPr>
              <w:autoSpaceDE w:val="0"/>
              <w:autoSpaceDN w:val="0"/>
              <w:adjustRightInd w:val="0"/>
              <w:rPr>
                <w:rFonts w:cs="Arial"/>
                <w:color w:val="000000"/>
                <w:sz w:val="20"/>
                <w:lang w:val="ru-RU"/>
              </w:rPr>
            </w:pPr>
            <w:r w:rsidRPr="00DB0AC3">
              <w:rPr>
                <w:rFonts w:cs="Arial"/>
                <w:color w:val="000000"/>
                <w:sz w:val="20"/>
                <w:lang w:val="ru-RU"/>
              </w:rPr>
              <w:t xml:space="preserve">Трансферы из Инв. </w:t>
            </w:r>
            <w:r w:rsidR="00085006" w:rsidRPr="00DB0AC3">
              <w:rPr>
                <w:rFonts w:cs="Arial"/>
                <w:color w:val="000000"/>
                <w:sz w:val="20"/>
                <w:lang w:val="ru-RU"/>
              </w:rPr>
              <w:t>соб</w:t>
            </w:r>
            <w:r w:rsidRPr="00DB0AC3">
              <w:rPr>
                <w:rFonts w:cs="Arial"/>
                <w:color w:val="000000"/>
                <w:sz w:val="20"/>
                <w:lang w:val="ru-RU"/>
              </w:rPr>
              <w:t>-ти</w:t>
            </w:r>
          </w:p>
        </w:tc>
        <w:tc>
          <w:tcPr>
            <w:tcW w:w="571" w:type="pct"/>
            <w:tcBorders>
              <w:bottom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140 000</w:t>
            </w:r>
          </w:p>
        </w:tc>
        <w:tc>
          <w:tcPr>
            <w:tcW w:w="527"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2"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8"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2"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843" w:type="pct"/>
            <w:tcBorders>
              <w:bottom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140 000</w:t>
            </w:r>
          </w:p>
        </w:tc>
      </w:tr>
      <w:tr w:rsidR="006F1039" w:rsidRPr="00DB0AC3" w:rsidTr="00C17872">
        <w:trPr>
          <w:trHeight w:val="94"/>
        </w:trPr>
        <w:tc>
          <w:tcPr>
            <w:tcW w:w="800" w:type="pct"/>
            <w:vMerge/>
            <w:shd w:val="clear" w:color="auto" w:fill="auto"/>
          </w:tcPr>
          <w:p w:rsidR="006F1039" w:rsidRPr="00DB0AC3" w:rsidRDefault="006F1039" w:rsidP="00C17872">
            <w:pPr>
              <w:autoSpaceDE w:val="0"/>
              <w:autoSpaceDN w:val="0"/>
              <w:adjustRightInd w:val="0"/>
              <w:rPr>
                <w:rFonts w:cs="Arial"/>
                <w:color w:val="000000"/>
                <w:sz w:val="20"/>
                <w:lang w:val="ru-RU"/>
              </w:rPr>
            </w:pPr>
          </w:p>
        </w:tc>
        <w:tc>
          <w:tcPr>
            <w:tcW w:w="571"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27"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27"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02"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28"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02"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c>
          <w:tcPr>
            <w:tcW w:w="843"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2013</w:t>
            </w:r>
          </w:p>
        </w:tc>
        <w:tc>
          <w:tcPr>
            <w:tcW w:w="571"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2 045 286</w:t>
            </w:r>
          </w:p>
        </w:tc>
        <w:tc>
          <w:tcPr>
            <w:tcW w:w="527"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19 </w:t>
            </w:r>
            <w:r w:rsidR="009441F2" w:rsidRPr="00DB0AC3">
              <w:rPr>
                <w:rFonts w:cs="Arial"/>
                <w:b/>
                <w:bCs/>
                <w:color w:val="000000"/>
                <w:sz w:val="20"/>
                <w:lang w:val="ru-RU"/>
              </w:rPr>
              <w:t>040</w:t>
            </w:r>
          </w:p>
        </w:tc>
        <w:tc>
          <w:tcPr>
            <w:tcW w:w="527"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7 </w:t>
            </w:r>
            <w:r w:rsidR="009441F2" w:rsidRPr="00DB0AC3">
              <w:rPr>
                <w:rFonts w:cs="Arial"/>
                <w:b/>
                <w:bCs/>
                <w:color w:val="000000"/>
                <w:sz w:val="20"/>
                <w:lang w:val="ru-RU"/>
              </w:rPr>
              <w:t>692</w:t>
            </w:r>
          </w:p>
        </w:tc>
        <w:tc>
          <w:tcPr>
            <w:tcW w:w="602"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48 </w:t>
            </w:r>
            <w:r w:rsidR="009441F2" w:rsidRPr="00DB0AC3">
              <w:rPr>
                <w:rFonts w:cs="Arial"/>
                <w:b/>
                <w:bCs/>
                <w:color w:val="000000"/>
                <w:sz w:val="20"/>
                <w:lang w:val="ru-RU"/>
              </w:rPr>
              <w:t>038</w:t>
            </w:r>
          </w:p>
        </w:tc>
        <w:tc>
          <w:tcPr>
            <w:tcW w:w="528"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110 366</w:t>
            </w:r>
          </w:p>
        </w:tc>
        <w:tc>
          <w:tcPr>
            <w:tcW w:w="602"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color w:val="000000"/>
                <w:sz w:val="20"/>
                <w:lang w:val="ru-RU"/>
              </w:rPr>
              <w:t>-</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2 230 </w:t>
            </w:r>
            <w:r w:rsidR="009441F2" w:rsidRPr="00DB0AC3">
              <w:rPr>
                <w:rFonts w:cs="Arial"/>
                <w:b/>
                <w:bCs/>
                <w:color w:val="000000"/>
                <w:sz w:val="20"/>
                <w:lang w:val="ru-RU"/>
              </w:rPr>
              <w:t>422</w:t>
            </w: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Поступления</w:t>
            </w:r>
          </w:p>
        </w:tc>
        <w:tc>
          <w:tcPr>
            <w:tcW w:w="57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5 853</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4 631</w:t>
            </w:r>
          </w:p>
        </w:tc>
        <w:tc>
          <w:tcPr>
            <w:tcW w:w="52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4 659</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15 143</w:t>
            </w: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Выбытие</w:t>
            </w:r>
          </w:p>
        </w:tc>
        <w:tc>
          <w:tcPr>
            <w:tcW w:w="57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(472)</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(52)</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(4 576)</w:t>
            </w:r>
          </w:p>
        </w:tc>
        <w:tc>
          <w:tcPr>
            <w:tcW w:w="52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(15 986)</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(21 086)</w:t>
            </w: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Трансферы</w:t>
            </w:r>
          </w:p>
        </w:tc>
        <w:tc>
          <w:tcPr>
            <w:tcW w:w="57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22 117</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(23 564)</w:t>
            </w:r>
          </w:p>
        </w:tc>
        <w:tc>
          <w:tcPr>
            <w:tcW w:w="527"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(531)</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(21 860)</w:t>
            </w:r>
          </w:p>
        </w:tc>
        <w:tc>
          <w:tcPr>
            <w:tcW w:w="52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 xml:space="preserve">22 </w:t>
            </w:r>
            <w:r w:rsidR="009441F2" w:rsidRPr="00DB0AC3">
              <w:rPr>
                <w:rFonts w:cs="Arial"/>
                <w:color w:val="000000"/>
                <w:sz w:val="20"/>
                <w:lang w:val="ru-RU"/>
              </w:rPr>
              <w:t>733</w:t>
            </w:r>
          </w:p>
        </w:tc>
        <w:tc>
          <w:tcPr>
            <w:tcW w:w="602"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1 105</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color w:val="000000"/>
                <w:sz w:val="20"/>
                <w:lang w:val="ru-RU"/>
              </w:rPr>
              <w:t>-</w:t>
            </w:r>
          </w:p>
        </w:tc>
      </w:tr>
      <w:tr w:rsidR="006F1039" w:rsidRPr="00DB0AC3" w:rsidTr="00C17872">
        <w:trPr>
          <w:trHeight w:val="161"/>
        </w:trPr>
        <w:tc>
          <w:tcPr>
            <w:tcW w:w="800" w:type="pct"/>
            <w:shd w:val="clear" w:color="auto" w:fill="auto"/>
          </w:tcPr>
          <w:p w:rsidR="006F1039" w:rsidRPr="00DB0AC3" w:rsidRDefault="006F1039" w:rsidP="00C17872">
            <w:pPr>
              <w:autoSpaceDE w:val="0"/>
              <w:autoSpaceDN w:val="0"/>
              <w:adjustRightInd w:val="0"/>
              <w:rPr>
                <w:rFonts w:cs="Arial"/>
                <w:color w:val="000000"/>
                <w:sz w:val="20"/>
                <w:lang w:val="ru-RU"/>
              </w:rPr>
            </w:pPr>
          </w:p>
        </w:tc>
        <w:tc>
          <w:tcPr>
            <w:tcW w:w="571"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27"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27"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02"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28"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02"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c>
          <w:tcPr>
            <w:tcW w:w="843"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r>
      <w:tr w:rsidR="006F1039" w:rsidRPr="00DB0AC3" w:rsidTr="00C17872">
        <w:trPr>
          <w:trHeight w:val="290"/>
        </w:trPr>
        <w:tc>
          <w:tcPr>
            <w:tcW w:w="800" w:type="pct"/>
            <w:shd w:val="clear" w:color="auto" w:fill="auto"/>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2014</w:t>
            </w:r>
          </w:p>
        </w:tc>
        <w:tc>
          <w:tcPr>
            <w:tcW w:w="571"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2 066 931</w:t>
            </w:r>
          </w:p>
        </w:tc>
        <w:tc>
          <w:tcPr>
            <w:tcW w:w="527"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w:t>
            </w:r>
            <w:r w:rsidR="009441F2" w:rsidRPr="00DB0AC3">
              <w:rPr>
                <w:rFonts w:cs="Arial"/>
                <w:b/>
                <w:bCs/>
                <w:color w:val="000000"/>
                <w:sz w:val="20"/>
                <w:lang w:val="ru-RU"/>
              </w:rPr>
              <w:t>329</w:t>
            </w:r>
          </w:p>
        </w:tc>
        <w:tc>
          <w:tcPr>
            <w:tcW w:w="527"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7 </w:t>
            </w:r>
            <w:r w:rsidR="009441F2" w:rsidRPr="00DB0AC3">
              <w:rPr>
                <w:rFonts w:cs="Arial"/>
                <w:b/>
                <w:bCs/>
                <w:color w:val="000000"/>
                <w:sz w:val="20"/>
                <w:lang w:val="ru-RU"/>
              </w:rPr>
              <w:t>109</w:t>
            </w:r>
          </w:p>
        </w:tc>
        <w:tc>
          <w:tcPr>
            <w:tcW w:w="602"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26 </w:t>
            </w:r>
            <w:r w:rsidR="009441F2" w:rsidRPr="00DB0AC3">
              <w:rPr>
                <w:rFonts w:cs="Arial"/>
                <w:b/>
                <w:bCs/>
                <w:color w:val="000000"/>
                <w:sz w:val="20"/>
                <w:lang w:val="ru-RU"/>
              </w:rPr>
              <w:t>233</w:t>
            </w:r>
          </w:p>
        </w:tc>
        <w:tc>
          <w:tcPr>
            <w:tcW w:w="528"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121 772</w:t>
            </w:r>
          </w:p>
        </w:tc>
        <w:tc>
          <w:tcPr>
            <w:tcW w:w="602"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1 105</w:t>
            </w:r>
          </w:p>
        </w:tc>
        <w:tc>
          <w:tcPr>
            <w:tcW w:w="843"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2 224 </w:t>
            </w:r>
            <w:r w:rsidR="009441F2" w:rsidRPr="00DB0AC3">
              <w:rPr>
                <w:rFonts w:cs="Arial"/>
                <w:b/>
                <w:bCs/>
                <w:color w:val="000000"/>
                <w:sz w:val="20"/>
                <w:lang w:val="ru-RU"/>
              </w:rPr>
              <w:t>479</w:t>
            </w:r>
          </w:p>
        </w:tc>
      </w:tr>
    </w:tbl>
    <w:p w:rsidR="006F1039" w:rsidRPr="00DB0AC3" w:rsidRDefault="006F1039" w:rsidP="006F1039">
      <w:pPr>
        <w:rPr>
          <w:rFonts w:cs="Arial"/>
          <w:sz w:val="20"/>
          <w:lang w:val="ru-RU"/>
        </w:rPr>
      </w:pPr>
    </w:p>
    <w:p w:rsidR="006F1039" w:rsidRPr="00DB0AC3" w:rsidRDefault="006F1039" w:rsidP="006F1039">
      <w:pPr>
        <w:rPr>
          <w:rFonts w:cs="Arial"/>
          <w:sz w:val="20"/>
          <w:lang w:val="ru-RU"/>
        </w:rPr>
      </w:pPr>
    </w:p>
    <w:p w:rsidR="006F1039" w:rsidRPr="00DB0AC3" w:rsidRDefault="006F1039" w:rsidP="006F1039">
      <w:pPr>
        <w:rPr>
          <w:rFonts w:cs="Arial"/>
          <w:b/>
          <w:color w:val="000000"/>
          <w:sz w:val="20"/>
          <w:lang w:val="ru-RU"/>
        </w:rPr>
      </w:pPr>
      <w:r w:rsidRPr="00DB0AC3">
        <w:rPr>
          <w:rFonts w:cs="Arial"/>
          <w:b/>
          <w:color w:val="000000"/>
          <w:sz w:val="20"/>
          <w:lang w:val="ru-RU"/>
        </w:rPr>
        <w:t>Накопленный износ</w:t>
      </w:r>
    </w:p>
    <w:p w:rsidR="006F1039" w:rsidRPr="00DB0AC3" w:rsidRDefault="006F1039" w:rsidP="006F1039">
      <w:pPr>
        <w:rPr>
          <w:rFonts w:cs="Arial"/>
          <w:sz w:val="20"/>
          <w:lang w:val="ru-RU"/>
        </w:rPr>
      </w:pPr>
    </w:p>
    <w:tbl>
      <w:tblPr>
        <w:tblW w:w="5000" w:type="pct"/>
        <w:tblCellMar>
          <w:left w:w="30" w:type="dxa"/>
          <w:right w:w="30" w:type="dxa"/>
        </w:tblCellMar>
        <w:tblLook w:val="0000"/>
      </w:tblPr>
      <w:tblGrid>
        <w:gridCol w:w="2014"/>
        <w:gridCol w:w="1150"/>
        <w:gridCol w:w="1085"/>
        <w:gridCol w:w="1170"/>
        <w:gridCol w:w="1121"/>
        <w:gridCol w:w="1195"/>
        <w:gridCol w:w="822"/>
        <w:gridCol w:w="1110"/>
      </w:tblGrid>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2012</w:t>
            </w:r>
          </w:p>
        </w:tc>
        <w:tc>
          <w:tcPr>
            <w:tcW w:w="59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(80 613)</w:t>
            </w:r>
          </w:p>
        </w:tc>
        <w:tc>
          <w:tcPr>
            <w:tcW w:w="561"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(28 572)</w:t>
            </w:r>
          </w:p>
        </w:tc>
        <w:tc>
          <w:tcPr>
            <w:tcW w:w="60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(3 598)</w:t>
            </w:r>
          </w:p>
        </w:tc>
        <w:tc>
          <w:tcPr>
            <w:tcW w:w="580"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(37 960)</w:t>
            </w:r>
          </w:p>
        </w:tc>
        <w:tc>
          <w:tcPr>
            <w:tcW w:w="618"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(36 890)</w:t>
            </w:r>
          </w:p>
        </w:tc>
        <w:tc>
          <w:tcPr>
            <w:tcW w:w="42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(15 946)</w:t>
            </w:r>
          </w:p>
        </w:tc>
        <w:tc>
          <w:tcPr>
            <w:tcW w:w="574"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(203 579)</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Начисления за год</w:t>
            </w:r>
          </w:p>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(Прим.26)</w:t>
            </w:r>
          </w:p>
        </w:tc>
        <w:tc>
          <w:tcPr>
            <w:tcW w:w="59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(38 435)</w:t>
            </w:r>
          </w:p>
        </w:tc>
        <w:tc>
          <w:tcPr>
            <w:tcW w:w="56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(1 386)</w:t>
            </w:r>
          </w:p>
        </w:tc>
        <w:tc>
          <w:tcPr>
            <w:tcW w:w="580"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(5 061)</w:t>
            </w:r>
          </w:p>
        </w:tc>
        <w:tc>
          <w:tcPr>
            <w:tcW w:w="61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(14 885)</w:t>
            </w:r>
          </w:p>
        </w:tc>
        <w:tc>
          <w:tcPr>
            <w:tcW w:w="42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(1 595)</w:t>
            </w:r>
          </w:p>
        </w:tc>
        <w:tc>
          <w:tcPr>
            <w:tcW w:w="574"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(61 362)</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Выбытие</w:t>
            </w:r>
          </w:p>
        </w:tc>
        <w:tc>
          <w:tcPr>
            <w:tcW w:w="59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6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50</w:t>
            </w:r>
          </w:p>
        </w:tc>
        <w:tc>
          <w:tcPr>
            <w:tcW w:w="580"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2 359</w:t>
            </w:r>
          </w:p>
        </w:tc>
        <w:tc>
          <w:tcPr>
            <w:tcW w:w="61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3 223</w:t>
            </w:r>
          </w:p>
        </w:tc>
        <w:tc>
          <w:tcPr>
            <w:tcW w:w="42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17 541</w:t>
            </w:r>
          </w:p>
        </w:tc>
        <w:tc>
          <w:tcPr>
            <w:tcW w:w="574"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23 172</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Трансферы</w:t>
            </w:r>
          </w:p>
        </w:tc>
        <w:tc>
          <w:tcPr>
            <w:tcW w:w="595" w:type="pct"/>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6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28 572</w:t>
            </w:r>
          </w:p>
        </w:tc>
        <w:tc>
          <w:tcPr>
            <w:tcW w:w="605" w:type="pct"/>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580" w:type="pct"/>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61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(28 572)</w:t>
            </w:r>
          </w:p>
        </w:tc>
        <w:tc>
          <w:tcPr>
            <w:tcW w:w="425" w:type="pct"/>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574"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r>
      <w:tr w:rsidR="006F1039" w:rsidRPr="00DB0AC3" w:rsidTr="00C17872">
        <w:trPr>
          <w:trHeight w:val="297"/>
        </w:trPr>
        <w:tc>
          <w:tcPr>
            <w:tcW w:w="1042" w:type="pct"/>
            <w:vMerge w:val="restart"/>
            <w:shd w:val="clear" w:color="auto" w:fill="auto"/>
          </w:tcPr>
          <w:p w:rsidR="006F1039" w:rsidRPr="00DB0AC3" w:rsidRDefault="006F1039" w:rsidP="00085006">
            <w:pPr>
              <w:autoSpaceDE w:val="0"/>
              <w:autoSpaceDN w:val="0"/>
              <w:adjustRightInd w:val="0"/>
              <w:rPr>
                <w:rFonts w:cs="Arial"/>
                <w:color w:val="000000"/>
                <w:sz w:val="20"/>
                <w:lang w:val="ru-RU"/>
              </w:rPr>
            </w:pPr>
            <w:r w:rsidRPr="00DB0AC3">
              <w:rPr>
                <w:rFonts w:cs="Arial"/>
                <w:color w:val="000000"/>
                <w:sz w:val="20"/>
                <w:lang w:val="ru-RU"/>
              </w:rPr>
              <w:t xml:space="preserve">Трансферы из Инв. </w:t>
            </w:r>
            <w:r w:rsidR="00085006" w:rsidRPr="00DB0AC3">
              <w:rPr>
                <w:rFonts w:cs="Arial"/>
                <w:color w:val="000000"/>
                <w:sz w:val="20"/>
                <w:lang w:val="ru-RU"/>
              </w:rPr>
              <w:t>соб</w:t>
            </w:r>
            <w:r w:rsidRPr="00DB0AC3">
              <w:rPr>
                <w:rFonts w:cs="Arial"/>
                <w:color w:val="000000"/>
                <w:sz w:val="20"/>
                <w:lang w:val="ru-RU"/>
              </w:rPr>
              <w:t>-ти</w:t>
            </w:r>
          </w:p>
        </w:tc>
        <w:tc>
          <w:tcPr>
            <w:tcW w:w="595" w:type="pct"/>
            <w:tcBorders>
              <w:bottom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(15 556)</w:t>
            </w:r>
          </w:p>
        </w:tc>
        <w:tc>
          <w:tcPr>
            <w:tcW w:w="561"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5"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580"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618"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425" w:type="pct"/>
            <w:tcBorders>
              <w:bottom w:val="single" w:sz="4" w:space="0" w:color="auto"/>
            </w:tcBorders>
            <w:shd w:val="clear" w:color="auto" w:fill="auto"/>
          </w:tcPr>
          <w:p w:rsidR="006F1039" w:rsidRPr="00DB0AC3" w:rsidRDefault="009441F2"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574" w:type="pct"/>
            <w:tcBorders>
              <w:bottom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(15 556)</w:t>
            </w:r>
          </w:p>
        </w:tc>
      </w:tr>
      <w:tr w:rsidR="006F1039" w:rsidRPr="00DB0AC3" w:rsidTr="00C17872">
        <w:trPr>
          <w:trHeight w:val="108"/>
        </w:trPr>
        <w:tc>
          <w:tcPr>
            <w:tcW w:w="1042" w:type="pct"/>
            <w:vMerge/>
            <w:shd w:val="clear" w:color="auto" w:fill="auto"/>
          </w:tcPr>
          <w:p w:rsidR="006F1039" w:rsidRPr="00DB0AC3" w:rsidRDefault="006F1039" w:rsidP="00C17872">
            <w:pPr>
              <w:autoSpaceDE w:val="0"/>
              <w:autoSpaceDN w:val="0"/>
              <w:adjustRightInd w:val="0"/>
              <w:rPr>
                <w:rFonts w:cs="Arial"/>
                <w:color w:val="000000"/>
                <w:sz w:val="20"/>
                <w:lang w:val="ru-RU"/>
              </w:rPr>
            </w:pPr>
          </w:p>
        </w:tc>
        <w:tc>
          <w:tcPr>
            <w:tcW w:w="595"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561"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605"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80"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618"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c>
          <w:tcPr>
            <w:tcW w:w="425"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74" w:type="pct"/>
            <w:tcBorders>
              <w:top w:val="single" w:sz="4" w:space="0" w:color="auto"/>
            </w:tcBorders>
            <w:shd w:val="clear" w:color="auto" w:fill="auto"/>
          </w:tcPr>
          <w:p w:rsidR="006F1039" w:rsidRPr="00DB0AC3" w:rsidRDefault="006F1039" w:rsidP="00C17872">
            <w:pPr>
              <w:autoSpaceDE w:val="0"/>
              <w:autoSpaceDN w:val="0"/>
              <w:adjustRightInd w:val="0"/>
              <w:jc w:val="center"/>
              <w:rPr>
                <w:rFonts w:cs="Arial"/>
                <w:color w:val="000000"/>
                <w:sz w:val="20"/>
                <w:lang w:val="ru-RU"/>
              </w:rPr>
            </w:pP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2013</w:t>
            </w:r>
          </w:p>
        </w:tc>
        <w:tc>
          <w:tcPr>
            <w:tcW w:w="59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(134 604)</w:t>
            </w:r>
          </w:p>
        </w:tc>
        <w:tc>
          <w:tcPr>
            <w:tcW w:w="561"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(4 934)</w:t>
            </w:r>
          </w:p>
        </w:tc>
        <w:tc>
          <w:tcPr>
            <w:tcW w:w="580"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(40 662)</w:t>
            </w:r>
          </w:p>
        </w:tc>
        <w:tc>
          <w:tcPr>
            <w:tcW w:w="618"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(77 124)</w:t>
            </w:r>
          </w:p>
        </w:tc>
        <w:tc>
          <w:tcPr>
            <w:tcW w:w="42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574"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(257 </w:t>
            </w:r>
            <w:r w:rsidR="00085006" w:rsidRPr="00DB0AC3">
              <w:rPr>
                <w:rFonts w:cs="Arial"/>
                <w:b/>
                <w:bCs/>
                <w:color w:val="000000"/>
                <w:sz w:val="20"/>
                <w:lang w:val="ru-RU"/>
              </w:rPr>
              <w:t>324</w:t>
            </w:r>
            <w:r w:rsidRPr="00DB0AC3">
              <w:rPr>
                <w:rFonts w:cs="Arial"/>
                <w:b/>
                <w:bCs/>
                <w:color w:val="000000"/>
                <w:sz w:val="20"/>
                <w:lang w:val="ru-RU"/>
              </w:rPr>
              <w:t>)</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Начисления за год</w:t>
            </w:r>
          </w:p>
        </w:tc>
        <w:tc>
          <w:tcPr>
            <w:tcW w:w="59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(38 438)</w:t>
            </w:r>
          </w:p>
        </w:tc>
        <w:tc>
          <w:tcPr>
            <w:tcW w:w="561" w:type="pct"/>
            <w:shd w:val="clear" w:color="auto" w:fill="auto"/>
          </w:tcPr>
          <w:p w:rsidR="006F1039" w:rsidRPr="00DB0AC3" w:rsidRDefault="00085006"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(1 282)</w:t>
            </w:r>
          </w:p>
        </w:tc>
        <w:tc>
          <w:tcPr>
            <w:tcW w:w="580"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(4 615)</w:t>
            </w:r>
          </w:p>
        </w:tc>
        <w:tc>
          <w:tcPr>
            <w:tcW w:w="61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(9 578)</w:t>
            </w:r>
          </w:p>
        </w:tc>
        <w:tc>
          <w:tcPr>
            <w:tcW w:w="42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(74)</w:t>
            </w:r>
          </w:p>
        </w:tc>
        <w:tc>
          <w:tcPr>
            <w:tcW w:w="574"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(53 987)</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Выбытие</w:t>
            </w:r>
          </w:p>
        </w:tc>
        <w:tc>
          <w:tcPr>
            <w:tcW w:w="59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38</w:t>
            </w:r>
          </w:p>
        </w:tc>
        <w:tc>
          <w:tcPr>
            <w:tcW w:w="561" w:type="pct"/>
            <w:shd w:val="clear" w:color="auto" w:fill="auto"/>
          </w:tcPr>
          <w:p w:rsidR="006F1039" w:rsidRPr="00DB0AC3" w:rsidRDefault="00085006"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52</w:t>
            </w:r>
          </w:p>
        </w:tc>
        <w:tc>
          <w:tcPr>
            <w:tcW w:w="580"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4 210</w:t>
            </w:r>
          </w:p>
        </w:tc>
        <w:tc>
          <w:tcPr>
            <w:tcW w:w="61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 xml:space="preserve">15 </w:t>
            </w:r>
            <w:r w:rsidR="00085006" w:rsidRPr="00DB0AC3">
              <w:rPr>
                <w:rFonts w:cs="Arial"/>
                <w:color w:val="000000"/>
                <w:sz w:val="20"/>
                <w:lang w:val="ru-RU"/>
              </w:rPr>
              <w:t>302</w:t>
            </w:r>
          </w:p>
        </w:tc>
        <w:tc>
          <w:tcPr>
            <w:tcW w:w="42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74"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 xml:space="preserve">19 </w:t>
            </w:r>
            <w:r w:rsidR="00085006" w:rsidRPr="00DB0AC3">
              <w:rPr>
                <w:rFonts w:cs="Arial"/>
                <w:color w:val="000000"/>
                <w:sz w:val="20"/>
                <w:lang w:val="ru-RU"/>
              </w:rPr>
              <w:t>602</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r w:rsidRPr="00DB0AC3">
              <w:rPr>
                <w:rFonts w:cs="Arial"/>
                <w:color w:val="000000"/>
                <w:sz w:val="20"/>
                <w:lang w:val="ru-RU"/>
              </w:rPr>
              <w:t>Трансферы</w:t>
            </w:r>
          </w:p>
        </w:tc>
        <w:tc>
          <w:tcPr>
            <w:tcW w:w="595"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561"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430</w:t>
            </w:r>
          </w:p>
        </w:tc>
        <w:tc>
          <w:tcPr>
            <w:tcW w:w="580"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18 980</w:t>
            </w:r>
          </w:p>
        </w:tc>
        <w:tc>
          <w:tcPr>
            <w:tcW w:w="618"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(19 410)</w:t>
            </w:r>
          </w:p>
        </w:tc>
        <w:tc>
          <w:tcPr>
            <w:tcW w:w="425" w:type="pct"/>
            <w:shd w:val="clear" w:color="auto" w:fill="auto"/>
          </w:tcPr>
          <w:p w:rsidR="006F1039" w:rsidRPr="00DB0AC3" w:rsidRDefault="00085006"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574" w:type="pct"/>
            <w:shd w:val="clear" w:color="auto" w:fill="auto"/>
          </w:tcPr>
          <w:p w:rsidR="006F1039" w:rsidRPr="00DB0AC3" w:rsidRDefault="006F1039" w:rsidP="00085006">
            <w:pPr>
              <w:autoSpaceDE w:val="0"/>
              <w:autoSpaceDN w:val="0"/>
              <w:adjustRightInd w:val="0"/>
              <w:jc w:val="right"/>
              <w:rPr>
                <w:rFonts w:cs="Arial"/>
                <w:color w:val="000000"/>
                <w:sz w:val="20"/>
                <w:lang w:val="ru-RU"/>
              </w:rPr>
            </w:pPr>
            <w:r w:rsidRPr="00DB0AC3">
              <w:rPr>
                <w:rFonts w:cs="Arial"/>
                <w:color w:val="000000"/>
                <w:sz w:val="20"/>
                <w:lang w:val="ru-RU"/>
              </w:rPr>
              <w:t>-</w:t>
            </w:r>
          </w:p>
        </w:tc>
      </w:tr>
      <w:tr w:rsidR="006F1039" w:rsidRPr="00DB0AC3" w:rsidTr="00C17872">
        <w:trPr>
          <w:trHeight w:val="148"/>
        </w:trPr>
        <w:tc>
          <w:tcPr>
            <w:tcW w:w="1042" w:type="pct"/>
            <w:shd w:val="clear" w:color="auto" w:fill="auto"/>
          </w:tcPr>
          <w:p w:rsidR="006F1039" w:rsidRPr="00DB0AC3" w:rsidRDefault="006F1039" w:rsidP="00C17872">
            <w:pPr>
              <w:autoSpaceDE w:val="0"/>
              <w:autoSpaceDN w:val="0"/>
              <w:adjustRightInd w:val="0"/>
              <w:rPr>
                <w:rFonts w:cs="Arial"/>
                <w:color w:val="000000"/>
                <w:sz w:val="20"/>
                <w:lang w:val="ru-RU"/>
              </w:rPr>
            </w:pPr>
          </w:p>
        </w:tc>
        <w:tc>
          <w:tcPr>
            <w:tcW w:w="595"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61"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05"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c>
          <w:tcPr>
            <w:tcW w:w="580"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c>
          <w:tcPr>
            <w:tcW w:w="618"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425"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p>
        </w:tc>
        <w:tc>
          <w:tcPr>
            <w:tcW w:w="574" w:type="pct"/>
            <w:tcBorders>
              <w:top w:val="sing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2014</w:t>
            </w:r>
          </w:p>
        </w:tc>
        <w:tc>
          <w:tcPr>
            <w:tcW w:w="59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(173 </w:t>
            </w:r>
            <w:r w:rsidR="00085006" w:rsidRPr="00DB0AC3">
              <w:rPr>
                <w:rFonts w:cs="Arial"/>
                <w:b/>
                <w:bCs/>
                <w:color w:val="000000"/>
                <w:sz w:val="20"/>
                <w:lang w:val="ru-RU"/>
              </w:rPr>
              <w:t>004</w:t>
            </w:r>
            <w:r w:rsidRPr="00DB0AC3">
              <w:rPr>
                <w:rFonts w:cs="Arial"/>
                <w:b/>
                <w:bCs/>
                <w:color w:val="000000"/>
                <w:sz w:val="20"/>
                <w:lang w:val="ru-RU"/>
              </w:rPr>
              <w:t>)</w:t>
            </w:r>
          </w:p>
        </w:tc>
        <w:tc>
          <w:tcPr>
            <w:tcW w:w="561"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w:t>
            </w:r>
          </w:p>
        </w:tc>
        <w:tc>
          <w:tcPr>
            <w:tcW w:w="60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(5 734)</w:t>
            </w:r>
          </w:p>
        </w:tc>
        <w:tc>
          <w:tcPr>
            <w:tcW w:w="580"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(22 </w:t>
            </w:r>
            <w:r w:rsidR="00085006" w:rsidRPr="00DB0AC3">
              <w:rPr>
                <w:rFonts w:cs="Arial"/>
                <w:b/>
                <w:bCs/>
                <w:color w:val="000000"/>
                <w:sz w:val="20"/>
                <w:lang w:val="ru-RU"/>
              </w:rPr>
              <w:t>087</w:t>
            </w:r>
            <w:r w:rsidRPr="00DB0AC3">
              <w:rPr>
                <w:rFonts w:cs="Arial"/>
                <w:b/>
                <w:bCs/>
                <w:color w:val="000000"/>
                <w:sz w:val="20"/>
                <w:lang w:val="ru-RU"/>
              </w:rPr>
              <w:t>)</w:t>
            </w:r>
          </w:p>
        </w:tc>
        <w:tc>
          <w:tcPr>
            <w:tcW w:w="618"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(90 810)</w:t>
            </w:r>
          </w:p>
        </w:tc>
        <w:tc>
          <w:tcPr>
            <w:tcW w:w="425"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(74)</w:t>
            </w:r>
          </w:p>
        </w:tc>
        <w:tc>
          <w:tcPr>
            <w:tcW w:w="574" w:type="pct"/>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(291 </w:t>
            </w:r>
            <w:r w:rsidR="00085006" w:rsidRPr="00DB0AC3">
              <w:rPr>
                <w:rFonts w:cs="Arial"/>
                <w:b/>
                <w:bCs/>
                <w:color w:val="000000"/>
                <w:sz w:val="20"/>
                <w:lang w:val="ru-RU"/>
              </w:rPr>
              <w:t>709</w:t>
            </w:r>
            <w:r w:rsidRPr="00DB0AC3">
              <w:rPr>
                <w:rFonts w:cs="Arial"/>
                <w:b/>
                <w:bCs/>
                <w:color w:val="000000"/>
                <w:sz w:val="20"/>
                <w:lang w:val="ru-RU"/>
              </w:rPr>
              <w:t>)</w:t>
            </w:r>
          </w:p>
        </w:tc>
      </w:tr>
      <w:tr w:rsidR="006F1039" w:rsidRPr="00DB0AC3" w:rsidTr="00C17872">
        <w:trPr>
          <w:trHeight w:val="290"/>
        </w:trPr>
        <w:tc>
          <w:tcPr>
            <w:tcW w:w="1042" w:type="pct"/>
            <w:shd w:val="clear" w:color="auto" w:fill="auto"/>
          </w:tcPr>
          <w:p w:rsidR="006F1039" w:rsidRPr="00DB0AC3" w:rsidRDefault="006F1039" w:rsidP="00C17872">
            <w:pPr>
              <w:autoSpaceDE w:val="0"/>
              <w:autoSpaceDN w:val="0"/>
              <w:adjustRightInd w:val="0"/>
              <w:jc w:val="right"/>
              <w:rPr>
                <w:rFonts w:cs="Arial"/>
                <w:b/>
                <w:bCs/>
                <w:color w:val="000000"/>
                <w:sz w:val="20"/>
                <w:lang w:val="ru-RU"/>
              </w:rPr>
            </w:pPr>
          </w:p>
        </w:tc>
        <w:tc>
          <w:tcPr>
            <w:tcW w:w="595"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61"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605"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80"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618"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425"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c>
          <w:tcPr>
            <w:tcW w:w="574" w:type="pct"/>
            <w:shd w:val="clear" w:color="auto" w:fill="auto"/>
          </w:tcPr>
          <w:p w:rsidR="006F1039" w:rsidRPr="00DB0AC3" w:rsidRDefault="006F1039" w:rsidP="00C17872">
            <w:pPr>
              <w:autoSpaceDE w:val="0"/>
              <w:autoSpaceDN w:val="0"/>
              <w:adjustRightInd w:val="0"/>
              <w:jc w:val="center"/>
              <w:rPr>
                <w:rFonts w:cs="Arial"/>
                <w:b/>
                <w:bCs/>
                <w:color w:val="000000"/>
                <w:sz w:val="20"/>
                <w:lang w:val="ru-RU"/>
              </w:rPr>
            </w:pPr>
          </w:p>
        </w:tc>
      </w:tr>
    </w:tbl>
    <w:p w:rsidR="006F1039" w:rsidRPr="00DB0AC3" w:rsidRDefault="006F1039" w:rsidP="006F1039">
      <w:pPr>
        <w:rPr>
          <w:rFonts w:cs="Arial"/>
          <w:sz w:val="20"/>
          <w:lang w:val="ru-RU"/>
        </w:rPr>
      </w:pPr>
      <w:r w:rsidRPr="00DB0AC3">
        <w:rPr>
          <w:rFonts w:cs="Arial"/>
          <w:sz w:val="20"/>
          <w:lang w:val="ru-RU"/>
        </w:rPr>
        <w:t>Остаточная стоимость</w:t>
      </w:r>
    </w:p>
    <w:tbl>
      <w:tblPr>
        <w:tblW w:w="5000" w:type="pct"/>
        <w:tblCellMar>
          <w:left w:w="30" w:type="dxa"/>
          <w:right w:w="30" w:type="dxa"/>
        </w:tblCellMar>
        <w:tblLook w:val="0000"/>
      </w:tblPr>
      <w:tblGrid>
        <w:gridCol w:w="2016"/>
        <w:gridCol w:w="1148"/>
        <w:gridCol w:w="1085"/>
        <w:gridCol w:w="1170"/>
        <w:gridCol w:w="1121"/>
        <w:gridCol w:w="1195"/>
        <w:gridCol w:w="822"/>
        <w:gridCol w:w="1110"/>
      </w:tblGrid>
      <w:tr w:rsidR="006F1039" w:rsidRPr="00DB0AC3" w:rsidTr="00C17872">
        <w:trPr>
          <w:trHeight w:val="305"/>
        </w:trPr>
        <w:tc>
          <w:tcPr>
            <w:tcW w:w="1042" w:type="pct"/>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2014</w:t>
            </w:r>
          </w:p>
        </w:tc>
        <w:tc>
          <w:tcPr>
            <w:tcW w:w="593" w:type="pct"/>
            <w:tcBorders>
              <w:bottom w:val="doub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1 893 927  </w:t>
            </w:r>
          </w:p>
        </w:tc>
        <w:tc>
          <w:tcPr>
            <w:tcW w:w="561" w:type="pct"/>
            <w:tcBorders>
              <w:bottom w:val="doub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w:t>
            </w:r>
            <w:r w:rsidR="00085006" w:rsidRPr="00DB0AC3">
              <w:rPr>
                <w:rFonts w:cs="Arial"/>
                <w:b/>
                <w:bCs/>
                <w:color w:val="000000"/>
                <w:sz w:val="20"/>
                <w:lang w:val="ru-RU"/>
              </w:rPr>
              <w:t>329</w:t>
            </w:r>
          </w:p>
        </w:tc>
        <w:tc>
          <w:tcPr>
            <w:tcW w:w="605" w:type="pct"/>
            <w:tcBorders>
              <w:bottom w:val="doub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w:t>
            </w:r>
            <w:r w:rsidR="00085006" w:rsidRPr="00DB0AC3">
              <w:rPr>
                <w:rFonts w:cs="Arial"/>
                <w:b/>
                <w:bCs/>
                <w:color w:val="000000"/>
                <w:sz w:val="20"/>
                <w:lang w:val="ru-RU"/>
              </w:rPr>
              <w:t>375</w:t>
            </w:r>
          </w:p>
        </w:tc>
        <w:tc>
          <w:tcPr>
            <w:tcW w:w="580" w:type="pct"/>
            <w:tcBorders>
              <w:bottom w:val="double" w:sz="4" w:space="0" w:color="auto"/>
            </w:tcBorders>
            <w:shd w:val="clear" w:color="auto" w:fill="auto"/>
          </w:tcPr>
          <w:p w:rsidR="006F1039" w:rsidRPr="00DB0AC3" w:rsidRDefault="006F1039" w:rsidP="008546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4 </w:t>
            </w:r>
            <w:r w:rsidR="00854606" w:rsidRPr="00DB0AC3">
              <w:rPr>
                <w:rFonts w:cs="Arial"/>
                <w:b/>
                <w:bCs/>
                <w:color w:val="000000"/>
                <w:sz w:val="20"/>
                <w:lang w:val="ru-RU"/>
              </w:rPr>
              <w:t>146</w:t>
            </w:r>
          </w:p>
        </w:tc>
        <w:tc>
          <w:tcPr>
            <w:tcW w:w="618" w:type="pct"/>
            <w:tcBorders>
              <w:bottom w:val="doub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30 962  </w:t>
            </w:r>
          </w:p>
        </w:tc>
        <w:tc>
          <w:tcPr>
            <w:tcW w:w="425" w:type="pct"/>
            <w:tcBorders>
              <w:bottom w:val="doub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w:t>
            </w:r>
            <w:r w:rsidR="00085006" w:rsidRPr="00DB0AC3">
              <w:rPr>
                <w:rFonts w:cs="Arial"/>
                <w:b/>
                <w:bCs/>
                <w:color w:val="000000"/>
                <w:sz w:val="20"/>
                <w:lang w:val="ru-RU"/>
              </w:rPr>
              <w:t>031</w:t>
            </w:r>
          </w:p>
        </w:tc>
        <w:tc>
          <w:tcPr>
            <w:tcW w:w="574" w:type="pct"/>
            <w:tcBorders>
              <w:bottom w:val="double" w:sz="4" w:space="0" w:color="auto"/>
            </w:tcBorders>
            <w:shd w:val="clear" w:color="auto" w:fill="auto"/>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1 932 </w:t>
            </w:r>
            <w:r w:rsidR="00085006" w:rsidRPr="00DB0AC3">
              <w:rPr>
                <w:rFonts w:cs="Arial"/>
                <w:b/>
                <w:bCs/>
                <w:color w:val="000000"/>
                <w:sz w:val="20"/>
                <w:lang w:val="ru-RU"/>
              </w:rPr>
              <w:t>770</w:t>
            </w:r>
          </w:p>
        </w:tc>
      </w:tr>
      <w:tr w:rsidR="006F1039" w:rsidRPr="00DB0AC3" w:rsidTr="00C17872">
        <w:trPr>
          <w:trHeight w:val="305"/>
        </w:trPr>
        <w:tc>
          <w:tcPr>
            <w:tcW w:w="1042" w:type="pct"/>
          </w:tcPr>
          <w:p w:rsidR="006F1039" w:rsidRPr="00DB0AC3" w:rsidRDefault="006F1039" w:rsidP="00C17872">
            <w:pPr>
              <w:autoSpaceDE w:val="0"/>
              <w:autoSpaceDN w:val="0"/>
              <w:adjustRightInd w:val="0"/>
              <w:jc w:val="right"/>
              <w:rPr>
                <w:rFonts w:cs="Arial"/>
                <w:color w:val="000000"/>
                <w:sz w:val="20"/>
                <w:lang w:val="ru-RU"/>
              </w:rPr>
            </w:pPr>
          </w:p>
        </w:tc>
        <w:tc>
          <w:tcPr>
            <w:tcW w:w="593"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61"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05"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80"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618"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425"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c>
          <w:tcPr>
            <w:tcW w:w="574" w:type="pct"/>
            <w:tcBorders>
              <w:top w:val="double" w:sz="4" w:space="0" w:color="auto"/>
            </w:tcBorders>
            <w:shd w:val="clear" w:color="auto" w:fill="auto"/>
          </w:tcPr>
          <w:p w:rsidR="006F1039" w:rsidRPr="00DB0AC3" w:rsidRDefault="006F1039" w:rsidP="00085006">
            <w:pPr>
              <w:autoSpaceDE w:val="0"/>
              <w:autoSpaceDN w:val="0"/>
              <w:adjustRightInd w:val="0"/>
              <w:jc w:val="right"/>
              <w:rPr>
                <w:rFonts w:cs="Arial"/>
                <w:color w:val="000000"/>
                <w:sz w:val="20"/>
                <w:lang w:val="ru-RU"/>
              </w:rPr>
            </w:pPr>
          </w:p>
        </w:tc>
      </w:tr>
      <w:tr w:rsidR="006F1039" w:rsidRPr="00DB0AC3" w:rsidTr="00C17872">
        <w:trPr>
          <w:trHeight w:val="305"/>
        </w:trPr>
        <w:tc>
          <w:tcPr>
            <w:tcW w:w="1042" w:type="pct"/>
          </w:tcPr>
          <w:p w:rsidR="006F1039" w:rsidRPr="00DB0AC3" w:rsidRDefault="006F1039" w:rsidP="00C17872">
            <w:pPr>
              <w:autoSpaceDE w:val="0"/>
              <w:autoSpaceDN w:val="0"/>
              <w:adjustRightInd w:val="0"/>
              <w:rPr>
                <w:rFonts w:cs="Arial"/>
                <w:b/>
                <w:bCs/>
                <w:color w:val="000000"/>
                <w:sz w:val="20"/>
                <w:lang w:val="ru-RU"/>
              </w:rPr>
            </w:pPr>
            <w:r w:rsidRPr="00DB0AC3">
              <w:rPr>
                <w:rFonts w:cs="Arial"/>
                <w:b/>
                <w:bCs/>
                <w:color w:val="000000"/>
                <w:sz w:val="20"/>
                <w:lang w:val="ru-RU"/>
              </w:rPr>
              <w:t>На 31 декабря 2013</w:t>
            </w:r>
          </w:p>
        </w:tc>
        <w:tc>
          <w:tcPr>
            <w:tcW w:w="593" w:type="pct"/>
            <w:tcBorders>
              <w:bottom w:val="double" w:sz="4" w:space="0" w:color="auto"/>
            </w:tcBorders>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1 910 682  </w:t>
            </w:r>
          </w:p>
        </w:tc>
        <w:tc>
          <w:tcPr>
            <w:tcW w:w="561" w:type="pct"/>
            <w:tcBorders>
              <w:bottom w:val="double" w:sz="4" w:space="0" w:color="auto"/>
            </w:tcBorders>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19 040  </w:t>
            </w:r>
          </w:p>
        </w:tc>
        <w:tc>
          <w:tcPr>
            <w:tcW w:w="605" w:type="pct"/>
            <w:tcBorders>
              <w:bottom w:val="double" w:sz="4" w:space="0" w:color="auto"/>
            </w:tcBorders>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2 758  </w:t>
            </w:r>
          </w:p>
        </w:tc>
        <w:tc>
          <w:tcPr>
            <w:tcW w:w="580" w:type="pct"/>
            <w:tcBorders>
              <w:bottom w:val="double" w:sz="4" w:space="0" w:color="auto"/>
            </w:tcBorders>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7 376  </w:t>
            </w:r>
          </w:p>
        </w:tc>
        <w:tc>
          <w:tcPr>
            <w:tcW w:w="618" w:type="pct"/>
            <w:tcBorders>
              <w:bottom w:val="double" w:sz="4" w:space="0" w:color="auto"/>
            </w:tcBorders>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 xml:space="preserve">33 242  </w:t>
            </w:r>
          </w:p>
        </w:tc>
        <w:tc>
          <w:tcPr>
            <w:tcW w:w="425" w:type="pct"/>
            <w:tcBorders>
              <w:bottom w:val="double" w:sz="4" w:space="0" w:color="auto"/>
            </w:tcBorders>
          </w:tcPr>
          <w:p w:rsidR="006F1039" w:rsidRPr="00DB0AC3" w:rsidRDefault="00787D9D" w:rsidP="00085006">
            <w:pPr>
              <w:autoSpaceDE w:val="0"/>
              <w:autoSpaceDN w:val="0"/>
              <w:adjustRightInd w:val="0"/>
              <w:jc w:val="right"/>
              <w:rPr>
                <w:rFonts w:cs="Arial"/>
                <w:b/>
                <w:bCs/>
                <w:color w:val="000000"/>
                <w:sz w:val="20"/>
                <w:lang w:val="ru-RU"/>
              </w:rPr>
            </w:pPr>
            <w:r w:rsidRPr="00DB0AC3">
              <w:rPr>
                <w:rFonts w:cs="Arial"/>
                <w:color w:val="000000"/>
                <w:sz w:val="20"/>
                <w:lang w:val="ru-RU"/>
              </w:rPr>
              <w:t>-</w:t>
            </w:r>
          </w:p>
        </w:tc>
        <w:tc>
          <w:tcPr>
            <w:tcW w:w="574" w:type="pct"/>
            <w:tcBorders>
              <w:bottom w:val="double" w:sz="4" w:space="0" w:color="auto"/>
            </w:tcBorders>
          </w:tcPr>
          <w:p w:rsidR="006F1039" w:rsidRPr="00DB0AC3" w:rsidRDefault="006F1039" w:rsidP="00085006">
            <w:pPr>
              <w:autoSpaceDE w:val="0"/>
              <w:autoSpaceDN w:val="0"/>
              <w:adjustRightInd w:val="0"/>
              <w:jc w:val="right"/>
              <w:rPr>
                <w:rFonts w:cs="Arial"/>
                <w:b/>
                <w:bCs/>
                <w:color w:val="000000"/>
                <w:sz w:val="20"/>
                <w:lang w:val="ru-RU"/>
              </w:rPr>
            </w:pPr>
            <w:r w:rsidRPr="00DB0AC3">
              <w:rPr>
                <w:rFonts w:cs="Arial"/>
                <w:b/>
                <w:bCs/>
                <w:color w:val="000000"/>
                <w:sz w:val="20"/>
                <w:lang w:val="ru-RU"/>
              </w:rPr>
              <w:t>1 973 098</w:t>
            </w:r>
          </w:p>
        </w:tc>
      </w:tr>
    </w:tbl>
    <w:p w:rsidR="006F1039" w:rsidRPr="00DB0AC3" w:rsidRDefault="006F1039" w:rsidP="006F1039">
      <w:pPr>
        <w:rPr>
          <w:rFonts w:cs="Arial"/>
          <w:sz w:val="20"/>
          <w:lang w:val="ru-RU"/>
        </w:rPr>
      </w:pPr>
    </w:p>
    <w:p w:rsidR="006F1039" w:rsidRPr="00DB0AC3" w:rsidRDefault="006F1039" w:rsidP="00C670CE">
      <w:pPr>
        <w:jc w:val="both"/>
        <w:rPr>
          <w:rFonts w:cs="Arial"/>
          <w:color w:val="000000"/>
          <w:sz w:val="20"/>
          <w:lang w:val="ru-RU"/>
        </w:rPr>
      </w:pPr>
      <w:r w:rsidRPr="00DB0AC3">
        <w:rPr>
          <w:rFonts w:cs="Arial"/>
          <w:color w:val="000000"/>
          <w:sz w:val="20"/>
          <w:lang w:val="ru-RU"/>
        </w:rPr>
        <w:lastRenderedPageBreak/>
        <w:t xml:space="preserve">По состоянию на 31 декабря 2014 здания, транспортные средства и банкоматы Банка были застрахованы на сумму </w:t>
      </w:r>
      <w:r w:rsidR="00F20778" w:rsidRPr="00DB0AC3">
        <w:rPr>
          <w:rFonts w:cs="Arial"/>
          <w:color w:val="000000"/>
          <w:sz w:val="20"/>
          <w:lang w:val="ru-RU"/>
        </w:rPr>
        <w:t xml:space="preserve">304 780 </w:t>
      </w:r>
      <w:r w:rsidR="0027729C" w:rsidRPr="00DB0AC3">
        <w:rPr>
          <w:rFonts w:cs="Arial"/>
          <w:color w:val="000000"/>
          <w:sz w:val="20"/>
          <w:lang w:val="ru-RU"/>
        </w:rPr>
        <w:t>тысяч рублей</w:t>
      </w:r>
      <w:r w:rsidR="00102A94">
        <w:rPr>
          <w:rFonts w:cs="Arial"/>
          <w:color w:val="000000"/>
          <w:sz w:val="20"/>
          <w:lang w:val="ru-RU"/>
        </w:rPr>
        <w:t xml:space="preserve"> </w:t>
      </w:r>
      <w:r w:rsidRPr="00DB0AC3">
        <w:rPr>
          <w:rFonts w:cs="Arial"/>
          <w:color w:val="000000"/>
          <w:sz w:val="20"/>
          <w:lang w:val="ru-RU"/>
        </w:rPr>
        <w:t>(31 декабря 2013: 274</w:t>
      </w:r>
      <w:r w:rsidR="00102A94">
        <w:rPr>
          <w:rFonts w:cs="Arial"/>
          <w:color w:val="000000"/>
          <w:sz w:val="20"/>
          <w:lang w:val="ru-RU"/>
        </w:rPr>
        <w:t> </w:t>
      </w:r>
      <w:r w:rsidRPr="00DB0AC3">
        <w:rPr>
          <w:rFonts w:cs="Arial"/>
          <w:color w:val="000000"/>
          <w:sz w:val="20"/>
          <w:lang w:val="ru-RU"/>
        </w:rPr>
        <w:t>866</w:t>
      </w:r>
      <w:r w:rsidR="00102A94">
        <w:rPr>
          <w:rFonts w:cs="Arial"/>
          <w:color w:val="000000"/>
          <w:sz w:val="20"/>
          <w:lang w:val="ru-RU"/>
        </w:rPr>
        <w:t xml:space="preserve"> </w:t>
      </w:r>
      <w:r w:rsidR="0027729C" w:rsidRPr="00DB0AC3">
        <w:rPr>
          <w:rFonts w:cs="Arial"/>
          <w:color w:val="000000"/>
          <w:sz w:val="20"/>
          <w:lang w:val="ru-RU"/>
        </w:rPr>
        <w:t>тысяч рублей</w:t>
      </w:r>
      <w:r w:rsidRPr="00DB0AC3">
        <w:rPr>
          <w:rFonts w:cs="Arial"/>
          <w:color w:val="000000"/>
          <w:sz w:val="20"/>
          <w:lang w:val="ru-RU"/>
        </w:rPr>
        <w:t xml:space="preserve">). Здания и прочие основные средства Банка не имеют полного страхового покрытия. </w:t>
      </w:r>
    </w:p>
    <w:p w:rsidR="006F1039" w:rsidRPr="00DB0AC3" w:rsidRDefault="006F1039" w:rsidP="00C670CE">
      <w:pPr>
        <w:jc w:val="both"/>
        <w:rPr>
          <w:rFonts w:cs="Arial"/>
          <w:color w:val="000000"/>
          <w:sz w:val="20"/>
          <w:lang w:val="ru-RU"/>
        </w:rPr>
      </w:pPr>
      <w:r w:rsidRPr="00DB0AC3">
        <w:rPr>
          <w:rFonts w:cs="Arial"/>
          <w:color w:val="000000"/>
          <w:sz w:val="20"/>
          <w:lang w:val="ru-RU"/>
        </w:rPr>
        <w:t>По состоянию на 31 декабря 2014 первоначальная стоимость полностью изношенных активов составила 58</w:t>
      </w:r>
      <w:r w:rsidR="00102A94">
        <w:rPr>
          <w:rFonts w:cs="Arial"/>
          <w:color w:val="000000"/>
          <w:sz w:val="20"/>
          <w:lang w:val="ru-RU"/>
        </w:rPr>
        <w:t> </w:t>
      </w:r>
      <w:r w:rsidRPr="00DB0AC3">
        <w:rPr>
          <w:rFonts w:cs="Arial"/>
          <w:color w:val="000000"/>
          <w:sz w:val="20"/>
          <w:lang w:val="ru-RU"/>
        </w:rPr>
        <w:t>869</w:t>
      </w:r>
      <w:r w:rsidR="00102A94">
        <w:rPr>
          <w:rFonts w:cs="Arial"/>
          <w:color w:val="000000"/>
          <w:sz w:val="20"/>
          <w:lang w:val="ru-RU"/>
        </w:rPr>
        <w:t xml:space="preserve"> </w:t>
      </w:r>
      <w:r w:rsidR="0027729C" w:rsidRPr="00DB0AC3">
        <w:rPr>
          <w:rFonts w:cs="Arial"/>
          <w:color w:val="000000"/>
          <w:sz w:val="20"/>
          <w:lang w:val="ru-RU"/>
        </w:rPr>
        <w:t>тысяч рублей</w:t>
      </w:r>
      <w:r w:rsidR="00102A94">
        <w:rPr>
          <w:rFonts w:cs="Arial"/>
          <w:color w:val="000000"/>
          <w:sz w:val="20"/>
          <w:lang w:val="ru-RU"/>
        </w:rPr>
        <w:t xml:space="preserve"> </w:t>
      </w:r>
      <w:r w:rsidRPr="00DB0AC3">
        <w:rPr>
          <w:rFonts w:cs="Arial"/>
          <w:color w:val="000000"/>
          <w:sz w:val="20"/>
          <w:lang w:val="ru-RU"/>
        </w:rPr>
        <w:t>(31 декабря 2013: 45</w:t>
      </w:r>
      <w:r w:rsidR="00102A94">
        <w:rPr>
          <w:rFonts w:cs="Arial"/>
          <w:color w:val="000000"/>
          <w:sz w:val="20"/>
          <w:lang w:val="ru-RU"/>
        </w:rPr>
        <w:t> </w:t>
      </w:r>
      <w:r w:rsidRPr="00DB0AC3">
        <w:rPr>
          <w:rFonts w:cs="Arial"/>
          <w:color w:val="000000"/>
          <w:sz w:val="20"/>
          <w:lang w:val="ru-RU"/>
        </w:rPr>
        <w:t>965</w:t>
      </w:r>
      <w:r w:rsidR="00102A94">
        <w:rPr>
          <w:rFonts w:cs="Arial"/>
          <w:color w:val="000000"/>
          <w:sz w:val="20"/>
          <w:lang w:val="ru-RU"/>
        </w:rPr>
        <w:t xml:space="preserve"> </w:t>
      </w:r>
      <w:r w:rsidR="0027729C" w:rsidRPr="00DB0AC3">
        <w:rPr>
          <w:rFonts w:cs="Arial"/>
          <w:color w:val="000000"/>
          <w:sz w:val="20"/>
          <w:lang w:val="ru-RU"/>
        </w:rPr>
        <w:t>тысяч рублей</w:t>
      </w:r>
      <w:r w:rsidRPr="00DB0AC3">
        <w:rPr>
          <w:rFonts w:cs="Arial"/>
          <w:color w:val="000000"/>
          <w:sz w:val="20"/>
          <w:lang w:val="ru-RU"/>
        </w:rPr>
        <w:t>). Эти активы отражаются в отчете о финансовом положении по нулевой остаточной стоимости.</w:t>
      </w:r>
    </w:p>
    <w:p w:rsidR="006F1039" w:rsidRDefault="006F1039" w:rsidP="006F1039">
      <w:pPr>
        <w:pStyle w:val="210"/>
        <w:shd w:val="clear" w:color="auto" w:fill="auto"/>
        <w:ind w:firstLine="0"/>
        <w:rPr>
          <w:b w:val="0"/>
          <w:sz w:val="20"/>
          <w:szCs w:val="20"/>
        </w:rPr>
      </w:pPr>
    </w:p>
    <w:p w:rsidR="003D6F26" w:rsidRDefault="003D6F26" w:rsidP="006F1039">
      <w:pPr>
        <w:pStyle w:val="210"/>
        <w:shd w:val="clear" w:color="auto" w:fill="auto"/>
        <w:ind w:firstLine="0"/>
        <w:rPr>
          <w:b w:val="0"/>
          <w:sz w:val="20"/>
          <w:szCs w:val="20"/>
        </w:rPr>
      </w:pPr>
    </w:p>
    <w:p w:rsidR="003D6F26" w:rsidRPr="00DB0AC3" w:rsidRDefault="003D6F26" w:rsidP="006F1039">
      <w:pPr>
        <w:pStyle w:val="210"/>
        <w:shd w:val="clear" w:color="auto" w:fill="auto"/>
        <w:ind w:firstLine="0"/>
        <w:rPr>
          <w:b w:val="0"/>
          <w:sz w:val="20"/>
          <w:szCs w:val="20"/>
        </w:rPr>
      </w:pPr>
    </w:p>
    <w:p w:rsidR="006572FF" w:rsidRPr="00DB0AC3" w:rsidRDefault="006F1039" w:rsidP="00360E6A">
      <w:pPr>
        <w:pStyle w:val="1"/>
        <w:keepLines/>
        <w:numPr>
          <w:ilvl w:val="0"/>
          <w:numId w:val="3"/>
        </w:numPr>
        <w:spacing w:before="0"/>
        <w:rPr>
          <w:rFonts w:cs="Arial"/>
          <w:lang w:val="ru-RU"/>
        </w:rPr>
      </w:pPr>
      <w:bookmarkStart w:id="149" w:name="_Toc441479802"/>
      <w:bookmarkEnd w:id="146"/>
      <w:bookmarkEnd w:id="147"/>
      <w:r w:rsidRPr="00DB0AC3">
        <w:rPr>
          <w:rFonts w:cs="Arial"/>
          <w:lang w:val="ru-RU"/>
        </w:rPr>
        <w:t>Средства других банков</w:t>
      </w:r>
      <w:bookmarkEnd w:id="149"/>
    </w:p>
    <w:tbl>
      <w:tblPr>
        <w:tblW w:w="5000" w:type="pct"/>
        <w:tblLook w:val="04A0"/>
      </w:tblPr>
      <w:tblGrid>
        <w:gridCol w:w="6399"/>
        <w:gridCol w:w="1450"/>
        <w:gridCol w:w="1974"/>
      </w:tblGrid>
      <w:tr w:rsidR="006F1039" w:rsidRPr="00DB0AC3" w:rsidTr="00892514">
        <w:trPr>
          <w:trHeight w:val="300"/>
        </w:trPr>
        <w:tc>
          <w:tcPr>
            <w:tcW w:w="3257"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bookmarkStart w:id="150" w:name="_Ref255499621"/>
            <w:bookmarkStart w:id="151" w:name="_Ref255499630"/>
            <w:bookmarkStart w:id="152" w:name="_Ref255499851"/>
            <w:bookmarkStart w:id="153" w:name="_Toc416086222"/>
            <w:bookmarkEnd w:id="148"/>
          </w:p>
        </w:tc>
        <w:tc>
          <w:tcPr>
            <w:tcW w:w="738" w:type="pct"/>
            <w:tcBorders>
              <w:top w:val="nil"/>
              <w:left w:val="nil"/>
              <w:bottom w:val="single" w:sz="4" w:space="0" w:color="auto"/>
              <w:right w:val="nil"/>
            </w:tcBorders>
            <w:shd w:val="clear" w:color="auto" w:fill="auto"/>
            <w:vAlign w:val="bottom"/>
            <w:hideMark/>
          </w:tcPr>
          <w:p w:rsidR="006F1039" w:rsidRPr="00DB0AC3" w:rsidRDefault="006F1039" w:rsidP="00C17872">
            <w:pPr>
              <w:jc w:val="right"/>
              <w:rPr>
                <w:rFonts w:cs="Arial"/>
                <w:b/>
                <w:bCs/>
                <w:color w:val="000000"/>
                <w:sz w:val="20"/>
                <w:lang w:val="ru-RU"/>
              </w:rPr>
            </w:pPr>
            <w:r w:rsidRPr="00DB0AC3">
              <w:rPr>
                <w:rFonts w:cs="Arial"/>
                <w:b/>
                <w:bCs/>
                <w:color w:val="000000"/>
                <w:sz w:val="20"/>
                <w:lang w:val="ru-RU"/>
              </w:rPr>
              <w:t>31 декабря 2014</w:t>
            </w:r>
          </w:p>
        </w:tc>
        <w:tc>
          <w:tcPr>
            <w:tcW w:w="1006" w:type="pct"/>
            <w:tcBorders>
              <w:top w:val="nil"/>
              <w:left w:val="nil"/>
              <w:bottom w:val="single" w:sz="4" w:space="0" w:color="auto"/>
              <w:right w:val="nil"/>
            </w:tcBorders>
            <w:shd w:val="clear" w:color="auto" w:fill="auto"/>
            <w:vAlign w:val="bottom"/>
            <w:hideMark/>
          </w:tcPr>
          <w:p w:rsidR="006F1039" w:rsidRPr="00DB0AC3" w:rsidRDefault="006F1039" w:rsidP="00C17872">
            <w:pPr>
              <w:jc w:val="right"/>
              <w:rPr>
                <w:rFonts w:cs="Arial"/>
                <w:b/>
                <w:bCs/>
                <w:color w:val="000000"/>
                <w:sz w:val="20"/>
                <w:lang w:val="ru-RU"/>
              </w:rPr>
            </w:pPr>
            <w:r w:rsidRPr="00DB0AC3">
              <w:rPr>
                <w:rFonts w:cs="Arial"/>
                <w:b/>
                <w:bCs/>
                <w:color w:val="000000"/>
                <w:sz w:val="20"/>
                <w:lang w:val="ru-RU"/>
              </w:rPr>
              <w:t>31 декабря 2013</w:t>
            </w:r>
          </w:p>
        </w:tc>
      </w:tr>
      <w:tr w:rsidR="006F1039" w:rsidRPr="00DB0AC3" w:rsidTr="00892514">
        <w:trPr>
          <w:trHeight w:val="300"/>
        </w:trPr>
        <w:tc>
          <w:tcPr>
            <w:tcW w:w="3257"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Краткосрочные кредиты других банков</w:t>
            </w:r>
          </w:p>
        </w:tc>
        <w:tc>
          <w:tcPr>
            <w:tcW w:w="738"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315 734</w:t>
            </w:r>
          </w:p>
        </w:tc>
        <w:tc>
          <w:tcPr>
            <w:tcW w:w="100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2 732 209</w:t>
            </w:r>
          </w:p>
        </w:tc>
      </w:tr>
      <w:tr w:rsidR="006F1039" w:rsidRPr="00DB0AC3" w:rsidTr="00892514">
        <w:trPr>
          <w:trHeight w:val="300"/>
        </w:trPr>
        <w:tc>
          <w:tcPr>
            <w:tcW w:w="3257"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ЛОРО счета других банков</w:t>
            </w:r>
          </w:p>
        </w:tc>
        <w:tc>
          <w:tcPr>
            <w:tcW w:w="738" w:type="pct"/>
            <w:tcBorders>
              <w:top w:val="nil"/>
              <w:left w:val="nil"/>
              <w:bottom w:val="single" w:sz="4" w:space="0" w:color="auto"/>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95 649</w:t>
            </w:r>
          </w:p>
        </w:tc>
        <w:tc>
          <w:tcPr>
            <w:tcW w:w="1006" w:type="pct"/>
            <w:tcBorders>
              <w:top w:val="nil"/>
              <w:left w:val="nil"/>
              <w:bottom w:val="single" w:sz="4" w:space="0" w:color="auto"/>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133 660</w:t>
            </w:r>
          </w:p>
        </w:tc>
      </w:tr>
      <w:tr w:rsidR="006F1039" w:rsidRPr="00DB0AC3" w:rsidTr="00892514">
        <w:trPr>
          <w:trHeight w:val="315"/>
        </w:trPr>
        <w:tc>
          <w:tcPr>
            <w:tcW w:w="3257"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Итого средства других банков</w:t>
            </w:r>
          </w:p>
        </w:tc>
        <w:tc>
          <w:tcPr>
            <w:tcW w:w="738" w:type="pct"/>
            <w:tcBorders>
              <w:top w:val="nil"/>
              <w:left w:val="nil"/>
              <w:bottom w:val="double" w:sz="6" w:space="0" w:color="auto"/>
              <w:right w:val="nil"/>
            </w:tcBorders>
            <w:shd w:val="clear" w:color="auto" w:fill="auto"/>
            <w:noWrap/>
            <w:vAlign w:val="bottom"/>
            <w:hideMark/>
          </w:tcPr>
          <w:p w:rsidR="006F1039" w:rsidRPr="00DB0AC3" w:rsidRDefault="006F1039" w:rsidP="00C17872">
            <w:pPr>
              <w:jc w:val="right"/>
              <w:rPr>
                <w:rFonts w:cs="Arial"/>
                <w:b/>
                <w:bCs/>
                <w:color w:val="000000"/>
                <w:sz w:val="20"/>
                <w:lang w:val="ru-RU"/>
              </w:rPr>
            </w:pPr>
            <w:r w:rsidRPr="00DB0AC3">
              <w:rPr>
                <w:rFonts w:cs="Arial"/>
                <w:b/>
                <w:bCs/>
                <w:color w:val="000000"/>
                <w:sz w:val="20"/>
                <w:lang w:val="ru-RU"/>
              </w:rPr>
              <w:t>411 383</w:t>
            </w:r>
          </w:p>
        </w:tc>
        <w:tc>
          <w:tcPr>
            <w:tcW w:w="1006" w:type="pct"/>
            <w:tcBorders>
              <w:top w:val="nil"/>
              <w:left w:val="nil"/>
              <w:bottom w:val="double" w:sz="6" w:space="0" w:color="auto"/>
              <w:right w:val="nil"/>
            </w:tcBorders>
            <w:shd w:val="clear" w:color="auto" w:fill="auto"/>
            <w:noWrap/>
            <w:vAlign w:val="bottom"/>
            <w:hideMark/>
          </w:tcPr>
          <w:p w:rsidR="006F1039" w:rsidRPr="00DB0AC3" w:rsidRDefault="00892514" w:rsidP="00C17872">
            <w:pPr>
              <w:jc w:val="right"/>
              <w:rPr>
                <w:rFonts w:cs="Arial"/>
                <w:b/>
                <w:bCs/>
                <w:color w:val="000000"/>
                <w:sz w:val="20"/>
                <w:lang w:val="ru-RU"/>
              </w:rPr>
            </w:pPr>
            <w:r w:rsidRPr="00DB0AC3">
              <w:rPr>
                <w:rFonts w:cs="Arial"/>
                <w:b/>
                <w:bCs/>
                <w:color w:val="000000"/>
                <w:sz w:val="20"/>
                <w:lang w:val="ru-RU"/>
              </w:rPr>
              <w:t>2 865 869</w:t>
            </w:r>
          </w:p>
        </w:tc>
      </w:tr>
    </w:tbl>
    <w:p w:rsidR="00892514" w:rsidRPr="00DB0AC3" w:rsidRDefault="00892514" w:rsidP="006F1039">
      <w:pPr>
        <w:rPr>
          <w:rFonts w:cs="Arial"/>
          <w:color w:val="000000"/>
          <w:sz w:val="20"/>
          <w:lang w:val="ru-RU"/>
        </w:rPr>
      </w:pPr>
    </w:p>
    <w:p w:rsidR="006F1039" w:rsidRPr="00DB0AC3" w:rsidRDefault="006F1039" w:rsidP="006F1039">
      <w:pPr>
        <w:rPr>
          <w:rFonts w:cs="Arial"/>
          <w:color w:val="000000"/>
          <w:sz w:val="20"/>
          <w:lang w:val="ru-RU"/>
        </w:rPr>
      </w:pPr>
      <w:r w:rsidRPr="00DB0AC3">
        <w:rPr>
          <w:rFonts w:cs="Arial"/>
          <w:color w:val="000000"/>
          <w:sz w:val="20"/>
          <w:lang w:val="ru-RU"/>
        </w:rPr>
        <w:t>Краткосрочные кредиты других банков 31 декабря 2014 года представлены в следующей таблице:</w:t>
      </w:r>
    </w:p>
    <w:tbl>
      <w:tblPr>
        <w:tblW w:w="9654" w:type="dxa"/>
        <w:tblInd w:w="93" w:type="dxa"/>
        <w:tblLook w:val="04A0"/>
      </w:tblPr>
      <w:tblGrid>
        <w:gridCol w:w="3240"/>
        <w:gridCol w:w="1680"/>
        <w:gridCol w:w="1800"/>
        <w:gridCol w:w="1233"/>
        <w:gridCol w:w="1701"/>
      </w:tblGrid>
      <w:tr w:rsidR="006F1039" w:rsidRPr="00DB0AC3" w:rsidTr="003606F4">
        <w:trPr>
          <w:trHeight w:val="600"/>
        </w:trPr>
        <w:tc>
          <w:tcPr>
            <w:tcW w:w="3240" w:type="dxa"/>
            <w:tcBorders>
              <w:top w:val="nil"/>
              <w:left w:val="nil"/>
              <w:bottom w:val="single" w:sz="4" w:space="0" w:color="auto"/>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Название банка</w:t>
            </w:r>
          </w:p>
        </w:tc>
        <w:tc>
          <w:tcPr>
            <w:tcW w:w="1680" w:type="dxa"/>
            <w:tcBorders>
              <w:top w:val="nil"/>
              <w:left w:val="nil"/>
              <w:bottom w:val="single" w:sz="4" w:space="0" w:color="auto"/>
              <w:right w:val="nil"/>
            </w:tcBorders>
            <w:shd w:val="clear" w:color="auto" w:fill="auto"/>
            <w:noWrap/>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Получено</w:t>
            </w:r>
          </w:p>
        </w:tc>
        <w:tc>
          <w:tcPr>
            <w:tcW w:w="1800" w:type="dxa"/>
            <w:tcBorders>
              <w:top w:val="nil"/>
              <w:left w:val="nil"/>
              <w:bottom w:val="single" w:sz="4" w:space="0" w:color="auto"/>
              <w:right w:val="nil"/>
            </w:tcBorders>
            <w:shd w:val="clear" w:color="auto" w:fill="auto"/>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Дата погашения</w:t>
            </w:r>
          </w:p>
        </w:tc>
        <w:tc>
          <w:tcPr>
            <w:tcW w:w="1233" w:type="dxa"/>
            <w:tcBorders>
              <w:top w:val="nil"/>
              <w:left w:val="nil"/>
              <w:bottom w:val="single" w:sz="4" w:space="0" w:color="auto"/>
              <w:right w:val="nil"/>
            </w:tcBorders>
            <w:shd w:val="clear" w:color="auto" w:fill="auto"/>
            <w:noWrap/>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w:t>
            </w:r>
          </w:p>
        </w:tc>
        <w:tc>
          <w:tcPr>
            <w:tcW w:w="1701" w:type="dxa"/>
            <w:tcBorders>
              <w:top w:val="nil"/>
              <w:left w:val="nil"/>
              <w:bottom w:val="single" w:sz="4" w:space="0" w:color="auto"/>
              <w:right w:val="nil"/>
            </w:tcBorders>
            <w:shd w:val="clear" w:color="auto" w:fill="auto"/>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Остаток на конец года</w:t>
            </w:r>
          </w:p>
        </w:tc>
      </w:tr>
      <w:tr w:rsidR="006F1039" w:rsidRPr="00DB0AC3" w:rsidTr="003606F4">
        <w:trPr>
          <w:trHeight w:val="600"/>
        </w:trPr>
        <w:tc>
          <w:tcPr>
            <w:tcW w:w="3240" w:type="dxa"/>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168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50 000</w:t>
            </w:r>
          </w:p>
        </w:tc>
        <w:tc>
          <w:tcPr>
            <w:tcW w:w="180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28.01.2015</w:t>
            </w:r>
          </w:p>
        </w:tc>
        <w:tc>
          <w:tcPr>
            <w:tcW w:w="1233"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10.4</w:t>
            </w:r>
          </w:p>
        </w:tc>
        <w:tc>
          <w:tcPr>
            <w:tcW w:w="1701"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50 869</w:t>
            </w:r>
          </w:p>
        </w:tc>
      </w:tr>
      <w:tr w:rsidR="006F1039" w:rsidRPr="00DB0AC3" w:rsidTr="003606F4">
        <w:trPr>
          <w:trHeight w:val="600"/>
        </w:trPr>
        <w:tc>
          <w:tcPr>
            <w:tcW w:w="3240" w:type="dxa"/>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168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100 000</w:t>
            </w:r>
          </w:p>
        </w:tc>
        <w:tc>
          <w:tcPr>
            <w:tcW w:w="180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26.01.2015</w:t>
            </w:r>
          </w:p>
        </w:tc>
        <w:tc>
          <w:tcPr>
            <w:tcW w:w="1233"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10.1</w:t>
            </w:r>
          </w:p>
        </w:tc>
        <w:tc>
          <w:tcPr>
            <w:tcW w:w="1701"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101 743</w:t>
            </w:r>
          </w:p>
        </w:tc>
      </w:tr>
      <w:tr w:rsidR="006F1039" w:rsidRPr="00DB0AC3" w:rsidTr="003606F4">
        <w:trPr>
          <w:trHeight w:val="600"/>
        </w:trPr>
        <w:tc>
          <w:tcPr>
            <w:tcW w:w="3240" w:type="dxa"/>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168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100 000</w:t>
            </w:r>
          </w:p>
        </w:tc>
        <w:tc>
          <w:tcPr>
            <w:tcW w:w="180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27.01.2015</w:t>
            </w:r>
          </w:p>
        </w:tc>
        <w:tc>
          <w:tcPr>
            <w:tcW w:w="1233"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10.4</w:t>
            </w:r>
          </w:p>
        </w:tc>
        <w:tc>
          <w:tcPr>
            <w:tcW w:w="1701"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61 060</w:t>
            </w:r>
          </w:p>
        </w:tc>
      </w:tr>
      <w:tr w:rsidR="006F1039" w:rsidRPr="00DB0AC3" w:rsidTr="003606F4">
        <w:trPr>
          <w:trHeight w:val="600"/>
        </w:trPr>
        <w:tc>
          <w:tcPr>
            <w:tcW w:w="3240" w:type="dxa"/>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1680" w:type="dxa"/>
            <w:tcBorders>
              <w:top w:val="nil"/>
              <w:left w:val="nil"/>
              <w:bottom w:val="single" w:sz="4" w:space="0" w:color="auto"/>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60 000</w:t>
            </w:r>
          </w:p>
        </w:tc>
        <w:tc>
          <w:tcPr>
            <w:tcW w:w="1800"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19.01.2015</w:t>
            </w:r>
          </w:p>
        </w:tc>
        <w:tc>
          <w:tcPr>
            <w:tcW w:w="1233" w:type="dxa"/>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10.75</w:t>
            </w:r>
          </w:p>
        </w:tc>
        <w:tc>
          <w:tcPr>
            <w:tcW w:w="1701" w:type="dxa"/>
            <w:tcBorders>
              <w:top w:val="nil"/>
              <w:left w:val="nil"/>
              <w:bottom w:val="single" w:sz="4" w:space="0" w:color="auto"/>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102 062</w:t>
            </w:r>
          </w:p>
        </w:tc>
      </w:tr>
      <w:tr w:rsidR="006F1039" w:rsidRPr="00DB0AC3" w:rsidTr="003606F4">
        <w:trPr>
          <w:trHeight w:val="300"/>
        </w:trPr>
        <w:tc>
          <w:tcPr>
            <w:tcW w:w="3240" w:type="dxa"/>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680" w:type="dxa"/>
            <w:tcBorders>
              <w:top w:val="single" w:sz="4" w:space="0" w:color="auto"/>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800" w:type="dxa"/>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233" w:type="dxa"/>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1701" w:type="dxa"/>
            <w:tcBorders>
              <w:top w:val="single" w:sz="4" w:space="0" w:color="auto"/>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3606F4" w:rsidTr="003606F4">
        <w:trPr>
          <w:trHeight w:val="315"/>
        </w:trPr>
        <w:tc>
          <w:tcPr>
            <w:tcW w:w="3240" w:type="dxa"/>
            <w:tcBorders>
              <w:top w:val="nil"/>
              <w:left w:val="nil"/>
              <w:bottom w:val="nil"/>
              <w:right w:val="nil"/>
            </w:tcBorders>
            <w:shd w:val="clear" w:color="auto" w:fill="auto"/>
            <w:noWrap/>
            <w:vAlign w:val="bottom"/>
            <w:hideMark/>
          </w:tcPr>
          <w:p w:rsidR="006F1039" w:rsidRPr="003606F4" w:rsidRDefault="006F1039" w:rsidP="00C17872">
            <w:pPr>
              <w:rPr>
                <w:rFonts w:cs="Arial"/>
                <w:b/>
                <w:bCs/>
                <w:sz w:val="20"/>
                <w:lang w:val="ru-RU"/>
              </w:rPr>
            </w:pPr>
            <w:r w:rsidRPr="003606F4">
              <w:rPr>
                <w:rFonts w:cs="Arial"/>
                <w:b/>
                <w:bCs/>
                <w:sz w:val="20"/>
                <w:lang w:val="ru-RU"/>
              </w:rPr>
              <w:t>Итого</w:t>
            </w:r>
          </w:p>
        </w:tc>
        <w:tc>
          <w:tcPr>
            <w:tcW w:w="1680" w:type="dxa"/>
            <w:tcBorders>
              <w:top w:val="nil"/>
              <w:left w:val="nil"/>
              <w:bottom w:val="double" w:sz="6" w:space="0" w:color="auto"/>
              <w:right w:val="nil"/>
            </w:tcBorders>
            <w:shd w:val="clear" w:color="auto" w:fill="auto"/>
            <w:noWrap/>
            <w:vAlign w:val="bottom"/>
            <w:hideMark/>
          </w:tcPr>
          <w:p w:rsidR="006F1039" w:rsidRPr="003606F4" w:rsidRDefault="006F1039" w:rsidP="00C17872">
            <w:pPr>
              <w:jc w:val="right"/>
              <w:rPr>
                <w:rFonts w:cs="Arial"/>
                <w:b/>
                <w:sz w:val="20"/>
                <w:lang w:val="ru-RU"/>
              </w:rPr>
            </w:pPr>
            <w:r w:rsidRPr="003606F4">
              <w:rPr>
                <w:rFonts w:cs="Arial"/>
                <w:b/>
                <w:sz w:val="20"/>
                <w:lang w:val="ru-RU"/>
              </w:rPr>
              <w:t>310 000</w:t>
            </w:r>
          </w:p>
        </w:tc>
        <w:tc>
          <w:tcPr>
            <w:tcW w:w="1800" w:type="dxa"/>
            <w:tcBorders>
              <w:top w:val="nil"/>
              <w:left w:val="nil"/>
              <w:bottom w:val="nil"/>
              <w:right w:val="nil"/>
            </w:tcBorders>
            <w:shd w:val="clear" w:color="auto" w:fill="auto"/>
            <w:noWrap/>
            <w:vAlign w:val="bottom"/>
            <w:hideMark/>
          </w:tcPr>
          <w:p w:rsidR="006F1039" w:rsidRPr="003606F4" w:rsidRDefault="006F1039" w:rsidP="00C17872">
            <w:pPr>
              <w:rPr>
                <w:rFonts w:cs="Arial"/>
                <w:b/>
                <w:sz w:val="20"/>
                <w:lang w:val="ru-RU"/>
              </w:rPr>
            </w:pPr>
          </w:p>
        </w:tc>
        <w:tc>
          <w:tcPr>
            <w:tcW w:w="1233" w:type="dxa"/>
            <w:tcBorders>
              <w:top w:val="nil"/>
              <w:left w:val="nil"/>
              <w:bottom w:val="nil"/>
              <w:right w:val="nil"/>
            </w:tcBorders>
            <w:shd w:val="clear" w:color="auto" w:fill="auto"/>
            <w:noWrap/>
            <w:vAlign w:val="bottom"/>
            <w:hideMark/>
          </w:tcPr>
          <w:p w:rsidR="006F1039" w:rsidRPr="003606F4" w:rsidRDefault="006F1039" w:rsidP="00C17872">
            <w:pPr>
              <w:rPr>
                <w:rFonts w:cs="Arial"/>
                <w:b/>
                <w:sz w:val="20"/>
                <w:lang w:val="ru-RU"/>
              </w:rPr>
            </w:pPr>
          </w:p>
        </w:tc>
        <w:tc>
          <w:tcPr>
            <w:tcW w:w="1701" w:type="dxa"/>
            <w:tcBorders>
              <w:top w:val="nil"/>
              <w:left w:val="nil"/>
              <w:bottom w:val="double" w:sz="6" w:space="0" w:color="auto"/>
              <w:right w:val="nil"/>
            </w:tcBorders>
            <w:shd w:val="clear" w:color="auto" w:fill="auto"/>
            <w:noWrap/>
            <w:vAlign w:val="bottom"/>
            <w:hideMark/>
          </w:tcPr>
          <w:p w:rsidR="006F1039" w:rsidRPr="003606F4" w:rsidRDefault="006F1039" w:rsidP="00C17872">
            <w:pPr>
              <w:jc w:val="right"/>
              <w:rPr>
                <w:rFonts w:cs="Arial"/>
                <w:b/>
                <w:sz w:val="20"/>
                <w:lang w:val="ru-RU"/>
              </w:rPr>
            </w:pPr>
            <w:r w:rsidRPr="003606F4">
              <w:rPr>
                <w:rFonts w:cs="Arial"/>
                <w:b/>
                <w:sz w:val="20"/>
                <w:lang w:val="ru-RU"/>
              </w:rPr>
              <w:t>315 734</w:t>
            </w:r>
          </w:p>
        </w:tc>
      </w:tr>
    </w:tbl>
    <w:p w:rsidR="006F1039" w:rsidRPr="00DB0AC3" w:rsidRDefault="006F1039" w:rsidP="006F1039">
      <w:pPr>
        <w:rPr>
          <w:rFonts w:cs="Arial"/>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3D6F26" w:rsidRDefault="003D6F26" w:rsidP="006F1039">
      <w:pPr>
        <w:rPr>
          <w:rFonts w:cs="Arial"/>
          <w:color w:val="000000"/>
          <w:sz w:val="20"/>
          <w:lang w:val="ru-RU"/>
        </w:rPr>
      </w:pPr>
    </w:p>
    <w:p w:rsidR="006F1039" w:rsidRPr="00DB0AC3" w:rsidRDefault="006F1039" w:rsidP="006F1039">
      <w:pPr>
        <w:rPr>
          <w:rFonts w:cs="Arial"/>
          <w:color w:val="000000"/>
          <w:sz w:val="20"/>
          <w:lang w:val="ru-RU"/>
        </w:rPr>
      </w:pPr>
      <w:r w:rsidRPr="00DB0AC3">
        <w:rPr>
          <w:rFonts w:cs="Arial"/>
          <w:color w:val="000000"/>
          <w:sz w:val="20"/>
          <w:lang w:val="ru-RU"/>
        </w:rPr>
        <w:t>Краткосрочные кредиты других банков 31 декабря 2013 года представлены в следующей таблице:</w:t>
      </w:r>
    </w:p>
    <w:tbl>
      <w:tblPr>
        <w:tblW w:w="5000" w:type="pct"/>
        <w:tblLook w:val="04A0"/>
      </w:tblPr>
      <w:tblGrid>
        <w:gridCol w:w="4310"/>
        <w:gridCol w:w="1603"/>
        <w:gridCol w:w="1717"/>
        <w:gridCol w:w="953"/>
        <w:gridCol w:w="1240"/>
      </w:tblGrid>
      <w:tr w:rsidR="006F1039" w:rsidRPr="00DB0AC3" w:rsidTr="00C17872">
        <w:trPr>
          <w:trHeight w:val="600"/>
        </w:trPr>
        <w:tc>
          <w:tcPr>
            <w:tcW w:w="2194" w:type="pct"/>
            <w:tcBorders>
              <w:top w:val="nil"/>
              <w:left w:val="nil"/>
              <w:bottom w:val="single" w:sz="4" w:space="0" w:color="auto"/>
              <w:right w:val="nil"/>
            </w:tcBorders>
            <w:shd w:val="clear" w:color="auto" w:fill="auto"/>
            <w:noWrap/>
            <w:vAlign w:val="bottom"/>
            <w:hideMark/>
          </w:tcPr>
          <w:p w:rsidR="006F1039" w:rsidRPr="00DB0AC3" w:rsidRDefault="006F1039" w:rsidP="00C17872">
            <w:pPr>
              <w:rPr>
                <w:rFonts w:cs="Arial"/>
                <w:b/>
                <w:bCs/>
                <w:color w:val="000000"/>
                <w:sz w:val="20"/>
                <w:lang w:val="ru-RU"/>
              </w:rPr>
            </w:pPr>
            <w:r w:rsidRPr="00DB0AC3">
              <w:rPr>
                <w:rFonts w:cs="Arial"/>
                <w:b/>
                <w:bCs/>
                <w:color w:val="000000"/>
                <w:sz w:val="20"/>
                <w:lang w:val="ru-RU"/>
              </w:rPr>
              <w:t>Название банка</w:t>
            </w:r>
          </w:p>
        </w:tc>
        <w:tc>
          <w:tcPr>
            <w:tcW w:w="816" w:type="pct"/>
            <w:tcBorders>
              <w:top w:val="nil"/>
              <w:left w:val="nil"/>
              <w:bottom w:val="single" w:sz="4" w:space="0" w:color="auto"/>
              <w:right w:val="nil"/>
            </w:tcBorders>
            <w:shd w:val="clear" w:color="auto" w:fill="auto"/>
            <w:noWrap/>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Получено</w:t>
            </w:r>
          </w:p>
        </w:tc>
        <w:tc>
          <w:tcPr>
            <w:tcW w:w="874" w:type="pct"/>
            <w:tcBorders>
              <w:top w:val="nil"/>
              <w:left w:val="nil"/>
              <w:bottom w:val="single" w:sz="4" w:space="0" w:color="auto"/>
              <w:right w:val="nil"/>
            </w:tcBorders>
            <w:shd w:val="clear" w:color="auto" w:fill="auto"/>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Дата погашения</w:t>
            </w:r>
          </w:p>
        </w:tc>
        <w:tc>
          <w:tcPr>
            <w:tcW w:w="485" w:type="pct"/>
            <w:tcBorders>
              <w:top w:val="nil"/>
              <w:left w:val="nil"/>
              <w:bottom w:val="single" w:sz="4" w:space="0" w:color="auto"/>
              <w:right w:val="nil"/>
            </w:tcBorders>
            <w:shd w:val="clear" w:color="auto" w:fill="auto"/>
            <w:noWrap/>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w:t>
            </w:r>
          </w:p>
        </w:tc>
        <w:tc>
          <w:tcPr>
            <w:tcW w:w="631" w:type="pct"/>
            <w:tcBorders>
              <w:top w:val="nil"/>
              <w:left w:val="nil"/>
              <w:bottom w:val="single" w:sz="4" w:space="0" w:color="auto"/>
              <w:right w:val="nil"/>
            </w:tcBorders>
            <w:shd w:val="clear" w:color="auto" w:fill="auto"/>
            <w:vAlign w:val="bottom"/>
            <w:hideMark/>
          </w:tcPr>
          <w:p w:rsidR="006F1039" w:rsidRPr="00DB0AC3" w:rsidRDefault="006F1039" w:rsidP="00C17872">
            <w:pPr>
              <w:jc w:val="center"/>
              <w:rPr>
                <w:rFonts w:cs="Arial"/>
                <w:b/>
                <w:bCs/>
                <w:color w:val="000000"/>
                <w:sz w:val="20"/>
                <w:lang w:val="ru-RU"/>
              </w:rPr>
            </w:pPr>
            <w:r w:rsidRPr="00DB0AC3">
              <w:rPr>
                <w:rFonts w:cs="Arial"/>
                <w:b/>
                <w:bCs/>
                <w:color w:val="000000"/>
                <w:sz w:val="20"/>
                <w:lang w:val="ru-RU"/>
              </w:rPr>
              <w:t>Остаток на конец года</w:t>
            </w: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09.01.2014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6.50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50 009</w:t>
            </w: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15.01.2014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6.50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50 053</w:t>
            </w: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15.01.2014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6.50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50 009</w:t>
            </w: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15.01.2014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6.50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50 000</w:t>
            </w: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«Северо-Западный 1 Альянс Банк»</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20 236</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17.02.2014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3.00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20 238</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Банк «Санкт-Петербург»</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21.01.2014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12.10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500 000</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Банк «Санкт-Петербург»</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395 735</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24.01.2014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3.00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395 735</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Банк «Санкт-Петербург»</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200 000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11.03.2014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10.25</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200 000</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Банк «Санкт-Петербург»</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600 000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12.03.2014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10.25</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600 000</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ООО КБ  «Финансовый капитал»</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49 096</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13.02.2014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5.80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49 094</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SpareBank 1 Nord-Norge</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400 000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28.02.2014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9.11</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400 100</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«Санкт-Петербургский банк инвестиций»</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20.03.2014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12.00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100 395</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DB0AC3" w:rsidTr="00C17872">
        <w:trPr>
          <w:trHeight w:val="6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Банк «Объединенный капитал»</w:t>
            </w:r>
          </w:p>
        </w:tc>
        <w:tc>
          <w:tcPr>
            <w:tcW w:w="816"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250 000</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08.04.2014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10.00</w:t>
            </w:r>
          </w:p>
        </w:tc>
        <w:tc>
          <w:tcPr>
            <w:tcW w:w="631"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250 000</w:t>
            </w: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r>
      <w:tr w:rsidR="006F1039" w:rsidRPr="00DB0AC3" w:rsidTr="00C17872">
        <w:trPr>
          <w:trHeight w:val="300"/>
        </w:trPr>
        <w:tc>
          <w:tcPr>
            <w:tcW w:w="2194" w:type="pct"/>
            <w:tcBorders>
              <w:top w:val="nil"/>
              <w:left w:val="nil"/>
              <w:bottom w:val="nil"/>
              <w:right w:val="nil"/>
            </w:tcBorders>
            <w:shd w:val="clear" w:color="auto" w:fill="auto"/>
            <w:vAlign w:val="bottom"/>
            <w:hideMark/>
          </w:tcPr>
          <w:p w:rsidR="006F1039" w:rsidRPr="00DB0AC3" w:rsidRDefault="006F1039" w:rsidP="00C17872">
            <w:pPr>
              <w:rPr>
                <w:rFonts w:cs="Arial"/>
                <w:color w:val="000000"/>
                <w:sz w:val="20"/>
                <w:lang w:val="ru-RU"/>
              </w:rPr>
            </w:pPr>
            <w:r w:rsidRPr="00DB0AC3">
              <w:rPr>
                <w:rFonts w:cs="Arial"/>
                <w:color w:val="000000"/>
                <w:sz w:val="20"/>
                <w:lang w:val="ru-RU"/>
              </w:rPr>
              <w:t>ОАО АКБ  «Горбанк»</w:t>
            </w:r>
          </w:p>
        </w:tc>
        <w:tc>
          <w:tcPr>
            <w:tcW w:w="816" w:type="pct"/>
            <w:tcBorders>
              <w:top w:val="nil"/>
              <w:left w:val="nil"/>
              <w:bottom w:val="single" w:sz="4" w:space="0" w:color="auto"/>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16 363</w:t>
            </w:r>
          </w:p>
        </w:tc>
        <w:tc>
          <w:tcPr>
            <w:tcW w:w="874"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27.10.2014</w:t>
            </w:r>
          </w:p>
        </w:tc>
        <w:tc>
          <w:tcPr>
            <w:tcW w:w="485" w:type="pct"/>
            <w:tcBorders>
              <w:top w:val="nil"/>
              <w:left w:val="nil"/>
              <w:bottom w:val="nil"/>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7.00</w:t>
            </w:r>
          </w:p>
        </w:tc>
        <w:tc>
          <w:tcPr>
            <w:tcW w:w="631" w:type="pct"/>
            <w:tcBorders>
              <w:top w:val="nil"/>
              <w:left w:val="nil"/>
              <w:bottom w:val="single" w:sz="4" w:space="0" w:color="auto"/>
              <w:right w:val="nil"/>
            </w:tcBorders>
            <w:shd w:val="clear" w:color="auto" w:fill="auto"/>
            <w:noWrap/>
            <w:vAlign w:val="bottom"/>
            <w:hideMark/>
          </w:tcPr>
          <w:p w:rsidR="006F1039" w:rsidRPr="00DB0AC3" w:rsidRDefault="006F1039" w:rsidP="00C17872">
            <w:pPr>
              <w:jc w:val="right"/>
              <w:rPr>
                <w:rFonts w:cs="Arial"/>
                <w:color w:val="000000"/>
                <w:sz w:val="20"/>
                <w:lang w:val="ru-RU"/>
              </w:rPr>
            </w:pPr>
            <w:r w:rsidRPr="00DB0AC3">
              <w:rPr>
                <w:rFonts w:cs="Arial"/>
                <w:color w:val="000000"/>
                <w:sz w:val="20"/>
                <w:lang w:val="ru-RU"/>
              </w:rPr>
              <w:t>16 576</w:t>
            </w:r>
          </w:p>
        </w:tc>
      </w:tr>
      <w:tr w:rsidR="006F1039" w:rsidRPr="00DB0AC3" w:rsidTr="00C17872">
        <w:trPr>
          <w:trHeight w:val="300"/>
        </w:trPr>
        <w:tc>
          <w:tcPr>
            <w:tcW w:w="219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816"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p>
        </w:tc>
        <w:tc>
          <w:tcPr>
            <w:tcW w:w="874"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485" w:type="pct"/>
            <w:tcBorders>
              <w:top w:val="nil"/>
              <w:left w:val="nil"/>
              <w:bottom w:val="nil"/>
              <w:right w:val="nil"/>
            </w:tcBorders>
            <w:shd w:val="clear" w:color="auto" w:fill="auto"/>
            <w:noWrap/>
            <w:vAlign w:val="bottom"/>
            <w:hideMark/>
          </w:tcPr>
          <w:p w:rsidR="006F1039" w:rsidRPr="00DB0AC3" w:rsidRDefault="006F1039" w:rsidP="00C17872">
            <w:pPr>
              <w:rPr>
                <w:rFonts w:cs="Arial"/>
                <w:color w:val="000000"/>
                <w:sz w:val="20"/>
                <w:lang w:val="ru-RU"/>
              </w:rPr>
            </w:pPr>
          </w:p>
        </w:tc>
        <w:tc>
          <w:tcPr>
            <w:tcW w:w="631" w:type="pct"/>
            <w:tcBorders>
              <w:top w:val="nil"/>
              <w:left w:val="nil"/>
              <w:bottom w:val="nil"/>
              <w:right w:val="nil"/>
            </w:tcBorders>
            <w:shd w:val="clear" w:color="auto" w:fill="auto"/>
            <w:noWrap/>
            <w:vAlign w:val="bottom"/>
            <w:hideMark/>
          </w:tcPr>
          <w:p w:rsidR="006F1039" w:rsidRPr="00DB0AC3" w:rsidRDefault="006F1039" w:rsidP="00C17872">
            <w:pPr>
              <w:rPr>
                <w:rFonts w:cs="Arial"/>
                <w:b/>
                <w:bCs/>
                <w:color w:val="000000"/>
                <w:sz w:val="20"/>
                <w:lang w:val="ru-RU"/>
              </w:rPr>
            </w:pPr>
          </w:p>
        </w:tc>
      </w:tr>
      <w:tr w:rsidR="006F1039" w:rsidRPr="00CE77E5" w:rsidTr="00C17872">
        <w:trPr>
          <w:trHeight w:val="315"/>
        </w:trPr>
        <w:tc>
          <w:tcPr>
            <w:tcW w:w="2194" w:type="pct"/>
            <w:tcBorders>
              <w:top w:val="nil"/>
              <w:left w:val="nil"/>
              <w:bottom w:val="nil"/>
              <w:right w:val="nil"/>
            </w:tcBorders>
            <w:shd w:val="clear" w:color="auto" w:fill="auto"/>
            <w:noWrap/>
            <w:vAlign w:val="bottom"/>
            <w:hideMark/>
          </w:tcPr>
          <w:p w:rsidR="006F1039" w:rsidRPr="00CE77E5" w:rsidRDefault="006F1039" w:rsidP="00C17872">
            <w:pPr>
              <w:rPr>
                <w:rFonts w:cs="Arial"/>
                <w:b/>
                <w:bCs/>
                <w:color w:val="000000"/>
                <w:sz w:val="20"/>
                <w:lang w:val="ru-RU"/>
              </w:rPr>
            </w:pPr>
            <w:r w:rsidRPr="00CE77E5">
              <w:rPr>
                <w:rFonts w:cs="Arial"/>
                <w:b/>
                <w:bCs/>
                <w:color w:val="000000"/>
                <w:sz w:val="20"/>
                <w:lang w:val="ru-RU"/>
              </w:rPr>
              <w:t>Итого</w:t>
            </w:r>
          </w:p>
        </w:tc>
        <w:tc>
          <w:tcPr>
            <w:tcW w:w="816" w:type="pct"/>
            <w:tcBorders>
              <w:top w:val="nil"/>
              <w:left w:val="nil"/>
              <w:bottom w:val="double" w:sz="6" w:space="0" w:color="auto"/>
              <w:right w:val="nil"/>
            </w:tcBorders>
            <w:shd w:val="clear" w:color="auto" w:fill="auto"/>
            <w:noWrap/>
            <w:vAlign w:val="bottom"/>
            <w:hideMark/>
          </w:tcPr>
          <w:p w:rsidR="006F1039" w:rsidRPr="00CE77E5" w:rsidRDefault="006F1039" w:rsidP="00C17872">
            <w:pPr>
              <w:jc w:val="right"/>
              <w:rPr>
                <w:rFonts w:cs="Arial"/>
                <w:b/>
                <w:bCs/>
                <w:color w:val="000000"/>
                <w:sz w:val="20"/>
                <w:lang w:val="ru-RU"/>
              </w:rPr>
            </w:pPr>
            <w:r w:rsidRPr="00CE77E5">
              <w:rPr>
                <w:rFonts w:cs="Arial"/>
                <w:b/>
                <w:bCs/>
                <w:color w:val="000000"/>
                <w:sz w:val="20"/>
                <w:lang w:val="ru-RU"/>
              </w:rPr>
              <w:t>2 731 430</w:t>
            </w:r>
          </w:p>
        </w:tc>
        <w:tc>
          <w:tcPr>
            <w:tcW w:w="874" w:type="pct"/>
            <w:tcBorders>
              <w:top w:val="nil"/>
              <w:left w:val="nil"/>
              <w:bottom w:val="nil"/>
              <w:right w:val="nil"/>
            </w:tcBorders>
            <w:shd w:val="clear" w:color="auto" w:fill="auto"/>
            <w:noWrap/>
            <w:vAlign w:val="bottom"/>
            <w:hideMark/>
          </w:tcPr>
          <w:p w:rsidR="006F1039" w:rsidRPr="00CE77E5" w:rsidRDefault="006F1039" w:rsidP="00C17872">
            <w:pPr>
              <w:rPr>
                <w:rFonts w:cs="Arial"/>
                <w:b/>
                <w:color w:val="000000"/>
                <w:sz w:val="20"/>
                <w:lang w:val="ru-RU"/>
              </w:rPr>
            </w:pPr>
          </w:p>
        </w:tc>
        <w:tc>
          <w:tcPr>
            <w:tcW w:w="485" w:type="pct"/>
            <w:tcBorders>
              <w:top w:val="nil"/>
              <w:left w:val="nil"/>
              <w:bottom w:val="nil"/>
              <w:right w:val="nil"/>
            </w:tcBorders>
            <w:shd w:val="clear" w:color="auto" w:fill="auto"/>
            <w:noWrap/>
            <w:vAlign w:val="bottom"/>
            <w:hideMark/>
          </w:tcPr>
          <w:p w:rsidR="006F1039" w:rsidRPr="00CE77E5" w:rsidRDefault="006F1039" w:rsidP="00C17872">
            <w:pPr>
              <w:rPr>
                <w:rFonts w:cs="Arial"/>
                <w:b/>
                <w:color w:val="000000"/>
                <w:sz w:val="20"/>
                <w:lang w:val="ru-RU"/>
              </w:rPr>
            </w:pPr>
          </w:p>
        </w:tc>
        <w:tc>
          <w:tcPr>
            <w:tcW w:w="631" w:type="pct"/>
            <w:tcBorders>
              <w:top w:val="nil"/>
              <w:left w:val="nil"/>
              <w:bottom w:val="double" w:sz="6" w:space="0" w:color="auto"/>
              <w:right w:val="nil"/>
            </w:tcBorders>
            <w:shd w:val="clear" w:color="auto" w:fill="auto"/>
            <w:noWrap/>
            <w:vAlign w:val="bottom"/>
            <w:hideMark/>
          </w:tcPr>
          <w:p w:rsidR="006F1039" w:rsidRPr="00CE77E5" w:rsidRDefault="006F1039" w:rsidP="00C17872">
            <w:pPr>
              <w:jc w:val="right"/>
              <w:rPr>
                <w:rFonts w:cs="Arial"/>
                <w:b/>
                <w:bCs/>
                <w:color w:val="000000"/>
                <w:sz w:val="20"/>
                <w:lang w:val="ru-RU"/>
              </w:rPr>
            </w:pPr>
            <w:r w:rsidRPr="00CE77E5">
              <w:rPr>
                <w:rFonts w:cs="Arial"/>
                <w:b/>
                <w:bCs/>
                <w:color w:val="000000"/>
                <w:sz w:val="20"/>
                <w:lang w:val="ru-RU"/>
              </w:rPr>
              <w:t>2 732 209</w:t>
            </w:r>
          </w:p>
        </w:tc>
      </w:tr>
    </w:tbl>
    <w:p w:rsidR="006F1039" w:rsidRPr="00DB0AC3" w:rsidRDefault="006F1039" w:rsidP="006F1039">
      <w:pPr>
        <w:pStyle w:val="Continued"/>
        <w:rPr>
          <w:rFonts w:cs="Arial"/>
          <w:b w:val="0"/>
          <w:color w:val="000000"/>
          <w:lang w:val="ru-RU"/>
        </w:rPr>
      </w:pPr>
      <w:r w:rsidRPr="00DB0AC3">
        <w:rPr>
          <w:rFonts w:cs="Arial"/>
          <w:b w:val="0"/>
          <w:color w:val="000000"/>
          <w:lang w:val="ru-RU"/>
        </w:rPr>
        <w:lastRenderedPageBreak/>
        <w:t xml:space="preserve">Долгосрочные кредиты других банков </w:t>
      </w:r>
      <w:r w:rsidR="00892514" w:rsidRPr="00DB0AC3">
        <w:rPr>
          <w:rFonts w:cs="Arial"/>
          <w:b w:val="0"/>
          <w:color w:val="000000"/>
          <w:lang w:val="ru-RU"/>
        </w:rPr>
        <w:t xml:space="preserve">на </w:t>
      </w:r>
      <w:r w:rsidRPr="00DB0AC3">
        <w:rPr>
          <w:rFonts w:cs="Arial"/>
          <w:b w:val="0"/>
          <w:color w:val="000000"/>
          <w:lang w:val="ru-RU"/>
        </w:rPr>
        <w:t xml:space="preserve">31 декабря 2014 года </w:t>
      </w:r>
      <w:r w:rsidR="00892514" w:rsidRPr="00DB0AC3">
        <w:rPr>
          <w:rFonts w:cs="Arial"/>
          <w:b w:val="0"/>
          <w:color w:val="000000"/>
          <w:lang w:val="ru-RU"/>
        </w:rPr>
        <w:t xml:space="preserve">и 31 декабря 2013 года </w:t>
      </w:r>
      <w:r w:rsidRPr="00DB0AC3">
        <w:rPr>
          <w:rFonts w:cs="Arial"/>
          <w:b w:val="0"/>
          <w:color w:val="000000"/>
          <w:lang w:val="ru-RU"/>
        </w:rPr>
        <w:t>отсутствовали.</w:t>
      </w:r>
    </w:p>
    <w:p w:rsidR="006F1039" w:rsidRPr="00DB0AC3" w:rsidRDefault="006F1039" w:rsidP="00892514">
      <w:pPr>
        <w:pStyle w:val="210"/>
        <w:shd w:val="clear" w:color="auto" w:fill="auto"/>
        <w:spacing w:line="221" w:lineRule="exact"/>
        <w:ind w:firstLine="0"/>
        <w:jc w:val="both"/>
        <w:rPr>
          <w:b w:val="0"/>
          <w:sz w:val="20"/>
          <w:szCs w:val="20"/>
        </w:rPr>
      </w:pPr>
      <w:r w:rsidRPr="00DB0AC3">
        <w:rPr>
          <w:b w:val="0"/>
          <w:sz w:val="20"/>
          <w:szCs w:val="20"/>
        </w:rPr>
        <w:t>Страновой, валютный и процентный анализ, а также анализ по срокам погашения средств в других банках представлены в Примечании 33.</w:t>
      </w:r>
    </w:p>
    <w:p w:rsidR="006572FF" w:rsidRPr="00DB0AC3" w:rsidRDefault="006F1039">
      <w:pPr>
        <w:pStyle w:val="1"/>
        <w:keepLines/>
        <w:spacing w:before="480"/>
        <w:rPr>
          <w:rFonts w:cs="Arial"/>
          <w:lang w:val="ru-RU"/>
        </w:rPr>
      </w:pPr>
      <w:bookmarkStart w:id="154" w:name="_Toc441479803"/>
      <w:bookmarkEnd w:id="150"/>
      <w:bookmarkEnd w:id="151"/>
      <w:bookmarkEnd w:id="152"/>
      <w:bookmarkEnd w:id="153"/>
      <w:r w:rsidRPr="00DB0AC3">
        <w:rPr>
          <w:rFonts w:cs="Arial"/>
          <w:lang w:val="ru-RU"/>
        </w:rPr>
        <w:t>Счета клиентов</w:t>
      </w:r>
      <w:bookmarkEnd w:id="154"/>
    </w:p>
    <w:p w:rsidR="00577C8B" w:rsidRPr="00DB0AC3" w:rsidRDefault="00577C8B" w:rsidP="00577C8B">
      <w:pPr>
        <w:pStyle w:val="210"/>
        <w:shd w:val="clear" w:color="auto" w:fill="auto"/>
        <w:spacing w:line="221" w:lineRule="exact"/>
        <w:ind w:firstLine="0"/>
        <w:rPr>
          <w:b w:val="0"/>
          <w:sz w:val="20"/>
          <w:szCs w:val="20"/>
        </w:rPr>
      </w:pPr>
      <w:r w:rsidRPr="00DB0AC3">
        <w:rPr>
          <w:b w:val="0"/>
          <w:sz w:val="20"/>
          <w:szCs w:val="20"/>
        </w:rPr>
        <w:t>Счета клиентов на 31 декабря 2014 года представлены следующим образом:</w:t>
      </w:r>
    </w:p>
    <w:tbl>
      <w:tblPr>
        <w:tblW w:w="5000" w:type="pct"/>
        <w:tblLook w:val="04A0"/>
      </w:tblPr>
      <w:tblGrid>
        <w:gridCol w:w="6537"/>
        <w:gridCol w:w="1587"/>
        <w:gridCol w:w="1699"/>
      </w:tblGrid>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c>
          <w:tcPr>
            <w:tcW w:w="808" w:type="pct"/>
            <w:tcBorders>
              <w:top w:val="nil"/>
              <w:left w:val="nil"/>
              <w:bottom w:val="single" w:sz="4" w:space="0" w:color="auto"/>
              <w:right w:val="nil"/>
            </w:tcBorders>
            <w:shd w:val="clear" w:color="auto" w:fill="auto"/>
            <w:vAlign w:val="bottom"/>
            <w:hideMark/>
          </w:tcPr>
          <w:p w:rsidR="00577C8B" w:rsidRPr="00DB0AC3" w:rsidRDefault="00577C8B" w:rsidP="00C17872">
            <w:pPr>
              <w:jc w:val="right"/>
              <w:rPr>
                <w:rFonts w:cs="Arial"/>
                <w:b/>
                <w:bCs/>
                <w:color w:val="000000"/>
                <w:sz w:val="20"/>
                <w:lang w:val="ru-RU"/>
              </w:rPr>
            </w:pPr>
            <w:r w:rsidRPr="00DB0AC3">
              <w:rPr>
                <w:rFonts w:cs="Arial"/>
                <w:b/>
                <w:bCs/>
                <w:color w:val="000000"/>
                <w:sz w:val="20"/>
                <w:lang w:val="ru-RU"/>
              </w:rPr>
              <w:t>31 декабря 2014</w:t>
            </w:r>
          </w:p>
        </w:tc>
        <w:tc>
          <w:tcPr>
            <w:tcW w:w="865" w:type="pct"/>
            <w:tcBorders>
              <w:top w:val="nil"/>
              <w:left w:val="nil"/>
              <w:bottom w:val="single" w:sz="4" w:space="0" w:color="auto"/>
              <w:right w:val="nil"/>
            </w:tcBorders>
            <w:shd w:val="clear" w:color="auto" w:fill="auto"/>
            <w:vAlign w:val="bottom"/>
            <w:hideMark/>
          </w:tcPr>
          <w:p w:rsidR="00577C8B" w:rsidRPr="00DB0AC3" w:rsidRDefault="00577C8B" w:rsidP="00C17872">
            <w:pPr>
              <w:jc w:val="right"/>
              <w:rPr>
                <w:rFonts w:cs="Arial"/>
                <w:b/>
                <w:bCs/>
                <w:color w:val="000000"/>
                <w:sz w:val="20"/>
                <w:lang w:val="ru-RU"/>
              </w:rPr>
            </w:pPr>
            <w:r w:rsidRPr="00DB0AC3">
              <w:rPr>
                <w:rFonts w:cs="Arial"/>
                <w:b/>
                <w:bCs/>
                <w:color w:val="000000"/>
                <w:sz w:val="20"/>
                <w:lang w:val="ru-RU"/>
              </w:rPr>
              <w:t>31 декабря 2013</w:t>
            </w: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b/>
                <w:bCs/>
                <w:color w:val="000000"/>
                <w:sz w:val="20"/>
                <w:lang w:val="ru-RU"/>
              </w:rPr>
            </w:pPr>
            <w:r w:rsidRPr="00DB0AC3">
              <w:rPr>
                <w:rFonts w:cs="Arial"/>
                <w:b/>
                <w:bCs/>
                <w:color w:val="000000"/>
                <w:sz w:val="20"/>
                <w:lang w:val="ru-RU"/>
              </w:rPr>
              <w:t>Государственные и общественные организации</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c>
          <w:tcPr>
            <w:tcW w:w="865"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r w:rsidRPr="00DB0AC3">
              <w:rPr>
                <w:rFonts w:cs="Arial"/>
                <w:color w:val="000000"/>
                <w:sz w:val="20"/>
                <w:lang w:val="ru-RU"/>
              </w:rPr>
              <w:t>Текущие/расчетные счета</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8 338</w:t>
            </w:r>
          </w:p>
        </w:tc>
        <w:tc>
          <w:tcPr>
            <w:tcW w:w="865"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37 043</w:t>
            </w: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r w:rsidRPr="00DB0AC3">
              <w:rPr>
                <w:rFonts w:cs="Arial"/>
                <w:color w:val="000000"/>
                <w:sz w:val="20"/>
                <w:lang w:val="ru-RU"/>
              </w:rPr>
              <w:t>Срочные депозиты</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98 063</w:t>
            </w:r>
          </w:p>
        </w:tc>
        <w:tc>
          <w:tcPr>
            <w:tcW w:w="865"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94 566</w:t>
            </w: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b/>
                <w:bCs/>
                <w:color w:val="000000"/>
                <w:sz w:val="20"/>
                <w:lang w:val="ru-RU"/>
              </w:rPr>
            </w:pPr>
            <w:r w:rsidRPr="00DB0AC3">
              <w:rPr>
                <w:rFonts w:cs="Arial"/>
                <w:b/>
                <w:bCs/>
                <w:color w:val="000000"/>
                <w:sz w:val="20"/>
                <w:lang w:val="ru-RU"/>
              </w:rPr>
              <w:t>Прочие юридические лица</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c>
          <w:tcPr>
            <w:tcW w:w="865"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r w:rsidRPr="00DB0AC3">
              <w:rPr>
                <w:rFonts w:cs="Arial"/>
                <w:color w:val="000000"/>
                <w:sz w:val="20"/>
                <w:lang w:val="ru-RU"/>
              </w:rPr>
              <w:t>Текущие/расчетные счета</w:t>
            </w:r>
          </w:p>
        </w:tc>
        <w:tc>
          <w:tcPr>
            <w:tcW w:w="808" w:type="pct"/>
            <w:tcBorders>
              <w:top w:val="nil"/>
              <w:left w:val="nil"/>
              <w:bottom w:val="nil"/>
              <w:right w:val="nil"/>
            </w:tcBorders>
            <w:shd w:val="clear" w:color="auto" w:fill="auto"/>
            <w:noWrap/>
            <w:vAlign w:val="bottom"/>
            <w:hideMark/>
          </w:tcPr>
          <w:p w:rsidR="00577C8B" w:rsidRPr="00DB0AC3" w:rsidRDefault="00850720" w:rsidP="00C17872">
            <w:pPr>
              <w:jc w:val="right"/>
              <w:rPr>
                <w:rFonts w:cs="Arial"/>
                <w:color w:val="000000"/>
                <w:sz w:val="20"/>
                <w:lang w:val="ru-RU"/>
              </w:rPr>
            </w:pPr>
            <w:r w:rsidRPr="00DB0AC3">
              <w:rPr>
                <w:rFonts w:cs="Arial"/>
                <w:color w:val="000000"/>
                <w:sz w:val="20"/>
                <w:lang w:val="ru-RU"/>
              </w:rPr>
              <w:t>780 732</w:t>
            </w:r>
          </w:p>
        </w:tc>
        <w:tc>
          <w:tcPr>
            <w:tcW w:w="865"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7 871 897</w:t>
            </w: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r w:rsidRPr="00DB0AC3">
              <w:rPr>
                <w:rFonts w:cs="Arial"/>
                <w:color w:val="000000"/>
                <w:sz w:val="20"/>
                <w:lang w:val="ru-RU"/>
              </w:rPr>
              <w:t>Срочные депозиты</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22 058 247</w:t>
            </w:r>
          </w:p>
        </w:tc>
        <w:tc>
          <w:tcPr>
            <w:tcW w:w="865"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10 043 409</w:t>
            </w: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b/>
                <w:bCs/>
                <w:color w:val="000000"/>
                <w:sz w:val="20"/>
                <w:lang w:val="ru-RU"/>
              </w:rPr>
            </w:pPr>
            <w:r w:rsidRPr="00DB0AC3">
              <w:rPr>
                <w:rFonts w:cs="Arial"/>
                <w:b/>
                <w:bCs/>
                <w:color w:val="000000"/>
                <w:sz w:val="20"/>
                <w:lang w:val="ru-RU"/>
              </w:rPr>
              <w:t>Физические лица</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c>
          <w:tcPr>
            <w:tcW w:w="865"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r w:rsidRPr="00DB0AC3">
              <w:rPr>
                <w:rFonts w:cs="Arial"/>
                <w:color w:val="000000"/>
                <w:sz w:val="20"/>
                <w:lang w:val="ru-RU"/>
              </w:rPr>
              <w:t>Текущие/расчетные счета</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956 012</w:t>
            </w:r>
          </w:p>
        </w:tc>
        <w:tc>
          <w:tcPr>
            <w:tcW w:w="865"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929 410</w:t>
            </w:r>
          </w:p>
        </w:tc>
      </w:tr>
      <w:tr w:rsidR="00577C8B" w:rsidRPr="00DB0AC3" w:rsidTr="00C17872">
        <w:trPr>
          <w:trHeight w:val="300"/>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color w:val="000000"/>
                <w:sz w:val="20"/>
                <w:lang w:val="ru-RU"/>
              </w:rPr>
            </w:pPr>
            <w:r w:rsidRPr="00DB0AC3">
              <w:rPr>
                <w:rFonts w:cs="Arial"/>
                <w:color w:val="000000"/>
                <w:sz w:val="20"/>
                <w:lang w:val="ru-RU"/>
              </w:rPr>
              <w:t>Срочные депозиты</w:t>
            </w:r>
          </w:p>
        </w:tc>
        <w:tc>
          <w:tcPr>
            <w:tcW w:w="808" w:type="pct"/>
            <w:tcBorders>
              <w:top w:val="nil"/>
              <w:left w:val="nil"/>
              <w:bottom w:val="nil"/>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16 025 411</w:t>
            </w:r>
          </w:p>
        </w:tc>
        <w:tc>
          <w:tcPr>
            <w:tcW w:w="865" w:type="pct"/>
            <w:tcBorders>
              <w:top w:val="nil"/>
              <w:left w:val="nil"/>
              <w:bottom w:val="single" w:sz="4" w:space="0" w:color="auto"/>
              <w:right w:val="nil"/>
            </w:tcBorders>
            <w:shd w:val="clear" w:color="auto" w:fill="auto"/>
            <w:noWrap/>
            <w:vAlign w:val="bottom"/>
            <w:hideMark/>
          </w:tcPr>
          <w:p w:rsidR="00577C8B" w:rsidRPr="00DB0AC3" w:rsidRDefault="00577C8B" w:rsidP="00C17872">
            <w:pPr>
              <w:jc w:val="right"/>
              <w:rPr>
                <w:rFonts w:cs="Arial"/>
                <w:color w:val="000000"/>
                <w:sz w:val="20"/>
                <w:lang w:val="ru-RU"/>
              </w:rPr>
            </w:pPr>
            <w:r w:rsidRPr="00DB0AC3">
              <w:rPr>
                <w:rFonts w:cs="Arial"/>
                <w:color w:val="000000"/>
                <w:sz w:val="20"/>
                <w:lang w:val="ru-RU"/>
              </w:rPr>
              <w:t>18 126 038</w:t>
            </w:r>
          </w:p>
        </w:tc>
      </w:tr>
      <w:tr w:rsidR="00577C8B" w:rsidRPr="00DB0AC3" w:rsidTr="00C17872">
        <w:trPr>
          <w:trHeight w:val="315"/>
        </w:trPr>
        <w:tc>
          <w:tcPr>
            <w:tcW w:w="3327" w:type="pct"/>
            <w:tcBorders>
              <w:top w:val="nil"/>
              <w:left w:val="nil"/>
              <w:bottom w:val="nil"/>
              <w:right w:val="nil"/>
            </w:tcBorders>
            <w:shd w:val="clear" w:color="auto" w:fill="auto"/>
            <w:noWrap/>
            <w:vAlign w:val="bottom"/>
            <w:hideMark/>
          </w:tcPr>
          <w:p w:rsidR="00577C8B" w:rsidRPr="00DB0AC3" w:rsidRDefault="00577C8B" w:rsidP="00C17872">
            <w:pPr>
              <w:rPr>
                <w:rFonts w:cs="Arial"/>
                <w:b/>
                <w:bCs/>
                <w:color w:val="000000"/>
                <w:sz w:val="20"/>
                <w:lang w:val="ru-RU"/>
              </w:rPr>
            </w:pPr>
            <w:r w:rsidRPr="00DB0AC3">
              <w:rPr>
                <w:rFonts w:cs="Arial"/>
                <w:b/>
                <w:bCs/>
                <w:color w:val="000000"/>
                <w:sz w:val="20"/>
                <w:lang w:val="ru-RU"/>
              </w:rPr>
              <w:t>Итого счета клиентов</w:t>
            </w:r>
          </w:p>
        </w:tc>
        <w:tc>
          <w:tcPr>
            <w:tcW w:w="808" w:type="pct"/>
            <w:tcBorders>
              <w:top w:val="single" w:sz="4" w:space="0" w:color="auto"/>
              <w:left w:val="nil"/>
              <w:bottom w:val="double" w:sz="6" w:space="0" w:color="auto"/>
              <w:right w:val="nil"/>
            </w:tcBorders>
            <w:shd w:val="clear" w:color="auto" w:fill="auto"/>
            <w:noWrap/>
            <w:vAlign w:val="bottom"/>
            <w:hideMark/>
          </w:tcPr>
          <w:p w:rsidR="00577C8B" w:rsidRPr="00DB0AC3" w:rsidRDefault="00577C8B" w:rsidP="00850720">
            <w:pPr>
              <w:jc w:val="right"/>
              <w:rPr>
                <w:rFonts w:cs="Arial"/>
                <w:b/>
                <w:bCs/>
                <w:color w:val="000000"/>
                <w:sz w:val="20"/>
                <w:lang w:val="ru-RU"/>
              </w:rPr>
            </w:pPr>
            <w:r w:rsidRPr="00DB0AC3">
              <w:rPr>
                <w:rFonts w:cs="Arial"/>
                <w:b/>
                <w:bCs/>
                <w:color w:val="000000"/>
                <w:sz w:val="20"/>
                <w:lang w:val="ru-RU"/>
              </w:rPr>
              <w:t>39</w:t>
            </w:r>
            <w:r w:rsidR="00340C84" w:rsidRPr="00DB0AC3">
              <w:rPr>
                <w:rFonts w:cs="Arial"/>
                <w:b/>
                <w:bCs/>
                <w:color w:val="000000"/>
                <w:sz w:val="20"/>
                <w:lang w:val="ru-RU"/>
              </w:rPr>
              <w:t> </w:t>
            </w:r>
            <w:r w:rsidRPr="00DB0AC3">
              <w:rPr>
                <w:rFonts w:cs="Arial"/>
                <w:b/>
                <w:bCs/>
                <w:color w:val="000000"/>
                <w:sz w:val="20"/>
                <w:lang w:val="ru-RU"/>
              </w:rPr>
              <w:t>92</w:t>
            </w:r>
            <w:r w:rsidR="00850720" w:rsidRPr="00DB0AC3">
              <w:rPr>
                <w:rFonts w:cs="Arial"/>
                <w:b/>
                <w:bCs/>
                <w:color w:val="000000"/>
                <w:sz w:val="20"/>
                <w:lang w:val="ru-RU"/>
              </w:rPr>
              <w:t>6</w:t>
            </w:r>
            <w:r w:rsidR="00340C84" w:rsidRPr="00DB0AC3">
              <w:rPr>
                <w:rFonts w:cs="Arial"/>
                <w:b/>
                <w:bCs/>
                <w:color w:val="000000"/>
                <w:sz w:val="20"/>
                <w:lang w:val="ru-RU"/>
              </w:rPr>
              <w:t> </w:t>
            </w:r>
            <w:r w:rsidR="00850720" w:rsidRPr="00DB0AC3">
              <w:rPr>
                <w:rFonts w:cs="Arial"/>
                <w:b/>
                <w:bCs/>
                <w:color w:val="000000"/>
                <w:sz w:val="20"/>
                <w:lang w:val="ru-RU"/>
              </w:rPr>
              <w:t>803</w:t>
            </w:r>
          </w:p>
        </w:tc>
        <w:tc>
          <w:tcPr>
            <w:tcW w:w="865" w:type="pct"/>
            <w:tcBorders>
              <w:top w:val="nil"/>
              <w:left w:val="nil"/>
              <w:bottom w:val="double" w:sz="6" w:space="0" w:color="auto"/>
              <w:right w:val="nil"/>
            </w:tcBorders>
            <w:shd w:val="clear" w:color="auto" w:fill="auto"/>
            <w:noWrap/>
            <w:vAlign w:val="bottom"/>
            <w:hideMark/>
          </w:tcPr>
          <w:p w:rsidR="00577C8B" w:rsidRPr="00DB0AC3" w:rsidRDefault="00577C8B" w:rsidP="00C17872">
            <w:pPr>
              <w:jc w:val="right"/>
              <w:rPr>
                <w:rFonts w:cs="Arial"/>
                <w:b/>
                <w:bCs/>
                <w:color w:val="000000"/>
                <w:sz w:val="20"/>
                <w:lang w:val="ru-RU"/>
              </w:rPr>
            </w:pPr>
            <w:r w:rsidRPr="00DB0AC3">
              <w:rPr>
                <w:rFonts w:cs="Arial"/>
                <w:b/>
                <w:bCs/>
                <w:color w:val="000000"/>
                <w:sz w:val="20"/>
                <w:lang w:val="ru-RU"/>
              </w:rPr>
              <w:t>37 102 363</w:t>
            </w:r>
          </w:p>
        </w:tc>
      </w:tr>
    </w:tbl>
    <w:p w:rsidR="00577C8B" w:rsidRPr="00DB0AC3" w:rsidRDefault="00577C8B" w:rsidP="00577C8B">
      <w:pPr>
        <w:pStyle w:val="210"/>
        <w:shd w:val="clear" w:color="auto" w:fill="auto"/>
        <w:spacing w:line="221" w:lineRule="exact"/>
        <w:ind w:firstLine="0"/>
        <w:rPr>
          <w:b w:val="0"/>
          <w:sz w:val="20"/>
          <w:szCs w:val="20"/>
        </w:rPr>
      </w:pPr>
    </w:p>
    <w:p w:rsidR="0062600E" w:rsidRPr="00DB0AC3" w:rsidRDefault="00577C8B" w:rsidP="00C06AC5">
      <w:pPr>
        <w:jc w:val="both"/>
        <w:rPr>
          <w:rFonts w:cs="Arial"/>
          <w:b/>
          <w:bCs/>
          <w:color w:val="000000"/>
          <w:sz w:val="20"/>
          <w:lang w:val="ru-RU"/>
        </w:rPr>
      </w:pPr>
      <w:r w:rsidRPr="00DB0AC3">
        <w:rPr>
          <w:rFonts w:cs="Arial"/>
          <w:color w:val="000000"/>
          <w:sz w:val="20"/>
          <w:lang w:val="ru-RU"/>
        </w:rPr>
        <w:t>На 31 декабря 2014 года остатки на счетах десяти крупнейших клиентов составляли 22</w:t>
      </w:r>
      <w:r w:rsidR="00892514" w:rsidRPr="00DB0AC3">
        <w:rPr>
          <w:rFonts w:cs="Arial"/>
          <w:color w:val="000000"/>
          <w:sz w:val="20"/>
          <w:lang w:val="ru-RU"/>
        </w:rPr>
        <w:t> </w:t>
      </w:r>
      <w:r w:rsidRPr="00DB0AC3">
        <w:rPr>
          <w:rFonts w:cs="Arial"/>
          <w:color w:val="000000"/>
          <w:sz w:val="20"/>
          <w:lang w:val="ru-RU"/>
        </w:rPr>
        <w:t>058</w:t>
      </w:r>
      <w:r w:rsidR="00340C84" w:rsidRPr="00DB0AC3">
        <w:rPr>
          <w:rFonts w:cs="Arial"/>
          <w:color w:val="000000"/>
          <w:sz w:val="20"/>
          <w:lang w:val="ru-RU"/>
        </w:rPr>
        <w:t> </w:t>
      </w:r>
      <w:r w:rsidRPr="00DB0AC3">
        <w:rPr>
          <w:rFonts w:cs="Arial"/>
          <w:color w:val="000000"/>
          <w:sz w:val="20"/>
          <w:lang w:val="ru-RU"/>
        </w:rPr>
        <w:t>046</w:t>
      </w:r>
      <w:r w:rsidR="00892514" w:rsidRPr="00DB0AC3">
        <w:rPr>
          <w:rFonts w:cs="Arial"/>
          <w:color w:val="000000"/>
          <w:sz w:val="20"/>
          <w:lang w:val="ru-RU"/>
        </w:rPr>
        <w:t> </w:t>
      </w:r>
      <w:r w:rsidR="0027729C" w:rsidRPr="00DB0AC3">
        <w:rPr>
          <w:rFonts w:cs="Arial"/>
          <w:color w:val="000000"/>
          <w:sz w:val="20"/>
          <w:lang w:val="ru-RU"/>
        </w:rPr>
        <w:t>тысяч рублей</w:t>
      </w:r>
      <w:r w:rsidR="00102A94">
        <w:rPr>
          <w:rFonts w:cs="Arial"/>
          <w:color w:val="000000"/>
          <w:sz w:val="20"/>
          <w:lang w:val="ru-RU"/>
        </w:rPr>
        <w:t xml:space="preserve"> </w:t>
      </w:r>
      <w:r w:rsidRPr="00DB0AC3">
        <w:rPr>
          <w:rFonts w:cs="Arial"/>
          <w:color w:val="000000"/>
          <w:sz w:val="20"/>
          <w:lang w:val="ru-RU"/>
        </w:rPr>
        <w:t>или 55.2</w:t>
      </w:r>
      <w:r w:rsidR="00EA31BB">
        <w:rPr>
          <w:rFonts w:cs="Arial"/>
          <w:color w:val="000000"/>
          <w:sz w:val="20"/>
          <w:lang w:val="ru-RU"/>
        </w:rPr>
        <w:t>5</w:t>
      </w:r>
      <w:r w:rsidRPr="00DB0AC3">
        <w:rPr>
          <w:rFonts w:cs="Arial"/>
          <w:color w:val="000000"/>
          <w:sz w:val="20"/>
          <w:lang w:val="ru-RU"/>
        </w:rPr>
        <w:t>% от общей суммы остатков средств клиентов (31 декабря 2013 года: 13</w:t>
      </w:r>
      <w:r w:rsidRPr="00DB0AC3">
        <w:rPr>
          <w:rFonts w:cs="Arial"/>
          <w:color w:val="000000"/>
          <w:sz w:val="20"/>
        </w:rPr>
        <w:t> </w:t>
      </w:r>
      <w:r w:rsidRPr="00DB0AC3">
        <w:rPr>
          <w:rFonts w:cs="Arial"/>
          <w:color w:val="000000"/>
          <w:sz w:val="20"/>
          <w:lang w:val="ru-RU"/>
        </w:rPr>
        <w:t>308</w:t>
      </w:r>
      <w:r w:rsidRPr="00DB0AC3">
        <w:rPr>
          <w:rFonts w:cs="Arial"/>
          <w:color w:val="000000"/>
          <w:sz w:val="20"/>
        </w:rPr>
        <w:t> </w:t>
      </w:r>
      <w:r w:rsidRPr="00DB0AC3">
        <w:rPr>
          <w:rFonts w:cs="Arial"/>
          <w:color w:val="000000"/>
          <w:sz w:val="20"/>
          <w:lang w:val="ru-RU"/>
        </w:rPr>
        <w:t xml:space="preserve">943 </w:t>
      </w:r>
      <w:r w:rsidR="0027729C" w:rsidRPr="00DB0AC3">
        <w:rPr>
          <w:rFonts w:cs="Arial"/>
          <w:color w:val="000000"/>
          <w:sz w:val="20"/>
          <w:lang w:val="ru-RU"/>
        </w:rPr>
        <w:t xml:space="preserve">тысяч рублей </w:t>
      </w:r>
      <w:r w:rsidRPr="00DB0AC3">
        <w:rPr>
          <w:rFonts w:cs="Arial"/>
          <w:color w:val="000000"/>
          <w:sz w:val="20"/>
          <w:lang w:val="ru-RU"/>
        </w:rPr>
        <w:t>или 35.9%).</w:t>
      </w:r>
    </w:p>
    <w:p w:rsidR="0062600E" w:rsidRPr="00DB0AC3" w:rsidRDefault="00CC0784" w:rsidP="00C06AC5">
      <w:pPr>
        <w:jc w:val="both"/>
        <w:rPr>
          <w:rFonts w:cs="Arial"/>
          <w:color w:val="000000"/>
          <w:sz w:val="20"/>
          <w:lang w:val="ru-RU"/>
        </w:rPr>
      </w:pPr>
      <w:r w:rsidRPr="00DB0AC3">
        <w:rPr>
          <w:rFonts w:cs="Arial"/>
          <w:color w:val="000000"/>
          <w:sz w:val="20"/>
          <w:lang w:val="ru-RU"/>
        </w:rPr>
        <w:t>На 31 декабря 2014 Банк имел неисполненные обязательства перед клиентами в части средств, списанных со счетов клиентов, но не проведенных по корреспондентскому счету Банка из-за недостаточности средств, в размере 3</w:t>
      </w:r>
      <w:r w:rsidR="00340C84" w:rsidRPr="00DB0AC3">
        <w:rPr>
          <w:rFonts w:cs="Arial"/>
          <w:color w:val="000000"/>
          <w:sz w:val="20"/>
          <w:lang w:val="ru-RU"/>
        </w:rPr>
        <w:t> </w:t>
      </w:r>
      <w:r w:rsidRPr="00DB0AC3">
        <w:rPr>
          <w:rFonts w:cs="Arial"/>
          <w:color w:val="000000"/>
          <w:sz w:val="20"/>
          <w:lang w:val="ru-RU"/>
        </w:rPr>
        <w:t>742 942  тысяч</w:t>
      </w:r>
      <w:r w:rsidR="00EA31BB">
        <w:rPr>
          <w:rFonts w:cs="Arial"/>
          <w:color w:val="000000"/>
          <w:sz w:val="20"/>
          <w:lang w:val="ru-RU"/>
        </w:rPr>
        <w:t>и</w:t>
      </w:r>
      <w:r w:rsidRPr="00DB0AC3">
        <w:rPr>
          <w:rFonts w:cs="Arial"/>
          <w:color w:val="000000"/>
          <w:sz w:val="20"/>
          <w:lang w:val="ru-RU"/>
        </w:rPr>
        <w:t xml:space="preserve"> руб</w:t>
      </w:r>
      <w:r w:rsidR="00EA31BB">
        <w:rPr>
          <w:rFonts w:cs="Arial"/>
          <w:color w:val="000000"/>
          <w:sz w:val="20"/>
          <w:lang w:val="ru-RU"/>
        </w:rPr>
        <w:t>лей</w:t>
      </w:r>
      <w:r w:rsidRPr="00DB0AC3">
        <w:rPr>
          <w:rFonts w:cs="Arial"/>
          <w:color w:val="000000"/>
          <w:sz w:val="20"/>
          <w:lang w:val="ru-RU"/>
        </w:rPr>
        <w:t>. В апреле 2015 года Банком были исполнены все обязательства по платежам клиентов.</w:t>
      </w:r>
    </w:p>
    <w:p w:rsidR="0062600E" w:rsidRPr="00DB0AC3" w:rsidRDefault="00577C8B" w:rsidP="00C06AC5">
      <w:pPr>
        <w:pStyle w:val="210"/>
        <w:shd w:val="clear" w:color="auto" w:fill="auto"/>
        <w:spacing w:line="221" w:lineRule="exact"/>
        <w:ind w:firstLine="0"/>
        <w:jc w:val="both"/>
        <w:rPr>
          <w:b w:val="0"/>
          <w:bCs w:val="0"/>
          <w:color w:val="000000"/>
          <w:sz w:val="20"/>
          <w:szCs w:val="20"/>
        </w:rPr>
      </w:pPr>
      <w:r w:rsidRPr="00DB0AC3">
        <w:rPr>
          <w:b w:val="0"/>
          <w:sz w:val="20"/>
          <w:szCs w:val="20"/>
        </w:rPr>
        <w:t>Страновой, валютный и процентный анализ, а также анализ по срокам погашения средств клиентов представлены в Примечании 33.</w:t>
      </w:r>
    </w:p>
    <w:p w:rsidR="0062600E" w:rsidRPr="00DB0AC3" w:rsidRDefault="00577C8B" w:rsidP="00C06AC5">
      <w:pPr>
        <w:pStyle w:val="210"/>
        <w:shd w:val="clear" w:color="auto" w:fill="auto"/>
        <w:spacing w:line="221" w:lineRule="exact"/>
        <w:ind w:firstLine="0"/>
        <w:jc w:val="both"/>
        <w:rPr>
          <w:b w:val="0"/>
          <w:bCs w:val="0"/>
          <w:color w:val="000000"/>
          <w:sz w:val="20"/>
          <w:szCs w:val="20"/>
        </w:rPr>
      </w:pPr>
      <w:r w:rsidRPr="00DB0AC3">
        <w:rPr>
          <w:b w:val="0"/>
          <w:sz w:val="20"/>
          <w:szCs w:val="20"/>
        </w:rPr>
        <w:t>Остатки на текущих счетах и депозитах связанных сторон и связанные с ними процентные расходы раскрыты в Примечании 34.</w:t>
      </w:r>
    </w:p>
    <w:p w:rsidR="006572FF" w:rsidRPr="00900BB8" w:rsidRDefault="0049742C" w:rsidP="00892514">
      <w:pPr>
        <w:pStyle w:val="1"/>
        <w:keepNext w:val="0"/>
        <w:widowControl w:val="0"/>
        <w:spacing w:before="480"/>
        <w:rPr>
          <w:rFonts w:cs="Arial"/>
          <w:lang w:val="ru-RU"/>
        </w:rPr>
      </w:pPr>
      <w:bookmarkStart w:id="155" w:name="_Средства_других_банков"/>
      <w:bookmarkStart w:id="156" w:name="_Toc441479804"/>
      <w:bookmarkEnd w:id="155"/>
      <w:r w:rsidRPr="00900BB8">
        <w:rPr>
          <w:rFonts w:cs="Arial"/>
          <w:lang w:val="ru-RU"/>
        </w:rPr>
        <w:t xml:space="preserve">Выпущенные </w:t>
      </w:r>
      <w:r w:rsidR="00F3741F" w:rsidRPr="00900BB8">
        <w:rPr>
          <w:rFonts w:cs="Arial"/>
          <w:lang w:val="ru-RU"/>
        </w:rPr>
        <w:t>долговые ценные бумаги</w:t>
      </w:r>
      <w:bookmarkEnd w:id="156"/>
    </w:p>
    <w:p w:rsidR="00600FFB" w:rsidRPr="00DB0AC3" w:rsidRDefault="00600FFB" w:rsidP="00600FFB">
      <w:pPr>
        <w:pStyle w:val="210"/>
        <w:shd w:val="clear" w:color="auto" w:fill="auto"/>
        <w:spacing w:line="180" w:lineRule="exact"/>
        <w:ind w:firstLine="0"/>
        <w:rPr>
          <w:b w:val="0"/>
          <w:sz w:val="20"/>
          <w:szCs w:val="20"/>
        </w:rPr>
      </w:pPr>
      <w:r w:rsidRPr="00DB0AC3">
        <w:rPr>
          <w:b w:val="0"/>
          <w:sz w:val="20"/>
          <w:szCs w:val="20"/>
        </w:rPr>
        <w:t>Выпущенные долговые ценные бумаги представлены следующим образом:</w:t>
      </w:r>
    </w:p>
    <w:p w:rsidR="00600FFB" w:rsidRPr="00DB0AC3" w:rsidRDefault="00600FFB" w:rsidP="00600FFB">
      <w:pPr>
        <w:pStyle w:val="210"/>
        <w:shd w:val="clear" w:color="auto" w:fill="auto"/>
        <w:spacing w:line="180" w:lineRule="exact"/>
        <w:ind w:firstLine="0"/>
        <w:rPr>
          <w:b w:val="0"/>
          <w:sz w:val="20"/>
          <w:szCs w:val="20"/>
        </w:rPr>
      </w:pPr>
    </w:p>
    <w:tbl>
      <w:tblPr>
        <w:tblW w:w="9320" w:type="dxa"/>
        <w:tblInd w:w="93" w:type="dxa"/>
        <w:tblLook w:val="04A0"/>
      </w:tblPr>
      <w:tblGrid>
        <w:gridCol w:w="5160"/>
        <w:gridCol w:w="2080"/>
        <w:gridCol w:w="2080"/>
      </w:tblGrid>
      <w:tr w:rsidR="00600FFB" w:rsidRPr="00DB0AC3" w:rsidTr="00C17872">
        <w:trPr>
          <w:trHeight w:val="300"/>
        </w:trPr>
        <w:tc>
          <w:tcPr>
            <w:tcW w:w="5160" w:type="dxa"/>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p>
        </w:tc>
        <w:tc>
          <w:tcPr>
            <w:tcW w:w="2080" w:type="dxa"/>
            <w:tcBorders>
              <w:top w:val="nil"/>
              <w:left w:val="nil"/>
              <w:bottom w:val="single" w:sz="4" w:space="0" w:color="auto"/>
              <w:right w:val="nil"/>
            </w:tcBorders>
            <w:shd w:val="clear" w:color="auto" w:fill="auto"/>
            <w:vAlign w:val="bottom"/>
            <w:hideMark/>
          </w:tcPr>
          <w:p w:rsidR="00600FFB" w:rsidRPr="00DB0AC3" w:rsidRDefault="00600FFB" w:rsidP="00C17872">
            <w:pPr>
              <w:jc w:val="right"/>
              <w:rPr>
                <w:rFonts w:cs="Arial"/>
                <w:b/>
                <w:bCs/>
                <w:color w:val="000000"/>
                <w:sz w:val="20"/>
                <w:lang w:val="ru-RU"/>
              </w:rPr>
            </w:pPr>
            <w:r w:rsidRPr="00DB0AC3">
              <w:rPr>
                <w:rFonts w:cs="Arial"/>
                <w:b/>
                <w:bCs/>
                <w:color w:val="000000"/>
                <w:sz w:val="20"/>
                <w:lang w:val="ru-RU"/>
              </w:rPr>
              <w:t>31 декабря 2014</w:t>
            </w:r>
          </w:p>
        </w:tc>
        <w:tc>
          <w:tcPr>
            <w:tcW w:w="2080" w:type="dxa"/>
            <w:tcBorders>
              <w:top w:val="nil"/>
              <w:left w:val="nil"/>
              <w:bottom w:val="single" w:sz="4" w:space="0" w:color="auto"/>
              <w:right w:val="nil"/>
            </w:tcBorders>
            <w:shd w:val="clear" w:color="auto" w:fill="auto"/>
            <w:vAlign w:val="bottom"/>
            <w:hideMark/>
          </w:tcPr>
          <w:p w:rsidR="00600FFB" w:rsidRPr="00DB0AC3" w:rsidRDefault="00600FFB" w:rsidP="00C17872">
            <w:pPr>
              <w:jc w:val="right"/>
              <w:rPr>
                <w:rFonts w:cs="Arial"/>
                <w:b/>
                <w:bCs/>
                <w:color w:val="000000"/>
                <w:sz w:val="20"/>
                <w:lang w:val="ru-RU"/>
              </w:rPr>
            </w:pPr>
            <w:r w:rsidRPr="00DB0AC3">
              <w:rPr>
                <w:rFonts w:cs="Arial"/>
                <w:b/>
                <w:bCs/>
                <w:color w:val="000000"/>
                <w:sz w:val="20"/>
                <w:lang w:val="ru-RU"/>
              </w:rPr>
              <w:t>31 декабря 2013</w:t>
            </w:r>
          </w:p>
        </w:tc>
      </w:tr>
      <w:tr w:rsidR="00600FFB" w:rsidRPr="00DB0AC3" w:rsidTr="00C17872">
        <w:trPr>
          <w:trHeight w:val="300"/>
        </w:trPr>
        <w:tc>
          <w:tcPr>
            <w:tcW w:w="5160" w:type="dxa"/>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Векселя</w:t>
            </w:r>
          </w:p>
        </w:tc>
        <w:tc>
          <w:tcPr>
            <w:tcW w:w="2080" w:type="dxa"/>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166 115</w:t>
            </w:r>
          </w:p>
        </w:tc>
        <w:tc>
          <w:tcPr>
            <w:tcW w:w="2080" w:type="dxa"/>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572 590</w:t>
            </w:r>
          </w:p>
        </w:tc>
      </w:tr>
      <w:tr w:rsidR="00600FFB" w:rsidRPr="00DB0AC3" w:rsidTr="00C17872">
        <w:trPr>
          <w:trHeight w:val="300"/>
        </w:trPr>
        <w:tc>
          <w:tcPr>
            <w:tcW w:w="5160" w:type="dxa"/>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Депозитные сертификаты</w:t>
            </w:r>
          </w:p>
        </w:tc>
        <w:tc>
          <w:tcPr>
            <w:tcW w:w="2080" w:type="dxa"/>
            <w:tcBorders>
              <w:top w:val="nil"/>
              <w:left w:val="nil"/>
              <w:bottom w:val="single" w:sz="4" w:space="0" w:color="auto"/>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6 190</w:t>
            </w:r>
          </w:p>
        </w:tc>
        <w:tc>
          <w:tcPr>
            <w:tcW w:w="2080" w:type="dxa"/>
            <w:tcBorders>
              <w:top w:val="nil"/>
              <w:left w:val="nil"/>
              <w:bottom w:val="single" w:sz="4" w:space="0" w:color="auto"/>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6 196</w:t>
            </w:r>
          </w:p>
        </w:tc>
      </w:tr>
      <w:tr w:rsidR="00600FFB" w:rsidRPr="00DB0AC3" w:rsidTr="00C17872">
        <w:trPr>
          <w:trHeight w:val="315"/>
        </w:trPr>
        <w:tc>
          <w:tcPr>
            <w:tcW w:w="5160" w:type="dxa"/>
            <w:tcBorders>
              <w:top w:val="nil"/>
              <w:left w:val="nil"/>
              <w:bottom w:val="nil"/>
              <w:right w:val="nil"/>
            </w:tcBorders>
            <w:shd w:val="clear" w:color="auto" w:fill="auto"/>
            <w:noWrap/>
            <w:vAlign w:val="bottom"/>
            <w:hideMark/>
          </w:tcPr>
          <w:p w:rsidR="00600FFB" w:rsidRPr="00DB0AC3" w:rsidRDefault="00600FFB" w:rsidP="00C17872">
            <w:pPr>
              <w:rPr>
                <w:rFonts w:cs="Arial"/>
                <w:b/>
                <w:bCs/>
                <w:color w:val="000000"/>
                <w:sz w:val="20"/>
                <w:lang w:val="ru-RU"/>
              </w:rPr>
            </w:pPr>
            <w:r w:rsidRPr="00DB0AC3">
              <w:rPr>
                <w:rFonts w:cs="Arial"/>
                <w:b/>
                <w:bCs/>
                <w:color w:val="000000"/>
                <w:sz w:val="20"/>
                <w:lang w:val="ru-RU"/>
              </w:rPr>
              <w:t>Итого</w:t>
            </w:r>
          </w:p>
        </w:tc>
        <w:tc>
          <w:tcPr>
            <w:tcW w:w="2080" w:type="dxa"/>
            <w:tcBorders>
              <w:top w:val="nil"/>
              <w:left w:val="nil"/>
              <w:bottom w:val="double" w:sz="6" w:space="0" w:color="auto"/>
              <w:right w:val="nil"/>
            </w:tcBorders>
            <w:shd w:val="clear" w:color="auto" w:fill="auto"/>
            <w:noWrap/>
            <w:vAlign w:val="bottom"/>
            <w:hideMark/>
          </w:tcPr>
          <w:p w:rsidR="00600FFB" w:rsidRPr="00DB0AC3" w:rsidRDefault="00600FFB" w:rsidP="00C17872">
            <w:pPr>
              <w:jc w:val="right"/>
              <w:rPr>
                <w:rFonts w:cs="Arial"/>
                <w:b/>
                <w:bCs/>
                <w:color w:val="000000"/>
                <w:sz w:val="20"/>
                <w:lang w:val="ru-RU"/>
              </w:rPr>
            </w:pPr>
            <w:r w:rsidRPr="00DB0AC3">
              <w:rPr>
                <w:rFonts w:cs="Arial"/>
                <w:b/>
                <w:bCs/>
                <w:color w:val="000000"/>
                <w:sz w:val="20"/>
                <w:lang w:val="ru-RU"/>
              </w:rPr>
              <w:t>172 305</w:t>
            </w:r>
          </w:p>
        </w:tc>
        <w:tc>
          <w:tcPr>
            <w:tcW w:w="2080" w:type="dxa"/>
            <w:tcBorders>
              <w:top w:val="nil"/>
              <w:left w:val="nil"/>
              <w:bottom w:val="double" w:sz="6" w:space="0" w:color="auto"/>
              <w:right w:val="nil"/>
            </w:tcBorders>
            <w:shd w:val="clear" w:color="auto" w:fill="auto"/>
            <w:noWrap/>
            <w:vAlign w:val="bottom"/>
            <w:hideMark/>
          </w:tcPr>
          <w:p w:rsidR="00600FFB" w:rsidRPr="00DB0AC3" w:rsidRDefault="00600FFB" w:rsidP="00C17872">
            <w:pPr>
              <w:jc w:val="right"/>
              <w:rPr>
                <w:rFonts w:cs="Arial"/>
                <w:b/>
                <w:bCs/>
                <w:color w:val="000000"/>
                <w:sz w:val="20"/>
                <w:lang w:val="ru-RU"/>
              </w:rPr>
            </w:pPr>
            <w:r w:rsidRPr="00DB0AC3">
              <w:rPr>
                <w:rFonts w:cs="Arial"/>
                <w:b/>
                <w:bCs/>
                <w:color w:val="000000"/>
                <w:sz w:val="20"/>
                <w:lang w:val="ru-RU"/>
              </w:rPr>
              <w:t>578 786</w:t>
            </w:r>
          </w:p>
        </w:tc>
      </w:tr>
    </w:tbl>
    <w:p w:rsidR="00600FFB" w:rsidRPr="00DB0AC3" w:rsidRDefault="00600FFB" w:rsidP="00600FFB">
      <w:pPr>
        <w:rPr>
          <w:rFonts w:cs="Arial"/>
          <w:sz w:val="20"/>
          <w:lang w:val="ru-RU"/>
        </w:rPr>
      </w:pPr>
    </w:p>
    <w:p w:rsidR="0062600E" w:rsidRDefault="00600FFB" w:rsidP="00C06AC5">
      <w:pPr>
        <w:pStyle w:val="210"/>
        <w:shd w:val="clear" w:color="auto" w:fill="auto"/>
        <w:spacing w:line="240" w:lineRule="exact"/>
        <w:ind w:firstLine="0"/>
        <w:jc w:val="both"/>
        <w:rPr>
          <w:b w:val="0"/>
          <w:sz w:val="20"/>
          <w:szCs w:val="20"/>
        </w:rPr>
      </w:pPr>
      <w:r w:rsidRPr="00DB0AC3">
        <w:rPr>
          <w:b w:val="0"/>
          <w:sz w:val="20"/>
          <w:szCs w:val="20"/>
        </w:rPr>
        <w:t>Страновой, валютный и процентный анализ, а также анализ по срокам погашения выпущенных долговых ценных бумаг представлены в Примечании 33.</w:t>
      </w:r>
    </w:p>
    <w:p w:rsidR="003D6F26" w:rsidRDefault="003D6F26" w:rsidP="00C06AC5">
      <w:pPr>
        <w:pStyle w:val="210"/>
        <w:shd w:val="clear" w:color="auto" w:fill="auto"/>
        <w:spacing w:line="240" w:lineRule="exact"/>
        <w:ind w:firstLine="0"/>
        <w:jc w:val="both"/>
        <w:rPr>
          <w:b w:val="0"/>
          <w:sz w:val="20"/>
          <w:szCs w:val="20"/>
        </w:rPr>
      </w:pPr>
    </w:p>
    <w:p w:rsidR="003D6F26" w:rsidRDefault="003D6F26" w:rsidP="00C06AC5">
      <w:pPr>
        <w:pStyle w:val="210"/>
        <w:shd w:val="clear" w:color="auto" w:fill="auto"/>
        <w:spacing w:line="240" w:lineRule="exact"/>
        <w:ind w:firstLine="0"/>
        <w:jc w:val="both"/>
        <w:rPr>
          <w:b w:val="0"/>
          <w:sz w:val="20"/>
          <w:szCs w:val="20"/>
        </w:rPr>
      </w:pPr>
    </w:p>
    <w:p w:rsidR="003D6F26" w:rsidRDefault="003D6F26" w:rsidP="00C06AC5">
      <w:pPr>
        <w:pStyle w:val="210"/>
        <w:shd w:val="clear" w:color="auto" w:fill="auto"/>
        <w:spacing w:line="240" w:lineRule="exact"/>
        <w:ind w:firstLine="0"/>
        <w:jc w:val="both"/>
        <w:rPr>
          <w:b w:val="0"/>
          <w:sz w:val="20"/>
          <w:szCs w:val="20"/>
        </w:rPr>
      </w:pPr>
    </w:p>
    <w:p w:rsidR="003D6F26" w:rsidRDefault="003D6F26" w:rsidP="00C06AC5">
      <w:pPr>
        <w:pStyle w:val="210"/>
        <w:shd w:val="clear" w:color="auto" w:fill="auto"/>
        <w:spacing w:line="240" w:lineRule="exact"/>
        <w:ind w:firstLine="0"/>
        <w:jc w:val="both"/>
        <w:rPr>
          <w:b w:val="0"/>
          <w:sz w:val="20"/>
          <w:szCs w:val="20"/>
        </w:rPr>
      </w:pPr>
    </w:p>
    <w:p w:rsidR="003D6F26" w:rsidRDefault="003D6F26" w:rsidP="00C06AC5">
      <w:pPr>
        <w:pStyle w:val="210"/>
        <w:shd w:val="clear" w:color="auto" w:fill="auto"/>
        <w:spacing w:line="240" w:lineRule="exact"/>
        <w:ind w:firstLine="0"/>
        <w:jc w:val="both"/>
        <w:rPr>
          <w:b w:val="0"/>
          <w:sz w:val="20"/>
          <w:szCs w:val="20"/>
        </w:rPr>
      </w:pPr>
    </w:p>
    <w:p w:rsidR="003D6F26" w:rsidRDefault="003D6F26" w:rsidP="00C06AC5">
      <w:pPr>
        <w:pStyle w:val="210"/>
        <w:shd w:val="clear" w:color="auto" w:fill="auto"/>
        <w:spacing w:line="240" w:lineRule="exact"/>
        <w:ind w:firstLine="0"/>
        <w:jc w:val="both"/>
        <w:rPr>
          <w:b w:val="0"/>
          <w:sz w:val="20"/>
          <w:szCs w:val="20"/>
        </w:rPr>
      </w:pPr>
    </w:p>
    <w:p w:rsidR="003D6F26" w:rsidRDefault="003D6F26" w:rsidP="00C06AC5">
      <w:pPr>
        <w:pStyle w:val="210"/>
        <w:shd w:val="clear" w:color="auto" w:fill="auto"/>
        <w:spacing w:line="240" w:lineRule="exact"/>
        <w:ind w:firstLine="0"/>
        <w:jc w:val="both"/>
        <w:rPr>
          <w:b w:val="0"/>
          <w:sz w:val="20"/>
          <w:szCs w:val="20"/>
        </w:rPr>
      </w:pPr>
    </w:p>
    <w:p w:rsidR="003D6F26" w:rsidRPr="00DB0AC3" w:rsidRDefault="003D6F26" w:rsidP="00C06AC5">
      <w:pPr>
        <w:pStyle w:val="210"/>
        <w:shd w:val="clear" w:color="auto" w:fill="auto"/>
        <w:spacing w:line="240" w:lineRule="exact"/>
        <w:ind w:firstLine="0"/>
        <w:jc w:val="both"/>
        <w:rPr>
          <w:b w:val="0"/>
          <w:sz w:val="20"/>
          <w:szCs w:val="20"/>
        </w:rPr>
      </w:pPr>
    </w:p>
    <w:p w:rsidR="006572FF" w:rsidRPr="00DB0AC3" w:rsidRDefault="00600FFB">
      <w:pPr>
        <w:pStyle w:val="1"/>
        <w:keepNext w:val="0"/>
        <w:widowControl w:val="0"/>
        <w:spacing w:before="480" w:line="233" w:lineRule="auto"/>
        <w:jc w:val="both"/>
        <w:rPr>
          <w:rFonts w:cs="Arial"/>
          <w:kern w:val="0"/>
          <w:lang w:val="ru-RU"/>
        </w:rPr>
      </w:pPr>
      <w:bookmarkStart w:id="157" w:name="_Toc290639468"/>
      <w:bookmarkStart w:id="158" w:name="_Toc441479805"/>
      <w:bookmarkEnd w:id="157"/>
      <w:r w:rsidRPr="00DB0AC3">
        <w:rPr>
          <w:rFonts w:cs="Arial"/>
          <w:kern w:val="0"/>
          <w:lang w:val="ru-RU"/>
        </w:rPr>
        <w:lastRenderedPageBreak/>
        <w:t>Субординированные займы</w:t>
      </w:r>
      <w:bookmarkEnd w:id="158"/>
    </w:p>
    <w:p w:rsidR="0062600E" w:rsidRPr="00DB0AC3" w:rsidRDefault="00600FFB" w:rsidP="00C06AC5">
      <w:pPr>
        <w:pStyle w:val="210"/>
        <w:shd w:val="clear" w:color="auto" w:fill="auto"/>
        <w:spacing w:line="240" w:lineRule="exact"/>
        <w:ind w:firstLine="0"/>
        <w:jc w:val="both"/>
        <w:rPr>
          <w:sz w:val="20"/>
          <w:szCs w:val="20"/>
        </w:rPr>
      </w:pPr>
      <w:r w:rsidRPr="00DB0AC3">
        <w:rPr>
          <w:b w:val="0"/>
          <w:sz w:val="20"/>
          <w:szCs w:val="20"/>
        </w:rPr>
        <w:t>Субординированные займы на 31 декабря 2014</w:t>
      </w:r>
      <w:r w:rsidR="008F5275" w:rsidRPr="00DB0AC3">
        <w:rPr>
          <w:b w:val="0"/>
          <w:sz w:val="20"/>
          <w:szCs w:val="20"/>
        </w:rPr>
        <w:t xml:space="preserve"> года</w:t>
      </w:r>
      <w:r w:rsidRPr="00DB0AC3">
        <w:rPr>
          <w:b w:val="0"/>
          <w:sz w:val="20"/>
          <w:szCs w:val="20"/>
        </w:rPr>
        <w:t xml:space="preserve"> были представлены кредитами, полученными на следующих условиях:</w:t>
      </w:r>
    </w:p>
    <w:tbl>
      <w:tblPr>
        <w:tblW w:w="5000" w:type="pct"/>
        <w:tblLook w:val="04A0"/>
      </w:tblPr>
      <w:tblGrid>
        <w:gridCol w:w="2878"/>
        <w:gridCol w:w="1741"/>
        <w:gridCol w:w="1741"/>
        <w:gridCol w:w="837"/>
        <w:gridCol w:w="1088"/>
        <w:gridCol w:w="1538"/>
      </w:tblGrid>
      <w:tr w:rsidR="00600FFB" w:rsidRPr="00DB0AC3" w:rsidTr="00C17872">
        <w:trPr>
          <w:trHeight w:val="600"/>
        </w:trPr>
        <w:tc>
          <w:tcPr>
            <w:tcW w:w="1465" w:type="pct"/>
            <w:tcBorders>
              <w:top w:val="nil"/>
              <w:left w:val="nil"/>
              <w:bottom w:val="single" w:sz="4" w:space="0" w:color="auto"/>
              <w:right w:val="nil"/>
            </w:tcBorders>
            <w:shd w:val="clear" w:color="auto" w:fill="auto"/>
            <w:noWrap/>
            <w:vAlign w:val="bottom"/>
            <w:hideMark/>
          </w:tcPr>
          <w:p w:rsidR="00600FFB" w:rsidRPr="00DB0AC3" w:rsidRDefault="00600FFB" w:rsidP="00C17872">
            <w:pPr>
              <w:rPr>
                <w:rFonts w:cs="Arial"/>
                <w:b/>
                <w:bCs/>
                <w:color w:val="000000"/>
                <w:sz w:val="20"/>
                <w:lang w:val="ru-RU"/>
              </w:rPr>
            </w:pPr>
            <w:r w:rsidRPr="00DB0AC3">
              <w:rPr>
                <w:rFonts w:cs="Arial"/>
                <w:b/>
                <w:bCs/>
                <w:color w:val="000000"/>
                <w:sz w:val="20"/>
                <w:lang w:val="ru-RU"/>
              </w:rPr>
              <w:t>Кредитор</w:t>
            </w:r>
          </w:p>
        </w:tc>
        <w:tc>
          <w:tcPr>
            <w:tcW w:w="886" w:type="pct"/>
            <w:tcBorders>
              <w:top w:val="nil"/>
              <w:left w:val="nil"/>
              <w:bottom w:val="single" w:sz="4" w:space="0" w:color="auto"/>
              <w:right w:val="nil"/>
            </w:tcBorders>
            <w:shd w:val="clear" w:color="auto" w:fill="auto"/>
            <w:vAlign w:val="bottom"/>
            <w:hideMark/>
          </w:tcPr>
          <w:p w:rsidR="00600FFB" w:rsidRPr="00DB0AC3" w:rsidRDefault="00600FFB" w:rsidP="00C17872">
            <w:pPr>
              <w:jc w:val="center"/>
              <w:rPr>
                <w:rFonts w:cs="Arial"/>
                <w:b/>
                <w:bCs/>
                <w:color w:val="000000"/>
                <w:sz w:val="20"/>
                <w:lang w:val="ru-RU"/>
              </w:rPr>
            </w:pPr>
            <w:r w:rsidRPr="00DB0AC3">
              <w:rPr>
                <w:rFonts w:cs="Arial"/>
                <w:b/>
                <w:bCs/>
                <w:color w:val="000000"/>
                <w:sz w:val="20"/>
                <w:lang w:val="ru-RU"/>
              </w:rPr>
              <w:t>Дата контракта</w:t>
            </w:r>
          </w:p>
        </w:tc>
        <w:tc>
          <w:tcPr>
            <w:tcW w:w="886" w:type="pct"/>
            <w:tcBorders>
              <w:top w:val="nil"/>
              <w:left w:val="nil"/>
              <w:bottom w:val="single" w:sz="4" w:space="0" w:color="auto"/>
              <w:right w:val="nil"/>
            </w:tcBorders>
            <w:shd w:val="clear" w:color="auto" w:fill="auto"/>
            <w:vAlign w:val="bottom"/>
            <w:hideMark/>
          </w:tcPr>
          <w:p w:rsidR="00600FFB" w:rsidRPr="00DB0AC3" w:rsidRDefault="00600FFB" w:rsidP="00C17872">
            <w:pPr>
              <w:jc w:val="center"/>
              <w:rPr>
                <w:rFonts w:cs="Arial"/>
                <w:b/>
                <w:bCs/>
                <w:color w:val="000000"/>
                <w:sz w:val="20"/>
                <w:lang w:val="ru-RU"/>
              </w:rPr>
            </w:pPr>
            <w:r w:rsidRPr="00DB0AC3">
              <w:rPr>
                <w:rFonts w:cs="Arial"/>
                <w:b/>
                <w:bCs/>
                <w:color w:val="000000"/>
                <w:sz w:val="20"/>
                <w:lang w:val="ru-RU"/>
              </w:rPr>
              <w:t>Дата погашения</w:t>
            </w:r>
          </w:p>
        </w:tc>
        <w:tc>
          <w:tcPr>
            <w:tcW w:w="426" w:type="pct"/>
            <w:tcBorders>
              <w:top w:val="nil"/>
              <w:left w:val="nil"/>
              <w:bottom w:val="single" w:sz="4" w:space="0" w:color="auto"/>
              <w:right w:val="nil"/>
            </w:tcBorders>
            <w:shd w:val="clear" w:color="auto" w:fill="auto"/>
            <w:vAlign w:val="bottom"/>
            <w:hideMark/>
          </w:tcPr>
          <w:p w:rsidR="00600FFB" w:rsidRPr="00DB0AC3" w:rsidRDefault="00600FFB" w:rsidP="00C17872">
            <w:pPr>
              <w:jc w:val="center"/>
              <w:rPr>
                <w:rFonts w:cs="Arial"/>
                <w:b/>
                <w:bCs/>
                <w:color w:val="000000"/>
                <w:sz w:val="20"/>
                <w:lang w:val="ru-RU"/>
              </w:rPr>
            </w:pPr>
            <w:r w:rsidRPr="00DB0AC3">
              <w:rPr>
                <w:rFonts w:cs="Arial"/>
                <w:b/>
                <w:bCs/>
                <w:color w:val="000000"/>
                <w:sz w:val="20"/>
                <w:lang w:val="ru-RU"/>
              </w:rPr>
              <w:t>%</w:t>
            </w:r>
          </w:p>
        </w:tc>
        <w:tc>
          <w:tcPr>
            <w:tcW w:w="554" w:type="pct"/>
            <w:tcBorders>
              <w:top w:val="nil"/>
              <w:left w:val="nil"/>
              <w:bottom w:val="single" w:sz="4" w:space="0" w:color="auto"/>
              <w:right w:val="nil"/>
            </w:tcBorders>
            <w:shd w:val="clear" w:color="auto" w:fill="auto"/>
            <w:vAlign w:val="bottom"/>
            <w:hideMark/>
          </w:tcPr>
          <w:p w:rsidR="00600FFB" w:rsidRPr="00DB0AC3" w:rsidRDefault="00600FFB" w:rsidP="00C17872">
            <w:pPr>
              <w:jc w:val="center"/>
              <w:rPr>
                <w:rFonts w:cs="Arial"/>
                <w:b/>
                <w:bCs/>
                <w:color w:val="000000"/>
                <w:sz w:val="20"/>
                <w:lang w:val="ru-RU"/>
              </w:rPr>
            </w:pPr>
            <w:r w:rsidRPr="00DB0AC3">
              <w:rPr>
                <w:rFonts w:cs="Arial"/>
                <w:b/>
                <w:bCs/>
                <w:color w:val="000000"/>
                <w:sz w:val="20"/>
                <w:lang w:val="ru-RU"/>
              </w:rPr>
              <w:t>Валюта</w:t>
            </w:r>
          </w:p>
        </w:tc>
        <w:tc>
          <w:tcPr>
            <w:tcW w:w="783" w:type="pct"/>
            <w:tcBorders>
              <w:top w:val="nil"/>
              <w:left w:val="nil"/>
              <w:bottom w:val="single" w:sz="4" w:space="0" w:color="auto"/>
              <w:right w:val="nil"/>
            </w:tcBorders>
            <w:shd w:val="clear" w:color="auto" w:fill="auto"/>
            <w:vAlign w:val="bottom"/>
            <w:hideMark/>
          </w:tcPr>
          <w:p w:rsidR="00600FFB" w:rsidRPr="00DB0AC3" w:rsidRDefault="00600FFB" w:rsidP="00C17872">
            <w:pPr>
              <w:jc w:val="center"/>
              <w:rPr>
                <w:rFonts w:cs="Arial"/>
                <w:b/>
                <w:bCs/>
                <w:color w:val="000000"/>
                <w:sz w:val="20"/>
                <w:lang w:val="ru-RU"/>
              </w:rPr>
            </w:pPr>
            <w:r w:rsidRPr="00DB0AC3">
              <w:rPr>
                <w:rFonts w:cs="Arial"/>
                <w:b/>
                <w:bCs/>
                <w:color w:val="000000"/>
                <w:sz w:val="20"/>
                <w:lang w:val="ru-RU"/>
              </w:rPr>
              <w:t>Остаток на конец года</w:t>
            </w:r>
          </w:p>
        </w:tc>
      </w:tr>
      <w:tr w:rsidR="00600FFB" w:rsidRPr="00DB0AC3" w:rsidTr="00C17872">
        <w:trPr>
          <w:trHeight w:val="300"/>
        </w:trPr>
        <w:tc>
          <w:tcPr>
            <w:tcW w:w="1465" w:type="pct"/>
            <w:tcBorders>
              <w:top w:val="nil"/>
              <w:left w:val="nil"/>
              <w:bottom w:val="nil"/>
              <w:right w:val="nil"/>
            </w:tcBorders>
            <w:shd w:val="clear" w:color="auto" w:fill="auto"/>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СПИК ОАО</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Май 2003</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Май 2017</w:t>
            </w:r>
          </w:p>
        </w:tc>
        <w:tc>
          <w:tcPr>
            <w:tcW w:w="42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9.00%</w:t>
            </w:r>
          </w:p>
        </w:tc>
        <w:tc>
          <w:tcPr>
            <w:tcW w:w="554" w:type="pct"/>
            <w:tcBorders>
              <w:top w:val="nil"/>
              <w:left w:val="nil"/>
              <w:bottom w:val="nil"/>
              <w:right w:val="nil"/>
            </w:tcBorders>
            <w:shd w:val="clear" w:color="auto" w:fill="auto"/>
            <w:noWrap/>
            <w:vAlign w:val="bottom"/>
            <w:hideMark/>
          </w:tcPr>
          <w:p w:rsidR="00600FFB" w:rsidRPr="00DB0AC3" w:rsidRDefault="00600FFB" w:rsidP="00C17872">
            <w:pPr>
              <w:jc w:val="center"/>
              <w:rPr>
                <w:rFonts w:cs="Arial"/>
                <w:color w:val="000000"/>
                <w:sz w:val="20"/>
                <w:lang w:val="ru-RU"/>
              </w:rPr>
            </w:pPr>
            <w:r w:rsidRPr="00DB0AC3">
              <w:rPr>
                <w:rFonts w:cs="Arial"/>
                <w:color w:val="000000"/>
                <w:sz w:val="20"/>
                <w:lang w:val="ru-RU"/>
              </w:rPr>
              <w:t>Рубль</w:t>
            </w:r>
          </w:p>
        </w:tc>
        <w:tc>
          <w:tcPr>
            <w:tcW w:w="783" w:type="pct"/>
            <w:tcBorders>
              <w:top w:val="nil"/>
              <w:left w:val="nil"/>
              <w:bottom w:val="nil"/>
              <w:right w:val="nil"/>
            </w:tcBorders>
            <w:shd w:val="clear" w:color="auto" w:fill="auto"/>
            <w:noWrap/>
            <w:vAlign w:val="bottom"/>
            <w:hideMark/>
          </w:tcPr>
          <w:p w:rsidR="00600FFB" w:rsidRPr="00DB0AC3" w:rsidRDefault="004E0D19" w:rsidP="00C17872">
            <w:pPr>
              <w:jc w:val="right"/>
              <w:rPr>
                <w:rFonts w:cs="Arial"/>
                <w:color w:val="000000"/>
                <w:sz w:val="20"/>
                <w:lang w:val="ru-RU"/>
              </w:rPr>
            </w:pPr>
            <w:r w:rsidRPr="00DB0AC3">
              <w:rPr>
                <w:rFonts w:cs="Arial"/>
                <w:color w:val="000000"/>
                <w:sz w:val="20"/>
                <w:lang w:val="ru-RU"/>
              </w:rPr>
              <w:t>149 994</w:t>
            </w:r>
          </w:p>
        </w:tc>
      </w:tr>
      <w:tr w:rsidR="00600FFB" w:rsidRPr="00DB0AC3" w:rsidTr="00C17872">
        <w:trPr>
          <w:trHeight w:val="300"/>
        </w:trPr>
        <w:tc>
          <w:tcPr>
            <w:tcW w:w="1465" w:type="pct"/>
            <w:tcBorders>
              <w:top w:val="nil"/>
              <w:left w:val="nil"/>
              <w:bottom w:val="nil"/>
              <w:right w:val="nil"/>
            </w:tcBorders>
            <w:shd w:val="clear" w:color="auto" w:fill="auto"/>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СПИК ОАО</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Июнь 2003</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Декабрь 2019</w:t>
            </w:r>
          </w:p>
        </w:tc>
        <w:tc>
          <w:tcPr>
            <w:tcW w:w="42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8.00%</w:t>
            </w:r>
          </w:p>
        </w:tc>
        <w:tc>
          <w:tcPr>
            <w:tcW w:w="554" w:type="pct"/>
            <w:tcBorders>
              <w:top w:val="nil"/>
              <w:left w:val="nil"/>
              <w:bottom w:val="nil"/>
              <w:right w:val="nil"/>
            </w:tcBorders>
            <w:shd w:val="clear" w:color="auto" w:fill="auto"/>
            <w:noWrap/>
            <w:vAlign w:val="bottom"/>
            <w:hideMark/>
          </w:tcPr>
          <w:p w:rsidR="00600FFB" w:rsidRPr="00DB0AC3" w:rsidRDefault="00600FFB" w:rsidP="00C17872">
            <w:pPr>
              <w:jc w:val="center"/>
              <w:rPr>
                <w:rFonts w:cs="Arial"/>
                <w:color w:val="000000"/>
                <w:sz w:val="20"/>
                <w:lang w:val="ru-RU"/>
              </w:rPr>
            </w:pPr>
            <w:r w:rsidRPr="00DB0AC3">
              <w:rPr>
                <w:rFonts w:cs="Arial"/>
                <w:color w:val="000000"/>
                <w:sz w:val="20"/>
                <w:lang w:val="ru-RU"/>
              </w:rPr>
              <w:t>Рубль</w:t>
            </w:r>
          </w:p>
        </w:tc>
        <w:tc>
          <w:tcPr>
            <w:tcW w:w="783" w:type="pct"/>
            <w:tcBorders>
              <w:top w:val="nil"/>
              <w:left w:val="nil"/>
              <w:bottom w:val="nil"/>
              <w:right w:val="nil"/>
            </w:tcBorders>
            <w:shd w:val="clear" w:color="auto" w:fill="auto"/>
            <w:noWrap/>
            <w:vAlign w:val="bottom"/>
            <w:hideMark/>
          </w:tcPr>
          <w:p w:rsidR="00600FFB" w:rsidRPr="00DB0AC3" w:rsidRDefault="004E0D19" w:rsidP="00C17872">
            <w:pPr>
              <w:jc w:val="right"/>
              <w:rPr>
                <w:rFonts w:cs="Arial"/>
                <w:color w:val="000000"/>
                <w:sz w:val="20"/>
                <w:lang w:val="ru-RU"/>
              </w:rPr>
            </w:pPr>
            <w:r w:rsidRPr="00DB0AC3">
              <w:rPr>
                <w:rFonts w:cs="Arial"/>
                <w:color w:val="000000"/>
                <w:sz w:val="20"/>
                <w:lang w:val="ru-RU"/>
              </w:rPr>
              <w:t>299 979</w:t>
            </w:r>
          </w:p>
        </w:tc>
      </w:tr>
      <w:tr w:rsidR="00600FFB" w:rsidRPr="00DB0AC3" w:rsidTr="00C17872">
        <w:trPr>
          <w:trHeight w:val="600"/>
        </w:trPr>
        <w:tc>
          <w:tcPr>
            <w:tcW w:w="1465" w:type="pct"/>
            <w:tcBorders>
              <w:top w:val="nil"/>
              <w:left w:val="nil"/>
              <w:bottom w:val="nil"/>
              <w:right w:val="nil"/>
            </w:tcBorders>
            <w:shd w:val="clear" w:color="auto" w:fill="auto"/>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ООО "ОРИМИ" (бывшее Невские Пороги ОАО)</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Июль 2009</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Июнь 2017</w:t>
            </w:r>
          </w:p>
        </w:tc>
        <w:tc>
          <w:tcPr>
            <w:tcW w:w="42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7.50%</w:t>
            </w:r>
          </w:p>
        </w:tc>
        <w:tc>
          <w:tcPr>
            <w:tcW w:w="554" w:type="pct"/>
            <w:tcBorders>
              <w:top w:val="nil"/>
              <w:left w:val="nil"/>
              <w:bottom w:val="nil"/>
              <w:right w:val="nil"/>
            </w:tcBorders>
            <w:shd w:val="clear" w:color="auto" w:fill="auto"/>
            <w:noWrap/>
            <w:vAlign w:val="bottom"/>
            <w:hideMark/>
          </w:tcPr>
          <w:p w:rsidR="00600FFB" w:rsidRPr="00DB0AC3" w:rsidRDefault="00600FFB" w:rsidP="00C17872">
            <w:pPr>
              <w:jc w:val="center"/>
              <w:rPr>
                <w:rFonts w:cs="Arial"/>
                <w:color w:val="000000"/>
                <w:sz w:val="20"/>
                <w:lang w:val="ru-RU"/>
              </w:rPr>
            </w:pPr>
            <w:r w:rsidRPr="00DB0AC3">
              <w:rPr>
                <w:rFonts w:cs="Arial"/>
                <w:color w:val="000000"/>
                <w:sz w:val="20"/>
                <w:lang w:val="ru-RU"/>
              </w:rPr>
              <w:t>Евро</w:t>
            </w:r>
          </w:p>
        </w:tc>
        <w:tc>
          <w:tcPr>
            <w:tcW w:w="783" w:type="pct"/>
            <w:tcBorders>
              <w:top w:val="nil"/>
              <w:left w:val="nil"/>
              <w:bottom w:val="nil"/>
              <w:right w:val="nil"/>
            </w:tcBorders>
            <w:shd w:val="clear" w:color="auto" w:fill="auto"/>
            <w:noWrap/>
            <w:vAlign w:val="bottom"/>
            <w:hideMark/>
          </w:tcPr>
          <w:p w:rsidR="00600FFB" w:rsidRPr="00DB0AC3" w:rsidRDefault="00600FFB" w:rsidP="004E0D19">
            <w:pPr>
              <w:jc w:val="right"/>
              <w:rPr>
                <w:rFonts w:cs="Arial"/>
                <w:color w:val="000000"/>
                <w:sz w:val="20"/>
                <w:lang w:val="ru-RU"/>
              </w:rPr>
            </w:pPr>
            <w:r w:rsidRPr="00DB0AC3">
              <w:rPr>
                <w:rFonts w:cs="Arial"/>
                <w:color w:val="000000"/>
                <w:sz w:val="20"/>
                <w:lang w:val="ru-RU"/>
              </w:rPr>
              <w:t>1 025 1</w:t>
            </w:r>
            <w:r w:rsidR="004E0D19" w:rsidRPr="00DB0AC3">
              <w:rPr>
                <w:rFonts w:cs="Arial"/>
                <w:color w:val="000000"/>
                <w:sz w:val="20"/>
                <w:lang w:val="ru-RU"/>
              </w:rPr>
              <w:t>16</w:t>
            </w:r>
          </w:p>
        </w:tc>
      </w:tr>
      <w:tr w:rsidR="00600FFB" w:rsidRPr="00DB0AC3" w:rsidTr="00C17872">
        <w:trPr>
          <w:trHeight w:val="300"/>
        </w:trPr>
        <w:tc>
          <w:tcPr>
            <w:tcW w:w="1465" w:type="pct"/>
            <w:tcBorders>
              <w:top w:val="nil"/>
              <w:left w:val="nil"/>
              <w:bottom w:val="nil"/>
              <w:right w:val="nil"/>
            </w:tcBorders>
            <w:shd w:val="clear" w:color="auto" w:fill="auto"/>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СПАРЕБАНК 1 НУР-НОРГЕ</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Октябрь 2011</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Октябрь 2017</w:t>
            </w:r>
          </w:p>
        </w:tc>
        <w:tc>
          <w:tcPr>
            <w:tcW w:w="42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3.58%</w:t>
            </w:r>
          </w:p>
        </w:tc>
        <w:tc>
          <w:tcPr>
            <w:tcW w:w="554" w:type="pct"/>
            <w:tcBorders>
              <w:top w:val="nil"/>
              <w:left w:val="nil"/>
              <w:bottom w:val="nil"/>
              <w:right w:val="nil"/>
            </w:tcBorders>
            <w:shd w:val="clear" w:color="auto" w:fill="auto"/>
            <w:noWrap/>
            <w:vAlign w:val="bottom"/>
            <w:hideMark/>
          </w:tcPr>
          <w:p w:rsidR="00600FFB" w:rsidRPr="00DB0AC3" w:rsidRDefault="00600FFB" w:rsidP="00C17872">
            <w:pPr>
              <w:jc w:val="center"/>
              <w:rPr>
                <w:rFonts w:cs="Arial"/>
                <w:color w:val="000000"/>
                <w:sz w:val="20"/>
                <w:lang w:val="ru-RU"/>
              </w:rPr>
            </w:pPr>
            <w:r w:rsidRPr="00DB0AC3">
              <w:rPr>
                <w:rFonts w:cs="Arial"/>
                <w:color w:val="000000"/>
                <w:sz w:val="20"/>
                <w:lang w:val="ru-RU"/>
              </w:rPr>
              <w:t>Евро</w:t>
            </w:r>
          </w:p>
        </w:tc>
        <w:tc>
          <w:tcPr>
            <w:tcW w:w="783" w:type="pct"/>
            <w:tcBorders>
              <w:top w:val="nil"/>
              <w:left w:val="nil"/>
              <w:bottom w:val="nil"/>
              <w:right w:val="nil"/>
            </w:tcBorders>
            <w:shd w:val="clear" w:color="auto" w:fill="auto"/>
            <w:noWrap/>
            <w:vAlign w:val="bottom"/>
            <w:hideMark/>
          </w:tcPr>
          <w:p w:rsidR="00600FFB" w:rsidRPr="00DB0AC3" w:rsidRDefault="00600FFB" w:rsidP="004E0D19">
            <w:pPr>
              <w:jc w:val="right"/>
              <w:rPr>
                <w:rFonts w:cs="Arial"/>
                <w:color w:val="000000"/>
                <w:sz w:val="20"/>
                <w:lang w:val="ru-RU"/>
              </w:rPr>
            </w:pPr>
            <w:r w:rsidRPr="00DB0AC3">
              <w:rPr>
                <w:rFonts w:cs="Arial"/>
                <w:color w:val="000000"/>
                <w:sz w:val="20"/>
                <w:lang w:val="ru-RU"/>
              </w:rPr>
              <w:t xml:space="preserve">526 </w:t>
            </w:r>
            <w:r w:rsidR="004E0D19" w:rsidRPr="00DB0AC3">
              <w:rPr>
                <w:rFonts w:cs="Arial"/>
                <w:color w:val="000000"/>
                <w:sz w:val="20"/>
                <w:lang w:val="ru-RU"/>
              </w:rPr>
              <w:t>175</w:t>
            </w:r>
          </w:p>
        </w:tc>
      </w:tr>
      <w:tr w:rsidR="00600FFB" w:rsidRPr="00DB0AC3" w:rsidTr="00C17872">
        <w:trPr>
          <w:trHeight w:val="300"/>
        </w:trPr>
        <w:tc>
          <w:tcPr>
            <w:tcW w:w="1465" w:type="pct"/>
            <w:tcBorders>
              <w:top w:val="nil"/>
              <w:left w:val="nil"/>
              <w:bottom w:val="nil"/>
              <w:right w:val="nil"/>
            </w:tcBorders>
            <w:shd w:val="clear" w:color="auto" w:fill="auto"/>
            <w:vAlign w:val="bottom"/>
            <w:hideMark/>
          </w:tcPr>
          <w:p w:rsidR="00600FFB" w:rsidRPr="00DB0AC3" w:rsidRDefault="00600FFB" w:rsidP="00C17872">
            <w:pPr>
              <w:rPr>
                <w:rFonts w:cs="Arial"/>
                <w:color w:val="000000"/>
                <w:sz w:val="20"/>
                <w:lang w:val="ru-RU"/>
              </w:rPr>
            </w:pPr>
            <w:r w:rsidRPr="00DB0AC3">
              <w:rPr>
                <w:rFonts w:cs="Arial"/>
                <w:color w:val="000000"/>
                <w:sz w:val="20"/>
                <w:lang w:val="ru-RU"/>
              </w:rPr>
              <w:t>СПАРЕБАНК 1 НУР-НОРГЕ</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Январь 2011</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Ноябрь 2016</w:t>
            </w:r>
          </w:p>
        </w:tc>
        <w:tc>
          <w:tcPr>
            <w:tcW w:w="426" w:type="pct"/>
            <w:tcBorders>
              <w:top w:val="nil"/>
              <w:left w:val="nil"/>
              <w:bottom w:val="nil"/>
              <w:right w:val="nil"/>
            </w:tcBorders>
            <w:shd w:val="clear" w:color="auto" w:fill="auto"/>
            <w:noWrap/>
            <w:vAlign w:val="bottom"/>
            <w:hideMark/>
          </w:tcPr>
          <w:p w:rsidR="00600FFB" w:rsidRPr="00DB0AC3" w:rsidRDefault="00600FFB" w:rsidP="00C17872">
            <w:pPr>
              <w:jc w:val="right"/>
              <w:rPr>
                <w:rFonts w:cs="Arial"/>
                <w:color w:val="000000"/>
                <w:sz w:val="20"/>
                <w:lang w:val="ru-RU"/>
              </w:rPr>
            </w:pPr>
            <w:r w:rsidRPr="00DB0AC3">
              <w:rPr>
                <w:rFonts w:cs="Arial"/>
                <w:color w:val="000000"/>
                <w:sz w:val="20"/>
                <w:lang w:val="ru-RU"/>
              </w:rPr>
              <w:t>3.59%</w:t>
            </w:r>
          </w:p>
        </w:tc>
        <w:tc>
          <w:tcPr>
            <w:tcW w:w="554" w:type="pct"/>
            <w:tcBorders>
              <w:top w:val="nil"/>
              <w:left w:val="nil"/>
              <w:bottom w:val="nil"/>
              <w:right w:val="nil"/>
            </w:tcBorders>
            <w:shd w:val="clear" w:color="auto" w:fill="auto"/>
            <w:noWrap/>
            <w:vAlign w:val="bottom"/>
            <w:hideMark/>
          </w:tcPr>
          <w:p w:rsidR="00600FFB" w:rsidRPr="00DB0AC3" w:rsidRDefault="00600FFB" w:rsidP="00C17872">
            <w:pPr>
              <w:jc w:val="center"/>
              <w:rPr>
                <w:rFonts w:cs="Arial"/>
                <w:color w:val="000000"/>
                <w:sz w:val="20"/>
                <w:lang w:val="ru-RU"/>
              </w:rPr>
            </w:pPr>
            <w:r w:rsidRPr="00DB0AC3">
              <w:rPr>
                <w:rFonts w:cs="Arial"/>
                <w:color w:val="000000"/>
                <w:sz w:val="20"/>
                <w:lang w:val="ru-RU"/>
              </w:rPr>
              <w:t>Евро</w:t>
            </w:r>
          </w:p>
        </w:tc>
        <w:tc>
          <w:tcPr>
            <w:tcW w:w="783" w:type="pct"/>
            <w:tcBorders>
              <w:top w:val="nil"/>
              <w:left w:val="nil"/>
              <w:bottom w:val="nil"/>
              <w:right w:val="nil"/>
            </w:tcBorders>
            <w:shd w:val="clear" w:color="auto" w:fill="auto"/>
            <w:noWrap/>
            <w:vAlign w:val="bottom"/>
            <w:hideMark/>
          </w:tcPr>
          <w:p w:rsidR="00600FFB" w:rsidRPr="00DB0AC3" w:rsidRDefault="00600FFB" w:rsidP="004E0D19">
            <w:pPr>
              <w:jc w:val="right"/>
              <w:rPr>
                <w:rFonts w:cs="Arial"/>
                <w:color w:val="000000"/>
                <w:sz w:val="20"/>
                <w:lang w:val="ru-RU"/>
              </w:rPr>
            </w:pPr>
            <w:r w:rsidRPr="00DB0AC3">
              <w:rPr>
                <w:rFonts w:cs="Arial"/>
                <w:color w:val="000000"/>
                <w:sz w:val="20"/>
                <w:lang w:val="ru-RU"/>
              </w:rPr>
              <w:t>273 3</w:t>
            </w:r>
            <w:r w:rsidR="004E0D19" w:rsidRPr="00DB0AC3">
              <w:rPr>
                <w:rFonts w:cs="Arial"/>
                <w:color w:val="000000"/>
                <w:sz w:val="20"/>
                <w:lang w:val="ru-RU"/>
              </w:rPr>
              <w:t>4</w:t>
            </w:r>
            <w:r w:rsidRPr="00DB0AC3">
              <w:rPr>
                <w:rFonts w:cs="Arial"/>
                <w:color w:val="000000"/>
                <w:sz w:val="20"/>
                <w:lang w:val="ru-RU"/>
              </w:rPr>
              <w:t>1</w:t>
            </w:r>
          </w:p>
        </w:tc>
      </w:tr>
      <w:tr w:rsidR="00600FFB" w:rsidRPr="00DB0AC3" w:rsidTr="00C17872">
        <w:trPr>
          <w:trHeight w:val="315"/>
        </w:trPr>
        <w:tc>
          <w:tcPr>
            <w:tcW w:w="1465" w:type="pct"/>
            <w:tcBorders>
              <w:top w:val="nil"/>
              <w:left w:val="nil"/>
              <w:bottom w:val="nil"/>
              <w:right w:val="nil"/>
            </w:tcBorders>
            <w:shd w:val="clear" w:color="auto" w:fill="auto"/>
            <w:noWrap/>
            <w:vAlign w:val="bottom"/>
            <w:hideMark/>
          </w:tcPr>
          <w:p w:rsidR="00600FFB" w:rsidRPr="00DB0AC3" w:rsidRDefault="00600FFB" w:rsidP="00C17872">
            <w:pPr>
              <w:rPr>
                <w:rFonts w:cs="Arial"/>
                <w:b/>
                <w:bCs/>
                <w:color w:val="000000"/>
                <w:sz w:val="20"/>
                <w:lang w:val="ru-RU"/>
              </w:rPr>
            </w:pPr>
            <w:r w:rsidRPr="00DB0AC3">
              <w:rPr>
                <w:rFonts w:cs="Arial"/>
                <w:b/>
                <w:bCs/>
                <w:color w:val="000000"/>
                <w:sz w:val="20"/>
                <w:lang w:val="ru-RU"/>
              </w:rPr>
              <w:t>Итого</w:t>
            </w:r>
          </w:p>
        </w:tc>
        <w:tc>
          <w:tcPr>
            <w:tcW w:w="886" w:type="pct"/>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p>
        </w:tc>
        <w:tc>
          <w:tcPr>
            <w:tcW w:w="886" w:type="pct"/>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p>
        </w:tc>
        <w:tc>
          <w:tcPr>
            <w:tcW w:w="426" w:type="pct"/>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p>
        </w:tc>
        <w:tc>
          <w:tcPr>
            <w:tcW w:w="554" w:type="pct"/>
            <w:tcBorders>
              <w:top w:val="nil"/>
              <w:left w:val="nil"/>
              <w:bottom w:val="nil"/>
              <w:right w:val="nil"/>
            </w:tcBorders>
            <w:shd w:val="clear" w:color="auto" w:fill="auto"/>
            <w:noWrap/>
            <w:vAlign w:val="bottom"/>
            <w:hideMark/>
          </w:tcPr>
          <w:p w:rsidR="00600FFB" w:rsidRPr="00DB0AC3" w:rsidRDefault="00600FFB" w:rsidP="00C17872">
            <w:pPr>
              <w:rPr>
                <w:rFonts w:cs="Arial"/>
                <w:color w:val="000000"/>
                <w:sz w:val="20"/>
                <w:lang w:val="ru-RU"/>
              </w:rPr>
            </w:pPr>
          </w:p>
        </w:tc>
        <w:tc>
          <w:tcPr>
            <w:tcW w:w="783" w:type="pct"/>
            <w:tcBorders>
              <w:top w:val="single" w:sz="4" w:space="0" w:color="auto"/>
              <w:left w:val="nil"/>
              <w:bottom w:val="double" w:sz="6" w:space="0" w:color="auto"/>
              <w:right w:val="nil"/>
            </w:tcBorders>
            <w:shd w:val="clear" w:color="auto" w:fill="auto"/>
            <w:noWrap/>
            <w:vAlign w:val="bottom"/>
            <w:hideMark/>
          </w:tcPr>
          <w:p w:rsidR="00600FFB" w:rsidRPr="00DB0AC3" w:rsidRDefault="00600FFB" w:rsidP="004E0D19">
            <w:pPr>
              <w:jc w:val="right"/>
              <w:rPr>
                <w:rFonts w:cs="Arial"/>
                <w:b/>
                <w:bCs/>
                <w:color w:val="000000"/>
                <w:sz w:val="20"/>
                <w:lang w:val="ru-RU"/>
              </w:rPr>
            </w:pPr>
            <w:r w:rsidRPr="00DB0AC3">
              <w:rPr>
                <w:rFonts w:cs="Arial"/>
                <w:b/>
                <w:bCs/>
                <w:color w:val="000000"/>
                <w:sz w:val="20"/>
                <w:lang w:val="ru-RU"/>
              </w:rPr>
              <w:t xml:space="preserve">2 274 </w:t>
            </w:r>
            <w:r w:rsidR="004E0D19" w:rsidRPr="00DB0AC3">
              <w:rPr>
                <w:rFonts w:cs="Arial"/>
                <w:b/>
                <w:bCs/>
                <w:color w:val="000000"/>
                <w:sz w:val="20"/>
                <w:lang w:val="ru-RU"/>
              </w:rPr>
              <w:t>605</w:t>
            </w:r>
          </w:p>
        </w:tc>
      </w:tr>
    </w:tbl>
    <w:p w:rsidR="0062600E" w:rsidRPr="00DB0AC3" w:rsidRDefault="00600FFB" w:rsidP="00C06AC5">
      <w:pPr>
        <w:jc w:val="both"/>
        <w:rPr>
          <w:rFonts w:cs="Arial"/>
          <w:color w:val="000000"/>
          <w:sz w:val="20"/>
          <w:lang w:val="ru-RU"/>
        </w:rPr>
      </w:pPr>
      <w:r w:rsidRPr="00DB0AC3">
        <w:rPr>
          <w:rFonts w:cs="Arial"/>
          <w:sz w:val="20"/>
          <w:lang w:val="ru-RU"/>
        </w:rPr>
        <w:t xml:space="preserve">По состоянию на 31 декабря 2014 года права по договору субординированного займа с </w:t>
      </w:r>
      <w:r w:rsidRPr="00DB0AC3">
        <w:rPr>
          <w:rFonts w:cs="Arial"/>
          <w:color w:val="000000"/>
          <w:sz w:val="20"/>
          <w:lang w:val="ru-RU"/>
        </w:rPr>
        <w:t>ОК ОАО перешли к СПИК ОАО в результате реорганизации ОК ОАО.</w:t>
      </w:r>
    </w:p>
    <w:p w:rsidR="0062600E" w:rsidRPr="00DB0AC3" w:rsidRDefault="00600FFB" w:rsidP="00C06AC5">
      <w:pPr>
        <w:pStyle w:val="ad"/>
        <w:spacing w:after="120"/>
        <w:rPr>
          <w:rFonts w:cs="Arial"/>
          <w:sz w:val="20"/>
          <w:lang w:val="ru-RU"/>
        </w:rPr>
      </w:pPr>
      <w:r w:rsidRPr="00DB0AC3">
        <w:rPr>
          <w:rFonts w:cs="Arial"/>
          <w:sz w:val="20"/>
          <w:lang w:val="ru-RU"/>
        </w:rPr>
        <w:t>В связи со снижением норматива достаточности собственных средств (капитала) Банка ниже уровня, определенного нормативным актом Банка России в соответствии со ст.25.1 Федерального закона от 02.12.1990 №</w:t>
      </w:r>
      <w:r w:rsidR="00794709" w:rsidRPr="00DB0AC3">
        <w:rPr>
          <w:rFonts w:cs="Arial"/>
          <w:sz w:val="20"/>
          <w:lang w:val="ru-RU"/>
        </w:rPr>
        <w:t> </w:t>
      </w:r>
      <w:r w:rsidRPr="00DB0AC3">
        <w:rPr>
          <w:rFonts w:cs="Arial"/>
          <w:sz w:val="20"/>
          <w:lang w:val="ru-RU"/>
        </w:rPr>
        <w:t>395-1 «О банках и банковской деятельности»</w:t>
      </w:r>
      <w:r w:rsidR="00340C84" w:rsidRPr="00DB0AC3">
        <w:rPr>
          <w:rFonts w:cs="Arial"/>
          <w:sz w:val="20"/>
          <w:lang w:val="ru-RU"/>
        </w:rPr>
        <w:t>,</w:t>
      </w:r>
      <w:r w:rsidRPr="00DB0AC3">
        <w:rPr>
          <w:rFonts w:cs="Arial"/>
          <w:sz w:val="20"/>
          <w:lang w:val="ru-RU"/>
        </w:rPr>
        <w:t xml:space="preserve"> и в соответствии с </w:t>
      </w:r>
      <w:r w:rsidR="00EA35DE">
        <w:rPr>
          <w:rFonts w:cs="Arial"/>
          <w:sz w:val="20"/>
          <w:lang w:val="ru-RU"/>
        </w:rPr>
        <w:t>П</w:t>
      </w:r>
      <w:r w:rsidR="00EA35DE" w:rsidRPr="00DB0AC3">
        <w:rPr>
          <w:rFonts w:cs="Arial"/>
          <w:sz w:val="20"/>
          <w:lang w:val="ru-RU"/>
        </w:rPr>
        <w:t xml:space="preserve">ланом </w:t>
      </w:r>
      <w:r w:rsidR="00EA35DE">
        <w:rPr>
          <w:rFonts w:cs="Arial"/>
          <w:sz w:val="20"/>
          <w:lang w:val="ru-RU"/>
        </w:rPr>
        <w:t>финансового оздоровления</w:t>
      </w:r>
      <w:r w:rsidRPr="00DB0AC3">
        <w:rPr>
          <w:rFonts w:cs="Arial"/>
          <w:sz w:val="20"/>
          <w:lang w:val="ru-RU"/>
        </w:rPr>
        <w:t xml:space="preserve"> </w:t>
      </w:r>
      <w:r w:rsidR="006139AD" w:rsidRPr="00DB0AC3">
        <w:rPr>
          <w:rFonts w:cs="Arial"/>
          <w:sz w:val="20"/>
          <w:lang w:val="ru-RU"/>
        </w:rPr>
        <w:t xml:space="preserve">в марте 2015 года </w:t>
      </w:r>
      <w:r w:rsidRPr="00DB0AC3">
        <w:rPr>
          <w:rFonts w:cs="Arial"/>
          <w:sz w:val="20"/>
          <w:lang w:val="ru-RU"/>
        </w:rPr>
        <w:t>были прекращены обязательства Банка по субординированным займам в сумме 450 млн. рублей и 26,7 млн</w:t>
      </w:r>
      <w:r w:rsidR="000C7782" w:rsidRPr="00DB0AC3">
        <w:rPr>
          <w:rFonts w:cs="Arial"/>
          <w:sz w:val="20"/>
          <w:lang w:val="ru-RU"/>
        </w:rPr>
        <w:t>.</w:t>
      </w:r>
      <w:r w:rsidRPr="00DB0AC3">
        <w:rPr>
          <w:rFonts w:cs="Arial"/>
          <w:sz w:val="20"/>
          <w:lang w:val="ru-RU"/>
        </w:rPr>
        <w:t xml:space="preserve"> евро, а именно:</w:t>
      </w:r>
    </w:p>
    <w:p w:rsidR="0062600E" w:rsidRPr="00DB0AC3" w:rsidRDefault="00600FFB" w:rsidP="00C06AC5">
      <w:pPr>
        <w:pStyle w:val="ConsPlusNormal0"/>
        <w:numPr>
          <w:ilvl w:val="0"/>
          <w:numId w:val="24"/>
        </w:numPr>
        <w:ind w:left="1260"/>
        <w:jc w:val="both"/>
      </w:pPr>
      <w:r w:rsidRPr="00DB0AC3">
        <w:t>в размере 15 млн евро по договору между ООО «ОРИМИ» и Банком;</w:t>
      </w:r>
    </w:p>
    <w:p w:rsidR="0062600E" w:rsidRPr="00DB0AC3" w:rsidRDefault="00600FFB" w:rsidP="00C06AC5">
      <w:pPr>
        <w:pStyle w:val="ConsPlusNormal0"/>
        <w:numPr>
          <w:ilvl w:val="0"/>
          <w:numId w:val="24"/>
        </w:numPr>
        <w:ind w:left="1260"/>
        <w:jc w:val="both"/>
      </w:pPr>
      <w:r w:rsidRPr="00DB0AC3">
        <w:t>в размере 450 млн рублей по двум договорам между ООО «СПИК» и Банком;</w:t>
      </w:r>
    </w:p>
    <w:p w:rsidR="0062600E" w:rsidRPr="00DB0AC3" w:rsidRDefault="00600FFB" w:rsidP="00C06AC5">
      <w:pPr>
        <w:pStyle w:val="ConsPlusNormal0"/>
        <w:numPr>
          <w:ilvl w:val="0"/>
          <w:numId w:val="24"/>
        </w:numPr>
        <w:spacing w:after="120"/>
        <w:ind w:left="1259" w:hanging="357"/>
        <w:jc w:val="both"/>
      </w:pPr>
      <w:r w:rsidRPr="00DB0AC3">
        <w:t>в размере 11,7 млн евро по двум договорам между SpareBank 1 Nord-Norge и Банком.</w:t>
      </w:r>
    </w:p>
    <w:p w:rsidR="00600FFB" w:rsidRPr="00DB0AC3" w:rsidRDefault="00600FFB" w:rsidP="00600FFB">
      <w:pPr>
        <w:rPr>
          <w:rFonts w:cs="Arial"/>
          <w:sz w:val="20"/>
          <w:lang w:val="ru-RU"/>
        </w:rPr>
      </w:pPr>
    </w:p>
    <w:p w:rsidR="0062600E" w:rsidRPr="00DB0AC3" w:rsidRDefault="00600FFB" w:rsidP="00C06AC5">
      <w:pPr>
        <w:pStyle w:val="210"/>
        <w:shd w:val="clear" w:color="auto" w:fill="auto"/>
        <w:spacing w:line="240" w:lineRule="exact"/>
        <w:ind w:firstLine="0"/>
        <w:jc w:val="both"/>
        <w:rPr>
          <w:b w:val="0"/>
          <w:sz w:val="20"/>
          <w:szCs w:val="20"/>
        </w:rPr>
      </w:pPr>
      <w:r w:rsidRPr="00DB0AC3">
        <w:rPr>
          <w:b w:val="0"/>
          <w:sz w:val="20"/>
          <w:szCs w:val="20"/>
        </w:rPr>
        <w:t>Субординированные займы на 31 декабря 2013 были представлены кредитами, полученными на следующих условиях:</w:t>
      </w:r>
    </w:p>
    <w:tbl>
      <w:tblPr>
        <w:tblW w:w="5000" w:type="pct"/>
        <w:tblLook w:val="04A0"/>
      </w:tblPr>
      <w:tblGrid>
        <w:gridCol w:w="3021"/>
        <w:gridCol w:w="1490"/>
        <w:gridCol w:w="1613"/>
        <w:gridCol w:w="1094"/>
        <w:gridCol w:w="1359"/>
        <w:gridCol w:w="1246"/>
      </w:tblGrid>
      <w:tr w:rsidR="008A2C4E" w:rsidRPr="00DB0AC3" w:rsidTr="008A2C4E">
        <w:trPr>
          <w:trHeight w:val="900"/>
        </w:trPr>
        <w:tc>
          <w:tcPr>
            <w:tcW w:w="1577" w:type="pct"/>
            <w:tcBorders>
              <w:top w:val="nil"/>
              <w:left w:val="nil"/>
              <w:bottom w:val="single" w:sz="4" w:space="0" w:color="auto"/>
              <w:right w:val="nil"/>
            </w:tcBorders>
            <w:shd w:val="clear" w:color="auto" w:fill="auto"/>
            <w:noWrap/>
            <w:vAlign w:val="bottom"/>
            <w:hideMark/>
          </w:tcPr>
          <w:p w:rsidR="008A2C4E" w:rsidRPr="00DB0AC3" w:rsidRDefault="008A2C4E" w:rsidP="008A2C4E">
            <w:pPr>
              <w:rPr>
                <w:rFonts w:cs="Arial"/>
                <w:b/>
                <w:bCs/>
                <w:color w:val="000000"/>
                <w:sz w:val="20"/>
                <w:lang w:val="ru-RU"/>
              </w:rPr>
            </w:pPr>
            <w:r w:rsidRPr="00DB0AC3">
              <w:rPr>
                <w:rFonts w:cs="Arial"/>
                <w:b/>
                <w:bCs/>
                <w:color w:val="000000"/>
                <w:sz w:val="20"/>
                <w:lang w:val="ru-RU"/>
              </w:rPr>
              <w:t>Кредитор</w:t>
            </w:r>
          </w:p>
        </w:tc>
        <w:tc>
          <w:tcPr>
            <w:tcW w:w="673" w:type="pct"/>
            <w:tcBorders>
              <w:top w:val="nil"/>
              <w:left w:val="nil"/>
              <w:bottom w:val="single" w:sz="4" w:space="0" w:color="auto"/>
              <w:right w:val="nil"/>
            </w:tcBorders>
            <w:shd w:val="clear" w:color="auto" w:fill="auto"/>
            <w:vAlign w:val="bottom"/>
            <w:hideMark/>
          </w:tcPr>
          <w:p w:rsidR="008A2C4E" w:rsidRPr="00DB0AC3" w:rsidRDefault="008A2C4E" w:rsidP="008A2C4E">
            <w:pPr>
              <w:jc w:val="center"/>
              <w:rPr>
                <w:rFonts w:cs="Arial"/>
                <w:b/>
                <w:bCs/>
                <w:color w:val="000000"/>
                <w:sz w:val="20"/>
                <w:lang w:val="ru-RU"/>
              </w:rPr>
            </w:pPr>
            <w:r w:rsidRPr="00DB0AC3">
              <w:rPr>
                <w:rFonts w:cs="Arial"/>
                <w:b/>
                <w:bCs/>
                <w:color w:val="000000"/>
                <w:sz w:val="20"/>
                <w:lang w:val="ru-RU"/>
              </w:rPr>
              <w:t>Дата контракта</w:t>
            </w:r>
          </w:p>
        </w:tc>
        <w:tc>
          <w:tcPr>
            <w:tcW w:w="750" w:type="pct"/>
            <w:tcBorders>
              <w:top w:val="nil"/>
              <w:left w:val="nil"/>
              <w:bottom w:val="single" w:sz="4" w:space="0" w:color="auto"/>
              <w:right w:val="nil"/>
            </w:tcBorders>
            <w:shd w:val="clear" w:color="auto" w:fill="auto"/>
            <w:vAlign w:val="bottom"/>
            <w:hideMark/>
          </w:tcPr>
          <w:p w:rsidR="008A2C4E" w:rsidRPr="00DB0AC3" w:rsidRDefault="008A2C4E" w:rsidP="008A2C4E">
            <w:pPr>
              <w:jc w:val="center"/>
              <w:rPr>
                <w:rFonts w:cs="Arial"/>
                <w:b/>
                <w:bCs/>
                <w:color w:val="000000"/>
                <w:sz w:val="20"/>
                <w:lang w:val="ru-RU"/>
              </w:rPr>
            </w:pPr>
            <w:r w:rsidRPr="00DB0AC3">
              <w:rPr>
                <w:rFonts w:cs="Arial"/>
                <w:b/>
                <w:bCs/>
                <w:color w:val="000000"/>
                <w:sz w:val="20"/>
                <w:lang w:val="ru-RU"/>
              </w:rPr>
              <w:t>Дата погашения</w:t>
            </w:r>
          </w:p>
        </w:tc>
        <w:tc>
          <w:tcPr>
            <w:tcW w:w="596" w:type="pct"/>
            <w:tcBorders>
              <w:top w:val="nil"/>
              <w:left w:val="nil"/>
              <w:bottom w:val="single" w:sz="4" w:space="0" w:color="auto"/>
              <w:right w:val="nil"/>
            </w:tcBorders>
            <w:shd w:val="clear" w:color="auto" w:fill="auto"/>
            <w:vAlign w:val="bottom"/>
            <w:hideMark/>
          </w:tcPr>
          <w:p w:rsidR="008A2C4E" w:rsidRPr="00DB0AC3" w:rsidRDefault="008A2C4E" w:rsidP="008A2C4E">
            <w:pPr>
              <w:jc w:val="center"/>
              <w:rPr>
                <w:rFonts w:cs="Arial"/>
                <w:b/>
                <w:bCs/>
                <w:color w:val="000000"/>
                <w:sz w:val="20"/>
                <w:lang w:val="ru-RU"/>
              </w:rPr>
            </w:pPr>
            <w:r w:rsidRPr="00DB0AC3">
              <w:rPr>
                <w:rFonts w:cs="Arial"/>
                <w:b/>
                <w:bCs/>
                <w:color w:val="000000"/>
                <w:sz w:val="20"/>
                <w:lang w:val="ru-RU"/>
              </w:rPr>
              <w:t>%</w:t>
            </w:r>
          </w:p>
        </w:tc>
        <w:tc>
          <w:tcPr>
            <w:tcW w:w="731" w:type="pct"/>
            <w:tcBorders>
              <w:top w:val="nil"/>
              <w:left w:val="nil"/>
              <w:bottom w:val="single" w:sz="4" w:space="0" w:color="auto"/>
              <w:right w:val="nil"/>
            </w:tcBorders>
            <w:shd w:val="clear" w:color="auto" w:fill="auto"/>
            <w:vAlign w:val="bottom"/>
            <w:hideMark/>
          </w:tcPr>
          <w:p w:rsidR="008A2C4E" w:rsidRPr="00DB0AC3" w:rsidRDefault="008A2C4E" w:rsidP="008A2C4E">
            <w:pPr>
              <w:jc w:val="center"/>
              <w:rPr>
                <w:rFonts w:cs="Arial"/>
                <w:b/>
                <w:bCs/>
                <w:color w:val="000000"/>
                <w:sz w:val="20"/>
                <w:lang w:val="ru-RU"/>
              </w:rPr>
            </w:pPr>
            <w:r w:rsidRPr="00DB0AC3">
              <w:rPr>
                <w:rFonts w:cs="Arial"/>
                <w:b/>
                <w:bCs/>
                <w:color w:val="000000"/>
                <w:sz w:val="20"/>
                <w:lang w:val="ru-RU"/>
              </w:rPr>
              <w:t>Валюта</w:t>
            </w:r>
          </w:p>
        </w:tc>
        <w:tc>
          <w:tcPr>
            <w:tcW w:w="673" w:type="pct"/>
            <w:tcBorders>
              <w:top w:val="nil"/>
              <w:left w:val="nil"/>
              <w:bottom w:val="single" w:sz="4" w:space="0" w:color="auto"/>
              <w:right w:val="nil"/>
            </w:tcBorders>
            <w:shd w:val="clear" w:color="auto" w:fill="auto"/>
            <w:vAlign w:val="bottom"/>
            <w:hideMark/>
          </w:tcPr>
          <w:p w:rsidR="008A2C4E" w:rsidRPr="00DB0AC3" w:rsidRDefault="008A2C4E" w:rsidP="008A2C4E">
            <w:pPr>
              <w:jc w:val="center"/>
              <w:rPr>
                <w:rFonts w:cs="Arial"/>
                <w:b/>
                <w:bCs/>
                <w:color w:val="000000"/>
                <w:sz w:val="20"/>
                <w:lang w:val="ru-RU"/>
              </w:rPr>
            </w:pPr>
            <w:r w:rsidRPr="00DB0AC3">
              <w:rPr>
                <w:rFonts w:cs="Arial"/>
                <w:b/>
                <w:bCs/>
                <w:color w:val="000000"/>
                <w:sz w:val="20"/>
                <w:lang w:val="ru-RU"/>
              </w:rPr>
              <w:t>Остаток на конец года</w:t>
            </w:r>
          </w:p>
        </w:tc>
      </w:tr>
      <w:tr w:rsidR="008A2C4E" w:rsidRPr="00DB0AC3" w:rsidTr="008A2C4E">
        <w:trPr>
          <w:trHeight w:val="300"/>
        </w:trPr>
        <w:tc>
          <w:tcPr>
            <w:tcW w:w="1577"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r w:rsidRPr="00DB0AC3">
              <w:rPr>
                <w:rFonts w:cs="Arial"/>
                <w:color w:val="000000"/>
                <w:sz w:val="20"/>
                <w:lang w:val="ru-RU"/>
              </w:rPr>
              <w:t>ОК ОАО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Май 2003</w:t>
            </w:r>
          </w:p>
        </w:tc>
        <w:tc>
          <w:tcPr>
            <w:tcW w:w="750"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Май 2017</w:t>
            </w:r>
          </w:p>
        </w:tc>
        <w:tc>
          <w:tcPr>
            <w:tcW w:w="596"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9.00%</w:t>
            </w:r>
          </w:p>
        </w:tc>
        <w:tc>
          <w:tcPr>
            <w:tcW w:w="731" w:type="pct"/>
            <w:tcBorders>
              <w:top w:val="nil"/>
              <w:left w:val="nil"/>
              <w:bottom w:val="nil"/>
              <w:right w:val="nil"/>
            </w:tcBorders>
            <w:shd w:val="clear" w:color="auto" w:fill="auto"/>
            <w:noWrap/>
            <w:vAlign w:val="bottom"/>
            <w:hideMark/>
          </w:tcPr>
          <w:p w:rsidR="008A2C4E" w:rsidRPr="00DB0AC3" w:rsidRDefault="008A2C4E" w:rsidP="008A2C4E">
            <w:pPr>
              <w:jc w:val="center"/>
              <w:rPr>
                <w:rFonts w:cs="Arial"/>
                <w:color w:val="000000"/>
                <w:sz w:val="20"/>
                <w:lang w:val="ru-RU"/>
              </w:rPr>
            </w:pPr>
            <w:r w:rsidRPr="00DB0AC3">
              <w:rPr>
                <w:rFonts w:cs="Arial"/>
                <w:color w:val="000000"/>
                <w:sz w:val="20"/>
                <w:lang w:val="ru-RU"/>
              </w:rPr>
              <w:t>Рубль</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150 000</w:t>
            </w:r>
          </w:p>
        </w:tc>
      </w:tr>
      <w:tr w:rsidR="008A2C4E" w:rsidRPr="00DB0AC3" w:rsidTr="008A2C4E">
        <w:trPr>
          <w:trHeight w:val="300"/>
        </w:trPr>
        <w:tc>
          <w:tcPr>
            <w:tcW w:w="1577"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r w:rsidRPr="00DB0AC3">
              <w:rPr>
                <w:rFonts w:cs="Arial"/>
                <w:color w:val="000000"/>
                <w:sz w:val="20"/>
                <w:lang w:val="ru-RU"/>
              </w:rPr>
              <w:t>СПИК ОАО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Июнь 2003</w:t>
            </w:r>
          </w:p>
        </w:tc>
        <w:tc>
          <w:tcPr>
            <w:tcW w:w="750"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Июнь 2015</w:t>
            </w:r>
          </w:p>
        </w:tc>
        <w:tc>
          <w:tcPr>
            <w:tcW w:w="596"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9.00%</w:t>
            </w:r>
          </w:p>
        </w:tc>
        <w:tc>
          <w:tcPr>
            <w:tcW w:w="731" w:type="pct"/>
            <w:tcBorders>
              <w:top w:val="nil"/>
              <w:left w:val="nil"/>
              <w:bottom w:val="nil"/>
              <w:right w:val="nil"/>
            </w:tcBorders>
            <w:shd w:val="clear" w:color="auto" w:fill="auto"/>
            <w:noWrap/>
            <w:vAlign w:val="bottom"/>
            <w:hideMark/>
          </w:tcPr>
          <w:p w:rsidR="008A2C4E" w:rsidRPr="00DB0AC3" w:rsidRDefault="008A2C4E" w:rsidP="008A2C4E">
            <w:pPr>
              <w:jc w:val="center"/>
              <w:rPr>
                <w:rFonts w:cs="Arial"/>
                <w:color w:val="000000"/>
                <w:sz w:val="20"/>
                <w:lang w:val="ru-RU"/>
              </w:rPr>
            </w:pPr>
            <w:r w:rsidRPr="00DB0AC3">
              <w:rPr>
                <w:rFonts w:cs="Arial"/>
                <w:color w:val="000000"/>
                <w:sz w:val="20"/>
                <w:lang w:val="ru-RU"/>
              </w:rPr>
              <w:t>Рубль</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300 000</w:t>
            </w:r>
          </w:p>
        </w:tc>
      </w:tr>
      <w:tr w:rsidR="008A2C4E" w:rsidRPr="00DB0AC3" w:rsidTr="008A2C4E">
        <w:trPr>
          <w:trHeight w:val="300"/>
        </w:trPr>
        <w:tc>
          <w:tcPr>
            <w:tcW w:w="1577"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r w:rsidRPr="00DB0AC3">
              <w:rPr>
                <w:rFonts w:cs="Arial"/>
                <w:color w:val="000000"/>
                <w:sz w:val="20"/>
                <w:lang w:val="ru-RU"/>
              </w:rPr>
              <w:t>Невские Пороги ОАО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Июль 2009</w:t>
            </w:r>
          </w:p>
        </w:tc>
        <w:tc>
          <w:tcPr>
            <w:tcW w:w="750"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Сентябрь 2014</w:t>
            </w:r>
          </w:p>
        </w:tc>
        <w:tc>
          <w:tcPr>
            <w:tcW w:w="596"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8.00%</w:t>
            </w:r>
          </w:p>
        </w:tc>
        <w:tc>
          <w:tcPr>
            <w:tcW w:w="731" w:type="pct"/>
            <w:tcBorders>
              <w:top w:val="nil"/>
              <w:left w:val="nil"/>
              <w:bottom w:val="nil"/>
              <w:right w:val="nil"/>
            </w:tcBorders>
            <w:shd w:val="clear" w:color="auto" w:fill="auto"/>
            <w:noWrap/>
            <w:vAlign w:val="bottom"/>
            <w:hideMark/>
          </w:tcPr>
          <w:p w:rsidR="008A2C4E" w:rsidRPr="00DB0AC3" w:rsidRDefault="008A2C4E" w:rsidP="008A2C4E">
            <w:pPr>
              <w:jc w:val="center"/>
              <w:rPr>
                <w:rFonts w:cs="Arial"/>
                <w:color w:val="000000"/>
                <w:sz w:val="20"/>
                <w:lang w:val="ru-RU"/>
              </w:rPr>
            </w:pPr>
            <w:r w:rsidRPr="00DB0AC3">
              <w:rPr>
                <w:rFonts w:cs="Arial"/>
                <w:color w:val="000000"/>
                <w:sz w:val="20"/>
                <w:lang w:val="ru-RU"/>
              </w:rPr>
              <w:t>Евро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674 549</w:t>
            </w:r>
          </w:p>
        </w:tc>
      </w:tr>
      <w:tr w:rsidR="008A2C4E" w:rsidRPr="00DB0AC3" w:rsidTr="008A2C4E">
        <w:trPr>
          <w:trHeight w:val="300"/>
        </w:trPr>
        <w:tc>
          <w:tcPr>
            <w:tcW w:w="1577" w:type="pct"/>
            <w:tcBorders>
              <w:top w:val="nil"/>
              <w:left w:val="nil"/>
              <w:bottom w:val="nil"/>
              <w:right w:val="nil"/>
            </w:tcBorders>
            <w:shd w:val="clear" w:color="auto" w:fill="auto"/>
            <w:vAlign w:val="bottom"/>
            <w:hideMark/>
          </w:tcPr>
          <w:p w:rsidR="008A2C4E" w:rsidRPr="00DB0AC3" w:rsidRDefault="008A2C4E" w:rsidP="008A2C4E">
            <w:pPr>
              <w:rPr>
                <w:rFonts w:cs="Arial"/>
                <w:color w:val="000000"/>
                <w:sz w:val="20"/>
                <w:lang w:val="ru-RU"/>
              </w:rPr>
            </w:pPr>
            <w:r w:rsidRPr="00DB0AC3">
              <w:rPr>
                <w:rFonts w:cs="Arial"/>
                <w:color w:val="000000"/>
                <w:sz w:val="20"/>
                <w:lang w:val="ru-RU"/>
              </w:rPr>
              <w:t>СПАРЕБАНК 1 НУР-НОРГЕ</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Октябрь 2011</w:t>
            </w:r>
          </w:p>
        </w:tc>
        <w:tc>
          <w:tcPr>
            <w:tcW w:w="750"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Октябрь 2017</w:t>
            </w:r>
          </w:p>
        </w:tc>
        <w:tc>
          <w:tcPr>
            <w:tcW w:w="596"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3.70%</w:t>
            </w:r>
          </w:p>
        </w:tc>
        <w:tc>
          <w:tcPr>
            <w:tcW w:w="731" w:type="pct"/>
            <w:tcBorders>
              <w:top w:val="nil"/>
              <w:left w:val="nil"/>
              <w:bottom w:val="nil"/>
              <w:right w:val="nil"/>
            </w:tcBorders>
            <w:shd w:val="clear" w:color="auto" w:fill="auto"/>
            <w:noWrap/>
            <w:vAlign w:val="bottom"/>
            <w:hideMark/>
          </w:tcPr>
          <w:p w:rsidR="008A2C4E" w:rsidRPr="00DB0AC3" w:rsidRDefault="008A2C4E" w:rsidP="008A2C4E">
            <w:pPr>
              <w:jc w:val="center"/>
              <w:rPr>
                <w:rFonts w:cs="Arial"/>
                <w:color w:val="000000"/>
                <w:sz w:val="20"/>
                <w:lang w:val="ru-RU"/>
              </w:rPr>
            </w:pPr>
            <w:r w:rsidRPr="00DB0AC3">
              <w:rPr>
                <w:rFonts w:cs="Arial"/>
                <w:color w:val="000000"/>
                <w:sz w:val="20"/>
                <w:lang w:val="ru-RU"/>
              </w:rPr>
              <w:t>Евро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181 071</w:t>
            </w:r>
          </w:p>
        </w:tc>
      </w:tr>
      <w:tr w:rsidR="008A2C4E" w:rsidRPr="00DB0AC3" w:rsidTr="008A2C4E">
        <w:trPr>
          <w:trHeight w:val="300"/>
        </w:trPr>
        <w:tc>
          <w:tcPr>
            <w:tcW w:w="1577" w:type="pct"/>
            <w:tcBorders>
              <w:top w:val="nil"/>
              <w:left w:val="nil"/>
              <w:bottom w:val="nil"/>
              <w:right w:val="nil"/>
            </w:tcBorders>
            <w:shd w:val="clear" w:color="auto" w:fill="auto"/>
            <w:vAlign w:val="bottom"/>
            <w:hideMark/>
          </w:tcPr>
          <w:p w:rsidR="008A2C4E" w:rsidRPr="00DB0AC3" w:rsidRDefault="008A2C4E" w:rsidP="008A2C4E">
            <w:pPr>
              <w:rPr>
                <w:rFonts w:cs="Arial"/>
                <w:color w:val="000000"/>
                <w:sz w:val="20"/>
                <w:lang w:val="ru-RU"/>
              </w:rPr>
            </w:pPr>
            <w:r w:rsidRPr="00DB0AC3">
              <w:rPr>
                <w:rFonts w:cs="Arial"/>
                <w:color w:val="000000"/>
                <w:sz w:val="20"/>
                <w:lang w:val="ru-RU"/>
              </w:rPr>
              <w:t>СПАРЕБАНК 1 НУР-НОРГЕ</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Январь 2011</w:t>
            </w:r>
          </w:p>
        </w:tc>
        <w:tc>
          <w:tcPr>
            <w:tcW w:w="750"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Ноябрь 2016</w:t>
            </w:r>
          </w:p>
        </w:tc>
        <w:tc>
          <w:tcPr>
            <w:tcW w:w="596"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3.70%</w:t>
            </w:r>
          </w:p>
        </w:tc>
        <w:tc>
          <w:tcPr>
            <w:tcW w:w="731" w:type="pct"/>
            <w:tcBorders>
              <w:top w:val="nil"/>
              <w:left w:val="nil"/>
              <w:bottom w:val="nil"/>
              <w:right w:val="nil"/>
            </w:tcBorders>
            <w:shd w:val="clear" w:color="auto" w:fill="auto"/>
            <w:noWrap/>
            <w:vAlign w:val="bottom"/>
            <w:hideMark/>
          </w:tcPr>
          <w:p w:rsidR="008A2C4E" w:rsidRPr="00DB0AC3" w:rsidRDefault="008A2C4E" w:rsidP="008A2C4E">
            <w:pPr>
              <w:jc w:val="center"/>
              <w:rPr>
                <w:rFonts w:cs="Arial"/>
                <w:color w:val="000000"/>
                <w:sz w:val="20"/>
                <w:lang w:val="ru-RU"/>
              </w:rPr>
            </w:pPr>
            <w:r w:rsidRPr="00DB0AC3">
              <w:rPr>
                <w:rFonts w:cs="Arial"/>
                <w:color w:val="000000"/>
                <w:sz w:val="20"/>
                <w:lang w:val="ru-RU"/>
              </w:rPr>
              <w:t>Евро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jc w:val="right"/>
              <w:rPr>
                <w:rFonts w:cs="Arial"/>
                <w:color w:val="000000"/>
                <w:sz w:val="20"/>
                <w:lang w:val="ru-RU"/>
              </w:rPr>
            </w:pPr>
            <w:r w:rsidRPr="00DB0AC3">
              <w:rPr>
                <w:rFonts w:cs="Arial"/>
                <w:color w:val="000000"/>
                <w:sz w:val="20"/>
                <w:lang w:val="ru-RU"/>
              </w:rPr>
              <w:t>346 268</w:t>
            </w:r>
          </w:p>
        </w:tc>
      </w:tr>
      <w:tr w:rsidR="008A2C4E" w:rsidRPr="00DB0AC3" w:rsidTr="008A2C4E">
        <w:trPr>
          <w:trHeight w:val="315"/>
        </w:trPr>
        <w:tc>
          <w:tcPr>
            <w:tcW w:w="1577" w:type="pct"/>
            <w:tcBorders>
              <w:top w:val="nil"/>
              <w:left w:val="nil"/>
              <w:bottom w:val="nil"/>
              <w:right w:val="nil"/>
            </w:tcBorders>
            <w:shd w:val="clear" w:color="auto" w:fill="auto"/>
            <w:noWrap/>
            <w:vAlign w:val="bottom"/>
            <w:hideMark/>
          </w:tcPr>
          <w:p w:rsidR="008A2C4E" w:rsidRPr="00DB0AC3" w:rsidRDefault="008A2C4E" w:rsidP="008A2C4E">
            <w:pPr>
              <w:rPr>
                <w:rFonts w:cs="Arial"/>
                <w:b/>
                <w:bCs/>
                <w:color w:val="000000"/>
                <w:sz w:val="20"/>
                <w:lang w:val="ru-RU"/>
              </w:rPr>
            </w:pPr>
            <w:r w:rsidRPr="00DB0AC3">
              <w:rPr>
                <w:rFonts w:cs="Arial"/>
                <w:b/>
                <w:bCs/>
                <w:color w:val="000000"/>
                <w:sz w:val="20"/>
                <w:lang w:val="ru-RU"/>
              </w:rPr>
              <w:t>Итого</w:t>
            </w:r>
          </w:p>
        </w:tc>
        <w:tc>
          <w:tcPr>
            <w:tcW w:w="673"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p>
        </w:tc>
        <w:tc>
          <w:tcPr>
            <w:tcW w:w="750"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p>
        </w:tc>
        <w:tc>
          <w:tcPr>
            <w:tcW w:w="596"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p>
        </w:tc>
        <w:tc>
          <w:tcPr>
            <w:tcW w:w="731" w:type="pct"/>
            <w:tcBorders>
              <w:top w:val="nil"/>
              <w:left w:val="nil"/>
              <w:bottom w:val="nil"/>
              <w:right w:val="nil"/>
            </w:tcBorders>
            <w:shd w:val="clear" w:color="auto" w:fill="auto"/>
            <w:noWrap/>
            <w:vAlign w:val="bottom"/>
            <w:hideMark/>
          </w:tcPr>
          <w:p w:rsidR="008A2C4E" w:rsidRPr="00DB0AC3" w:rsidRDefault="008A2C4E" w:rsidP="008A2C4E">
            <w:pPr>
              <w:rPr>
                <w:rFonts w:cs="Arial"/>
                <w:color w:val="000000"/>
                <w:sz w:val="20"/>
                <w:lang w:val="ru-RU"/>
              </w:rPr>
            </w:pPr>
          </w:p>
        </w:tc>
        <w:tc>
          <w:tcPr>
            <w:tcW w:w="673" w:type="pct"/>
            <w:tcBorders>
              <w:top w:val="single" w:sz="4" w:space="0" w:color="auto"/>
              <w:left w:val="nil"/>
              <w:bottom w:val="double" w:sz="6" w:space="0" w:color="auto"/>
              <w:right w:val="nil"/>
            </w:tcBorders>
            <w:shd w:val="clear" w:color="auto" w:fill="auto"/>
            <w:noWrap/>
            <w:vAlign w:val="bottom"/>
            <w:hideMark/>
          </w:tcPr>
          <w:p w:rsidR="008A2C4E" w:rsidRPr="00DB0AC3" w:rsidRDefault="008A2C4E" w:rsidP="008A2C4E">
            <w:pPr>
              <w:jc w:val="right"/>
              <w:rPr>
                <w:rFonts w:cs="Arial"/>
                <w:b/>
                <w:bCs/>
                <w:color w:val="000000"/>
                <w:sz w:val="20"/>
                <w:lang w:val="ru-RU"/>
              </w:rPr>
            </w:pPr>
            <w:r w:rsidRPr="00DB0AC3">
              <w:rPr>
                <w:rFonts w:cs="Arial"/>
                <w:b/>
                <w:bCs/>
                <w:color w:val="000000"/>
                <w:sz w:val="20"/>
                <w:lang w:val="ru-RU"/>
              </w:rPr>
              <w:t>1 651 888</w:t>
            </w:r>
          </w:p>
        </w:tc>
      </w:tr>
    </w:tbl>
    <w:p w:rsidR="00600FFB" w:rsidRPr="00DB0AC3" w:rsidRDefault="00600FFB" w:rsidP="00600FFB">
      <w:pPr>
        <w:rPr>
          <w:rFonts w:cs="Arial"/>
          <w:sz w:val="20"/>
          <w:lang w:val="ru-RU"/>
        </w:rPr>
      </w:pPr>
    </w:p>
    <w:p w:rsidR="00600FFB" w:rsidRPr="00DB0AC3" w:rsidRDefault="00600FFB" w:rsidP="00600FFB">
      <w:pPr>
        <w:rPr>
          <w:rFonts w:cs="Arial"/>
          <w:color w:val="000000"/>
          <w:sz w:val="20"/>
          <w:lang w:val="ru-RU"/>
        </w:rPr>
      </w:pPr>
    </w:p>
    <w:p w:rsidR="00600FFB" w:rsidRDefault="00600FFB" w:rsidP="00600FFB">
      <w:pPr>
        <w:pStyle w:val="210"/>
        <w:shd w:val="clear" w:color="auto" w:fill="auto"/>
        <w:spacing w:line="240" w:lineRule="exact"/>
        <w:ind w:firstLine="0"/>
        <w:jc w:val="both"/>
        <w:rPr>
          <w:b w:val="0"/>
          <w:sz w:val="20"/>
          <w:szCs w:val="20"/>
        </w:rPr>
      </w:pPr>
      <w:r w:rsidRPr="00DB0AC3">
        <w:rPr>
          <w:b w:val="0"/>
          <w:sz w:val="20"/>
          <w:szCs w:val="20"/>
        </w:rPr>
        <w:t>Страновой, валютный и процентный анализ, а также анализ по срокам погашения субординированных займов представлены в Примечании 33.</w:t>
      </w: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Default="003D6F26" w:rsidP="00600FFB">
      <w:pPr>
        <w:pStyle w:val="210"/>
        <w:shd w:val="clear" w:color="auto" w:fill="auto"/>
        <w:spacing w:line="240" w:lineRule="exact"/>
        <w:ind w:firstLine="0"/>
        <w:jc w:val="both"/>
        <w:rPr>
          <w:b w:val="0"/>
          <w:sz w:val="20"/>
          <w:szCs w:val="20"/>
        </w:rPr>
      </w:pPr>
    </w:p>
    <w:p w:rsidR="003D6F26" w:rsidRPr="00DB0AC3" w:rsidRDefault="003D6F26" w:rsidP="00600FFB">
      <w:pPr>
        <w:pStyle w:val="210"/>
        <w:shd w:val="clear" w:color="auto" w:fill="auto"/>
        <w:spacing w:line="240" w:lineRule="exact"/>
        <w:ind w:firstLine="0"/>
        <w:jc w:val="both"/>
        <w:rPr>
          <w:b w:val="0"/>
          <w:bCs w:val="0"/>
          <w:color w:val="000000"/>
          <w:sz w:val="20"/>
          <w:szCs w:val="20"/>
        </w:rPr>
      </w:pPr>
    </w:p>
    <w:p w:rsidR="006572FF" w:rsidRPr="00DB0AC3" w:rsidRDefault="00600FFB">
      <w:pPr>
        <w:pStyle w:val="1"/>
        <w:keepNext w:val="0"/>
        <w:widowControl w:val="0"/>
        <w:spacing w:before="480"/>
        <w:rPr>
          <w:rFonts w:cs="Arial"/>
          <w:lang w:val="ru-RU"/>
        </w:rPr>
      </w:pPr>
      <w:bookmarkStart w:id="159" w:name="_Toc441479806"/>
      <w:r w:rsidRPr="00DB0AC3">
        <w:rPr>
          <w:rFonts w:cs="Arial"/>
          <w:lang w:val="ru-RU"/>
        </w:rPr>
        <w:lastRenderedPageBreak/>
        <w:t>Прочие обязательства и кредиторская задолженность</w:t>
      </w:r>
      <w:bookmarkEnd w:id="159"/>
    </w:p>
    <w:p w:rsidR="00C17872" w:rsidRPr="00DB0AC3" w:rsidRDefault="00C17872" w:rsidP="00C17872">
      <w:pPr>
        <w:rPr>
          <w:rFonts w:cs="Arial"/>
          <w:bCs/>
          <w:sz w:val="20"/>
          <w:lang w:val="ru-RU"/>
        </w:rPr>
      </w:pPr>
      <w:bookmarkStart w:id="160" w:name="_Прочие_финансовые_обязательства"/>
      <w:bookmarkStart w:id="161" w:name="_Ref169418147"/>
      <w:bookmarkStart w:id="162" w:name="_Toc416086226"/>
      <w:bookmarkEnd w:id="160"/>
      <w:r w:rsidRPr="00DB0AC3">
        <w:rPr>
          <w:rFonts w:cs="Arial"/>
          <w:sz w:val="20"/>
          <w:lang w:val="ru-RU"/>
        </w:rPr>
        <w:t>Прочие обязательства и кредиторская задолженность на 31 декабря 2014 года включают в себя:</w:t>
      </w:r>
    </w:p>
    <w:p w:rsidR="00C17872" w:rsidRPr="00DB0AC3" w:rsidRDefault="00C17872" w:rsidP="00C17872">
      <w:pPr>
        <w:rPr>
          <w:rFonts w:cs="Arial"/>
          <w:sz w:val="20"/>
          <w:lang w:val="ru-RU"/>
        </w:rPr>
      </w:pPr>
    </w:p>
    <w:tbl>
      <w:tblPr>
        <w:tblW w:w="9320" w:type="dxa"/>
        <w:tblInd w:w="93" w:type="dxa"/>
        <w:tblLook w:val="04A0"/>
      </w:tblPr>
      <w:tblGrid>
        <w:gridCol w:w="5160"/>
        <w:gridCol w:w="2080"/>
        <w:gridCol w:w="2080"/>
      </w:tblGrid>
      <w:tr w:rsidR="00C17872" w:rsidRPr="00DB0AC3" w:rsidTr="00C17872">
        <w:trPr>
          <w:trHeight w:val="300"/>
        </w:trPr>
        <w:tc>
          <w:tcPr>
            <w:tcW w:w="5160" w:type="dxa"/>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c>
          <w:tcPr>
            <w:tcW w:w="2080" w:type="dxa"/>
            <w:tcBorders>
              <w:top w:val="nil"/>
              <w:left w:val="nil"/>
              <w:bottom w:val="single" w:sz="4" w:space="0" w:color="auto"/>
              <w:right w:val="nil"/>
            </w:tcBorders>
            <w:shd w:val="clear" w:color="auto" w:fill="auto"/>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31 декабря 2014</w:t>
            </w:r>
          </w:p>
        </w:tc>
        <w:tc>
          <w:tcPr>
            <w:tcW w:w="2080" w:type="dxa"/>
            <w:tcBorders>
              <w:top w:val="nil"/>
              <w:left w:val="nil"/>
              <w:bottom w:val="single" w:sz="4" w:space="0" w:color="auto"/>
              <w:right w:val="nil"/>
            </w:tcBorders>
            <w:shd w:val="clear" w:color="auto" w:fill="auto"/>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31 декабря 2013</w:t>
            </w: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b/>
                <w:bCs/>
                <w:color w:val="000000"/>
                <w:sz w:val="20"/>
                <w:lang w:val="ru-RU"/>
              </w:rPr>
            </w:pPr>
            <w:r w:rsidRPr="00DB0AC3">
              <w:rPr>
                <w:rFonts w:cs="Arial"/>
                <w:b/>
                <w:bCs/>
                <w:color w:val="000000"/>
                <w:sz w:val="20"/>
                <w:lang w:val="ru-RU"/>
              </w:rPr>
              <w:t xml:space="preserve">Финансовые обязательства </w:t>
            </w:r>
          </w:p>
        </w:tc>
        <w:tc>
          <w:tcPr>
            <w:tcW w:w="2080" w:type="dxa"/>
            <w:tcBorders>
              <w:top w:val="nil"/>
              <w:left w:val="nil"/>
              <w:bottom w:val="nil"/>
              <w:right w:val="nil"/>
            </w:tcBorders>
            <w:shd w:val="clear" w:color="auto" w:fill="auto"/>
            <w:vAlign w:val="bottom"/>
            <w:hideMark/>
          </w:tcPr>
          <w:p w:rsidR="00C17872" w:rsidRPr="00DB0AC3" w:rsidRDefault="00C17872" w:rsidP="00C17872">
            <w:pPr>
              <w:jc w:val="right"/>
              <w:rPr>
                <w:rFonts w:cs="Arial"/>
                <w:b/>
                <w:bCs/>
                <w:color w:val="000000"/>
                <w:sz w:val="20"/>
                <w:lang w:val="ru-RU"/>
              </w:rPr>
            </w:pPr>
          </w:p>
        </w:tc>
        <w:tc>
          <w:tcPr>
            <w:tcW w:w="2080" w:type="dxa"/>
            <w:tcBorders>
              <w:top w:val="nil"/>
              <w:left w:val="nil"/>
              <w:bottom w:val="nil"/>
              <w:right w:val="nil"/>
            </w:tcBorders>
            <w:shd w:val="clear" w:color="auto" w:fill="auto"/>
            <w:vAlign w:val="bottom"/>
            <w:hideMark/>
          </w:tcPr>
          <w:p w:rsidR="00C17872" w:rsidRPr="00DB0AC3" w:rsidRDefault="00C17872" w:rsidP="00C17872">
            <w:pPr>
              <w:jc w:val="right"/>
              <w:rPr>
                <w:rFonts w:cs="Arial"/>
                <w:b/>
                <w:bCs/>
                <w:color w:val="000000"/>
                <w:sz w:val="20"/>
                <w:lang w:val="ru-RU"/>
              </w:rPr>
            </w:pPr>
          </w:p>
        </w:tc>
      </w:tr>
      <w:tr w:rsidR="00C17872" w:rsidRPr="00DB0AC3" w:rsidTr="00C17872">
        <w:trPr>
          <w:trHeight w:val="600"/>
        </w:trPr>
        <w:tc>
          <w:tcPr>
            <w:tcW w:w="5160" w:type="dxa"/>
            <w:tcBorders>
              <w:top w:val="nil"/>
              <w:left w:val="nil"/>
              <w:bottom w:val="nil"/>
              <w:right w:val="nil"/>
            </w:tcBorders>
            <w:shd w:val="clear" w:color="auto" w:fill="auto"/>
            <w:vAlign w:val="bottom"/>
            <w:hideMark/>
          </w:tcPr>
          <w:p w:rsidR="00C17872" w:rsidRPr="00DB0AC3" w:rsidRDefault="00C17872" w:rsidP="00EA31BB">
            <w:pPr>
              <w:rPr>
                <w:rFonts w:cs="Arial"/>
                <w:color w:val="000000"/>
                <w:sz w:val="20"/>
                <w:lang w:val="ru-RU"/>
              </w:rPr>
            </w:pPr>
            <w:r w:rsidRPr="00DB0AC3">
              <w:rPr>
                <w:rFonts w:cs="Arial"/>
                <w:color w:val="000000"/>
                <w:sz w:val="20"/>
                <w:lang w:val="ru-RU"/>
              </w:rPr>
              <w:t xml:space="preserve">Расчеты по операциям с </w:t>
            </w:r>
            <w:r w:rsidR="00EA31BB">
              <w:rPr>
                <w:rFonts w:cs="Arial"/>
                <w:color w:val="000000"/>
                <w:sz w:val="20"/>
                <w:lang w:val="ru-RU"/>
              </w:rPr>
              <w:t xml:space="preserve">платежными </w:t>
            </w:r>
            <w:r w:rsidRPr="00DB0AC3">
              <w:rPr>
                <w:rFonts w:cs="Arial"/>
                <w:color w:val="000000"/>
                <w:sz w:val="20"/>
                <w:lang w:val="ru-RU"/>
              </w:rPr>
              <w:t>картами</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15 939</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72 025</w:t>
            </w:r>
          </w:p>
        </w:tc>
      </w:tr>
      <w:tr w:rsidR="00C17872" w:rsidRPr="00DB0AC3" w:rsidTr="00C17872">
        <w:trPr>
          <w:trHeight w:val="6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Задолженность по комиссиям по процессинговым операциям</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85 224</w:t>
            </w: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Расчеты с прочими кредиторами</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112 414</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21 146</w:t>
            </w:r>
          </w:p>
        </w:tc>
      </w:tr>
      <w:tr w:rsidR="00C17872" w:rsidRPr="00DB0AC3" w:rsidTr="00C17872">
        <w:trPr>
          <w:trHeight w:val="6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Справедливая стоимость выданных гарантий, чистая</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3 991</w:t>
            </w: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Расчеты с поставщиками</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8 723</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3 119</w:t>
            </w:r>
          </w:p>
        </w:tc>
      </w:tr>
      <w:tr w:rsidR="00C17872" w:rsidRPr="00DB0AC3" w:rsidTr="00C17872">
        <w:trPr>
          <w:trHeight w:val="6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Расчеты с акционерами по дивидендам</w:t>
            </w:r>
          </w:p>
        </w:tc>
        <w:tc>
          <w:tcPr>
            <w:tcW w:w="2080" w:type="dxa"/>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240</w:t>
            </w:r>
          </w:p>
        </w:tc>
        <w:tc>
          <w:tcPr>
            <w:tcW w:w="2080" w:type="dxa"/>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398</w:t>
            </w: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137 316</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185 903</w:t>
            </w: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b/>
                <w:bCs/>
                <w:color w:val="000000"/>
                <w:sz w:val="20"/>
                <w:lang w:val="ru-RU"/>
              </w:rPr>
            </w:pPr>
          </w:p>
        </w:tc>
        <w:tc>
          <w:tcPr>
            <w:tcW w:w="2080" w:type="dxa"/>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c>
          <w:tcPr>
            <w:tcW w:w="2080" w:type="dxa"/>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b/>
                <w:bCs/>
                <w:color w:val="000000"/>
                <w:sz w:val="20"/>
                <w:lang w:val="ru-RU"/>
              </w:rPr>
            </w:pPr>
            <w:r w:rsidRPr="00DB0AC3">
              <w:rPr>
                <w:rFonts w:cs="Arial"/>
                <w:b/>
                <w:bCs/>
                <w:color w:val="000000"/>
                <w:sz w:val="20"/>
                <w:lang w:val="ru-RU"/>
              </w:rPr>
              <w:t>Нефинансовые обязательства</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c>
          <w:tcPr>
            <w:tcW w:w="2080" w:type="dxa"/>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r>
      <w:tr w:rsidR="00C17872" w:rsidRPr="00DB0AC3" w:rsidTr="00C17872">
        <w:trPr>
          <w:trHeight w:val="6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Расчеты с бюджетом по прочим налогам</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18 867</w:t>
            </w:r>
          </w:p>
        </w:tc>
        <w:tc>
          <w:tcPr>
            <w:tcW w:w="2080" w:type="dxa"/>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13 149</w:t>
            </w:r>
          </w:p>
        </w:tc>
      </w:tr>
      <w:tr w:rsidR="00C17872" w:rsidRPr="00DB0AC3" w:rsidTr="00C17872">
        <w:trPr>
          <w:trHeight w:val="300"/>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Прочие</w:t>
            </w:r>
          </w:p>
        </w:tc>
        <w:tc>
          <w:tcPr>
            <w:tcW w:w="2080" w:type="dxa"/>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25 763</w:t>
            </w:r>
          </w:p>
        </w:tc>
        <w:tc>
          <w:tcPr>
            <w:tcW w:w="2080" w:type="dxa"/>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21 241</w:t>
            </w:r>
          </w:p>
        </w:tc>
      </w:tr>
      <w:tr w:rsidR="00C17872" w:rsidRPr="00DB0AC3" w:rsidTr="00C17872">
        <w:trPr>
          <w:trHeight w:val="300"/>
        </w:trPr>
        <w:tc>
          <w:tcPr>
            <w:tcW w:w="5160" w:type="dxa"/>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c>
          <w:tcPr>
            <w:tcW w:w="2080" w:type="dxa"/>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44 630</w:t>
            </w:r>
          </w:p>
        </w:tc>
        <w:tc>
          <w:tcPr>
            <w:tcW w:w="2080" w:type="dxa"/>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34 390</w:t>
            </w:r>
          </w:p>
        </w:tc>
      </w:tr>
      <w:tr w:rsidR="00C17872" w:rsidRPr="00DB0AC3" w:rsidTr="00C17872">
        <w:trPr>
          <w:trHeight w:val="615"/>
        </w:trPr>
        <w:tc>
          <w:tcPr>
            <w:tcW w:w="5160" w:type="dxa"/>
            <w:tcBorders>
              <w:top w:val="nil"/>
              <w:left w:val="nil"/>
              <w:bottom w:val="nil"/>
              <w:right w:val="nil"/>
            </w:tcBorders>
            <w:shd w:val="clear" w:color="auto" w:fill="auto"/>
            <w:vAlign w:val="bottom"/>
            <w:hideMark/>
          </w:tcPr>
          <w:p w:rsidR="00C17872" w:rsidRPr="00DB0AC3" w:rsidRDefault="00C17872" w:rsidP="00C17872">
            <w:pPr>
              <w:rPr>
                <w:rFonts w:cs="Arial"/>
                <w:b/>
                <w:bCs/>
                <w:color w:val="000000"/>
                <w:sz w:val="20"/>
                <w:lang w:val="ru-RU"/>
              </w:rPr>
            </w:pPr>
            <w:r w:rsidRPr="00DB0AC3">
              <w:rPr>
                <w:rFonts w:cs="Arial"/>
                <w:b/>
                <w:bCs/>
                <w:color w:val="000000"/>
                <w:sz w:val="20"/>
                <w:lang w:val="ru-RU"/>
              </w:rPr>
              <w:t>Итого прочие обязательства и кредиторская задолженность</w:t>
            </w:r>
          </w:p>
        </w:tc>
        <w:tc>
          <w:tcPr>
            <w:tcW w:w="2080" w:type="dxa"/>
            <w:tcBorders>
              <w:top w:val="nil"/>
              <w:left w:val="nil"/>
              <w:bottom w:val="double" w:sz="6"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181 946</w:t>
            </w:r>
          </w:p>
        </w:tc>
        <w:tc>
          <w:tcPr>
            <w:tcW w:w="2080" w:type="dxa"/>
            <w:tcBorders>
              <w:top w:val="nil"/>
              <w:left w:val="nil"/>
              <w:bottom w:val="double" w:sz="6"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220 293</w:t>
            </w:r>
          </w:p>
        </w:tc>
      </w:tr>
    </w:tbl>
    <w:p w:rsidR="00C17872" w:rsidRPr="00DB0AC3" w:rsidRDefault="00C17872" w:rsidP="00C17872">
      <w:pPr>
        <w:rPr>
          <w:rFonts w:cs="Arial"/>
          <w:sz w:val="20"/>
          <w:lang w:val="ru-RU"/>
        </w:rPr>
      </w:pPr>
    </w:p>
    <w:p w:rsidR="0062600E" w:rsidRDefault="00C17872" w:rsidP="00C06AC5">
      <w:pPr>
        <w:pStyle w:val="210"/>
        <w:shd w:val="clear" w:color="auto" w:fill="auto"/>
        <w:spacing w:line="240" w:lineRule="exact"/>
        <w:ind w:firstLine="0"/>
        <w:jc w:val="both"/>
        <w:rPr>
          <w:rStyle w:val="25"/>
          <w:b/>
          <w:bCs/>
          <w:color w:val="000000"/>
          <w:sz w:val="20"/>
          <w:szCs w:val="20"/>
        </w:rPr>
      </w:pPr>
      <w:r w:rsidRPr="00DB0AC3">
        <w:rPr>
          <w:b w:val="0"/>
          <w:sz w:val="20"/>
          <w:szCs w:val="20"/>
        </w:rPr>
        <w:t>Страновой, валютный</w:t>
      </w:r>
      <w:r w:rsidR="00EA31BB">
        <w:rPr>
          <w:b w:val="0"/>
          <w:sz w:val="20"/>
          <w:szCs w:val="20"/>
        </w:rPr>
        <w:t xml:space="preserve"> анализ</w:t>
      </w:r>
      <w:r w:rsidRPr="00DB0AC3">
        <w:rPr>
          <w:b w:val="0"/>
          <w:sz w:val="20"/>
          <w:szCs w:val="20"/>
        </w:rPr>
        <w:t>, а также анализ по срокам погашения прочих обязательств и кредиторской задолженности представлены в Примечании 33</w:t>
      </w:r>
      <w:r w:rsidRPr="00DB0AC3">
        <w:rPr>
          <w:rStyle w:val="25"/>
          <w:b/>
          <w:bCs/>
          <w:color w:val="000000"/>
          <w:sz w:val="20"/>
          <w:szCs w:val="20"/>
        </w:rPr>
        <w:t>.</w:t>
      </w: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Default="003D6F26" w:rsidP="00C06AC5">
      <w:pPr>
        <w:pStyle w:val="210"/>
        <w:shd w:val="clear" w:color="auto" w:fill="auto"/>
        <w:spacing w:line="240" w:lineRule="exact"/>
        <w:ind w:firstLine="0"/>
        <w:jc w:val="both"/>
        <w:rPr>
          <w:rStyle w:val="25"/>
          <w:b/>
          <w:bCs/>
          <w:color w:val="000000"/>
          <w:sz w:val="20"/>
          <w:szCs w:val="20"/>
        </w:rPr>
      </w:pPr>
    </w:p>
    <w:p w:rsidR="003D6F26" w:rsidRPr="00DB0AC3" w:rsidRDefault="003D6F26" w:rsidP="00C06AC5">
      <w:pPr>
        <w:pStyle w:val="210"/>
        <w:shd w:val="clear" w:color="auto" w:fill="auto"/>
        <w:spacing w:line="240" w:lineRule="exact"/>
        <w:ind w:firstLine="0"/>
        <w:jc w:val="both"/>
        <w:rPr>
          <w:sz w:val="20"/>
          <w:szCs w:val="20"/>
        </w:rPr>
      </w:pPr>
    </w:p>
    <w:p w:rsidR="006572FF" w:rsidRPr="00DB0AC3" w:rsidRDefault="00C17872">
      <w:pPr>
        <w:pStyle w:val="1"/>
        <w:keepLines/>
        <w:numPr>
          <w:ilvl w:val="0"/>
          <w:numId w:val="3"/>
        </w:numPr>
        <w:spacing w:before="480"/>
        <w:ind w:left="561" w:hanging="561"/>
        <w:rPr>
          <w:rFonts w:cs="Arial"/>
          <w:szCs w:val="24"/>
          <w:lang w:val="ru-RU"/>
        </w:rPr>
      </w:pPr>
      <w:bookmarkStart w:id="163" w:name="_Toc441479807"/>
      <w:bookmarkEnd w:id="161"/>
      <w:bookmarkEnd w:id="162"/>
      <w:r w:rsidRPr="00DB0AC3">
        <w:rPr>
          <w:rFonts w:cs="Arial"/>
          <w:szCs w:val="24"/>
          <w:lang w:val="ru-RU"/>
        </w:rPr>
        <w:lastRenderedPageBreak/>
        <w:t>Акционерный капитал</w:t>
      </w:r>
      <w:bookmarkEnd w:id="163"/>
    </w:p>
    <w:p w:rsidR="00C17872" w:rsidRPr="00DB0AC3" w:rsidRDefault="00C17872" w:rsidP="00C17872">
      <w:pPr>
        <w:rPr>
          <w:rFonts w:cs="Arial"/>
          <w:sz w:val="22"/>
          <w:szCs w:val="22"/>
          <w:lang w:val="ru-RU"/>
        </w:rPr>
      </w:pPr>
      <w:bookmarkStart w:id="164" w:name="_Прочие_обязательства"/>
      <w:bookmarkStart w:id="165" w:name="_Ref169418160"/>
      <w:bookmarkStart w:id="166" w:name="_Toc416086227"/>
      <w:bookmarkEnd w:id="164"/>
    </w:p>
    <w:p w:rsidR="00C17872" w:rsidRPr="00DB0AC3" w:rsidRDefault="00C17872" w:rsidP="00C17872">
      <w:pPr>
        <w:pStyle w:val="210"/>
        <w:shd w:val="clear" w:color="auto" w:fill="auto"/>
        <w:spacing w:line="180" w:lineRule="exact"/>
        <w:ind w:firstLine="0"/>
        <w:rPr>
          <w:b w:val="0"/>
          <w:sz w:val="20"/>
          <w:szCs w:val="20"/>
        </w:rPr>
      </w:pPr>
      <w:r w:rsidRPr="00DB0AC3">
        <w:rPr>
          <w:b w:val="0"/>
          <w:sz w:val="20"/>
          <w:szCs w:val="20"/>
        </w:rPr>
        <w:t>Движение в акционерном капитале в 2014 и 2013 годах было следующим:</w:t>
      </w:r>
    </w:p>
    <w:p w:rsidR="00C17872" w:rsidRPr="00DB0AC3" w:rsidRDefault="00C17872" w:rsidP="00C17872">
      <w:pPr>
        <w:rPr>
          <w:rFonts w:cs="Arial"/>
          <w:sz w:val="20"/>
          <w:lang w:val="ru-RU"/>
        </w:rPr>
      </w:pPr>
    </w:p>
    <w:tbl>
      <w:tblPr>
        <w:tblW w:w="9371" w:type="dxa"/>
        <w:tblInd w:w="93" w:type="dxa"/>
        <w:tblLook w:val="04A0"/>
      </w:tblPr>
      <w:tblGrid>
        <w:gridCol w:w="3600"/>
        <w:gridCol w:w="1280"/>
        <w:gridCol w:w="680"/>
        <w:gridCol w:w="834"/>
        <w:gridCol w:w="826"/>
        <w:gridCol w:w="450"/>
        <w:gridCol w:w="1701"/>
      </w:tblGrid>
      <w:tr w:rsidR="00C17872" w:rsidRPr="00DB0AC3" w:rsidTr="006B27E4">
        <w:trPr>
          <w:trHeight w:val="300"/>
        </w:trPr>
        <w:tc>
          <w:tcPr>
            <w:tcW w:w="5560" w:type="dxa"/>
            <w:gridSpan w:val="3"/>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c>
          <w:tcPr>
            <w:tcW w:w="1660" w:type="dxa"/>
            <w:gridSpan w:val="2"/>
            <w:tcBorders>
              <w:top w:val="nil"/>
              <w:left w:val="nil"/>
              <w:bottom w:val="single" w:sz="4" w:space="0" w:color="auto"/>
              <w:right w:val="nil"/>
            </w:tcBorders>
            <w:shd w:val="clear" w:color="auto" w:fill="auto"/>
            <w:vAlign w:val="bottom"/>
            <w:hideMark/>
          </w:tcPr>
          <w:p w:rsidR="00C17872" w:rsidRPr="00DB0AC3" w:rsidRDefault="00C17872" w:rsidP="00C17872">
            <w:pPr>
              <w:jc w:val="center"/>
              <w:rPr>
                <w:rFonts w:cs="Arial"/>
                <w:b/>
                <w:bCs/>
                <w:color w:val="000000"/>
                <w:sz w:val="20"/>
                <w:lang w:val="ru-RU"/>
              </w:rPr>
            </w:pPr>
            <w:r w:rsidRPr="00DB0AC3">
              <w:rPr>
                <w:rFonts w:cs="Arial"/>
                <w:b/>
                <w:bCs/>
                <w:color w:val="000000"/>
                <w:sz w:val="20"/>
                <w:lang w:val="ru-RU"/>
              </w:rPr>
              <w:t>2014</w:t>
            </w:r>
          </w:p>
        </w:tc>
        <w:tc>
          <w:tcPr>
            <w:tcW w:w="2151" w:type="dxa"/>
            <w:gridSpan w:val="2"/>
            <w:tcBorders>
              <w:top w:val="nil"/>
              <w:left w:val="nil"/>
              <w:bottom w:val="single" w:sz="4" w:space="0" w:color="auto"/>
              <w:right w:val="nil"/>
            </w:tcBorders>
            <w:shd w:val="clear" w:color="auto" w:fill="auto"/>
            <w:vAlign w:val="bottom"/>
            <w:hideMark/>
          </w:tcPr>
          <w:p w:rsidR="00C17872" w:rsidRPr="00DB0AC3" w:rsidRDefault="00C17872" w:rsidP="00C17872">
            <w:pPr>
              <w:jc w:val="center"/>
              <w:rPr>
                <w:rFonts w:cs="Arial"/>
                <w:b/>
                <w:bCs/>
                <w:color w:val="000000"/>
                <w:sz w:val="20"/>
                <w:lang w:val="ru-RU"/>
              </w:rPr>
            </w:pPr>
            <w:r w:rsidRPr="00DB0AC3">
              <w:rPr>
                <w:rFonts w:cs="Arial"/>
                <w:b/>
                <w:bCs/>
                <w:color w:val="000000"/>
                <w:sz w:val="20"/>
                <w:lang w:val="ru-RU"/>
              </w:rPr>
              <w:t>2013</w:t>
            </w:r>
          </w:p>
        </w:tc>
      </w:tr>
      <w:tr w:rsidR="00C17872" w:rsidRPr="00DB0AC3" w:rsidTr="006B27E4">
        <w:trPr>
          <w:trHeight w:val="300"/>
        </w:trPr>
        <w:tc>
          <w:tcPr>
            <w:tcW w:w="5560" w:type="dxa"/>
            <w:gridSpan w:val="3"/>
            <w:tcBorders>
              <w:top w:val="nil"/>
              <w:left w:val="nil"/>
              <w:bottom w:val="nil"/>
              <w:right w:val="nil"/>
            </w:tcBorders>
            <w:shd w:val="clear" w:color="auto" w:fill="auto"/>
            <w:noWrap/>
            <w:vAlign w:val="bottom"/>
            <w:hideMark/>
          </w:tcPr>
          <w:p w:rsidR="00C17872" w:rsidRPr="00DB0AC3" w:rsidRDefault="00C17872" w:rsidP="00C17872">
            <w:pPr>
              <w:rPr>
                <w:rFonts w:cs="Arial"/>
                <w:b/>
                <w:bCs/>
                <w:color w:val="000000"/>
                <w:sz w:val="20"/>
                <w:lang w:val="ru-RU"/>
              </w:rPr>
            </w:pPr>
            <w:r w:rsidRPr="00DB0AC3">
              <w:rPr>
                <w:rFonts w:cs="Arial"/>
                <w:b/>
                <w:bCs/>
                <w:color w:val="000000"/>
                <w:sz w:val="20"/>
                <w:lang w:val="ru-RU"/>
              </w:rPr>
              <w:t>На 1 января</w:t>
            </w:r>
          </w:p>
        </w:tc>
        <w:tc>
          <w:tcPr>
            <w:tcW w:w="1660" w:type="dxa"/>
            <w:gridSpan w:val="2"/>
            <w:tcBorders>
              <w:top w:val="nil"/>
              <w:left w:val="nil"/>
              <w:bottom w:val="nil"/>
              <w:right w:val="nil"/>
            </w:tcBorders>
            <w:shd w:val="clear" w:color="auto" w:fill="auto"/>
            <w:noWrap/>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1 121 220</w:t>
            </w:r>
          </w:p>
        </w:tc>
        <w:tc>
          <w:tcPr>
            <w:tcW w:w="2151" w:type="dxa"/>
            <w:gridSpan w:val="2"/>
            <w:tcBorders>
              <w:top w:val="nil"/>
              <w:left w:val="nil"/>
              <w:bottom w:val="nil"/>
              <w:right w:val="nil"/>
            </w:tcBorders>
            <w:shd w:val="clear" w:color="auto" w:fill="auto"/>
            <w:noWrap/>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981 220</w:t>
            </w:r>
          </w:p>
        </w:tc>
      </w:tr>
      <w:tr w:rsidR="00C17872" w:rsidRPr="00DB0AC3" w:rsidTr="006B27E4">
        <w:trPr>
          <w:trHeight w:val="300"/>
        </w:trPr>
        <w:tc>
          <w:tcPr>
            <w:tcW w:w="5560" w:type="dxa"/>
            <w:gridSpan w:val="3"/>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Эмиссия акций</w:t>
            </w:r>
          </w:p>
        </w:tc>
        <w:tc>
          <w:tcPr>
            <w:tcW w:w="1660" w:type="dxa"/>
            <w:gridSpan w:val="2"/>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w:t>
            </w:r>
          </w:p>
        </w:tc>
        <w:tc>
          <w:tcPr>
            <w:tcW w:w="2151" w:type="dxa"/>
            <w:gridSpan w:val="2"/>
            <w:tcBorders>
              <w:top w:val="nil"/>
              <w:left w:val="nil"/>
              <w:bottom w:val="nil"/>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140 000</w:t>
            </w:r>
          </w:p>
        </w:tc>
      </w:tr>
      <w:tr w:rsidR="00C17872" w:rsidRPr="00DB0AC3" w:rsidTr="006B27E4">
        <w:trPr>
          <w:trHeight w:val="300"/>
        </w:trPr>
        <w:tc>
          <w:tcPr>
            <w:tcW w:w="5560" w:type="dxa"/>
            <w:gridSpan w:val="3"/>
            <w:tcBorders>
              <w:top w:val="nil"/>
              <w:left w:val="nil"/>
              <w:bottom w:val="nil"/>
              <w:right w:val="nil"/>
            </w:tcBorders>
            <w:shd w:val="clear" w:color="auto" w:fill="auto"/>
            <w:noWrap/>
            <w:vAlign w:val="bottom"/>
            <w:hideMark/>
          </w:tcPr>
          <w:p w:rsidR="00C17872" w:rsidRPr="00DB0AC3" w:rsidRDefault="00C17872" w:rsidP="00C17872">
            <w:pPr>
              <w:rPr>
                <w:rFonts w:cs="Arial"/>
                <w:b/>
                <w:bCs/>
                <w:color w:val="000000"/>
                <w:sz w:val="20"/>
                <w:lang w:val="ru-RU"/>
              </w:rPr>
            </w:pPr>
            <w:r w:rsidRPr="00DB0AC3">
              <w:rPr>
                <w:rFonts w:cs="Arial"/>
                <w:b/>
                <w:bCs/>
                <w:color w:val="000000"/>
                <w:sz w:val="20"/>
                <w:lang w:val="ru-RU"/>
              </w:rPr>
              <w:t>На 31 декабря</w:t>
            </w:r>
          </w:p>
        </w:tc>
        <w:tc>
          <w:tcPr>
            <w:tcW w:w="1660" w:type="dxa"/>
            <w:gridSpan w:val="2"/>
            <w:tcBorders>
              <w:top w:val="nil"/>
              <w:left w:val="nil"/>
              <w:bottom w:val="nil"/>
              <w:right w:val="nil"/>
            </w:tcBorders>
            <w:shd w:val="clear" w:color="auto" w:fill="auto"/>
            <w:noWrap/>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1 121 220</w:t>
            </w:r>
          </w:p>
        </w:tc>
        <w:tc>
          <w:tcPr>
            <w:tcW w:w="2151" w:type="dxa"/>
            <w:gridSpan w:val="2"/>
            <w:tcBorders>
              <w:top w:val="nil"/>
              <w:left w:val="nil"/>
              <w:bottom w:val="nil"/>
              <w:right w:val="nil"/>
            </w:tcBorders>
            <w:shd w:val="clear" w:color="auto" w:fill="auto"/>
            <w:noWrap/>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1 121 220</w:t>
            </w:r>
          </w:p>
        </w:tc>
      </w:tr>
      <w:tr w:rsidR="00C17872" w:rsidRPr="00DB0AC3" w:rsidTr="006B27E4">
        <w:trPr>
          <w:trHeight w:val="300"/>
        </w:trPr>
        <w:tc>
          <w:tcPr>
            <w:tcW w:w="5560" w:type="dxa"/>
            <w:gridSpan w:val="3"/>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r w:rsidRPr="00DB0AC3">
              <w:rPr>
                <w:rFonts w:cs="Arial"/>
                <w:color w:val="000000"/>
                <w:sz w:val="20"/>
                <w:lang w:val="ru-RU"/>
              </w:rPr>
              <w:t>Корректировка в соответствии с МСБУ 29 (Прим. 3(I))</w:t>
            </w:r>
          </w:p>
        </w:tc>
        <w:tc>
          <w:tcPr>
            <w:tcW w:w="1660" w:type="dxa"/>
            <w:gridSpan w:val="2"/>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192 647</w:t>
            </w:r>
          </w:p>
        </w:tc>
        <w:tc>
          <w:tcPr>
            <w:tcW w:w="2151" w:type="dxa"/>
            <w:gridSpan w:val="2"/>
            <w:tcBorders>
              <w:top w:val="nil"/>
              <w:left w:val="nil"/>
              <w:bottom w:val="single" w:sz="4" w:space="0" w:color="auto"/>
              <w:right w:val="nil"/>
            </w:tcBorders>
            <w:shd w:val="clear" w:color="auto" w:fill="auto"/>
            <w:noWrap/>
            <w:vAlign w:val="bottom"/>
            <w:hideMark/>
          </w:tcPr>
          <w:p w:rsidR="00C17872" w:rsidRPr="00DB0AC3" w:rsidRDefault="00C17872" w:rsidP="00C17872">
            <w:pPr>
              <w:jc w:val="right"/>
              <w:rPr>
                <w:rFonts w:cs="Arial"/>
                <w:color w:val="000000"/>
                <w:sz w:val="20"/>
                <w:lang w:val="ru-RU"/>
              </w:rPr>
            </w:pPr>
            <w:r w:rsidRPr="00DB0AC3">
              <w:rPr>
                <w:rFonts w:cs="Arial"/>
                <w:color w:val="000000"/>
                <w:sz w:val="20"/>
                <w:lang w:val="ru-RU"/>
              </w:rPr>
              <w:t>192 647</w:t>
            </w:r>
          </w:p>
        </w:tc>
      </w:tr>
      <w:tr w:rsidR="00C17872" w:rsidRPr="00DB0AC3" w:rsidTr="006B27E4">
        <w:trPr>
          <w:trHeight w:val="315"/>
        </w:trPr>
        <w:tc>
          <w:tcPr>
            <w:tcW w:w="5560" w:type="dxa"/>
            <w:gridSpan w:val="3"/>
            <w:tcBorders>
              <w:top w:val="nil"/>
              <w:left w:val="nil"/>
              <w:bottom w:val="nil"/>
              <w:right w:val="nil"/>
            </w:tcBorders>
            <w:shd w:val="clear" w:color="auto" w:fill="auto"/>
            <w:noWrap/>
            <w:vAlign w:val="bottom"/>
            <w:hideMark/>
          </w:tcPr>
          <w:p w:rsidR="00C17872" w:rsidRPr="00DB0AC3" w:rsidRDefault="00C17872" w:rsidP="00C17872">
            <w:pPr>
              <w:rPr>
                <w:rFonts w:cs="Arial"/>
                <w:color w:val="000000"/>
                <w:sz w:val="20"/>
                <w:lang w:val="ru-RU"/>
              </w:rPr>
            </w:pPr>
          </w:p>
        </w:tc>
        <w:tc>
          <w:tcPr>
            <w:tcW w:w="1660" w:type="dxa"/>
            <w:gridSpan w:val="2"/>
            <w:tcBorders>
              <w:top w:val="nil"/>
              <w:left w:val="nil"/>
              <w:bottom w:val="double" w:sz="6" w:space="0" w:color="auto"/>
              <w:right w:val="nil"/>
            </w:tcBorders>
            <w:shd w:val="clear" w:color="auto" w:fill="auto"/>
            <w:noWrap/>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1 313 867</w:t>
            </w:r>
          </w:p>
        </w:tc>
        <w:tc>
          <w:tcPr>
            <w:tcW w:w="2151" w:type="dxa"/>
            <w:gridSpan w:val="2"/>
            <w:tcBorders>
              <w:top w:val="nil"/>
              <w:left w:val="nil"/>
              <w:bottom w:val="double" w:sz="6" w:space="0" w:color="auto"/>
              <w:right w:val="nil"/>
            </w:tcBorders>
            <w:shd w:val="clear" w:color="auto" w:fill="auto"/>
            <w:noWrap/>
            <w:vAlign w:val="bottom"/>
            <w:hideMark/>
          </w:tcPr>
          <w:p w:rsidR="00C17872" w:rsidRPr="00DB0AC3" w:rsidRDefault="00C17872" w:rsidP="00C17872">
            <w:pPr>
              <w:jc w:val="right"/>
              <w:rPr>
                <w:rFonts w:cs="Arial"/>
                <w:b/>
                <w:bCs/>
                <w:color w:val="000000"/>
                <w:sz w:val="20"/>
                <w:lang w:val="ru-RU"/>
              </w:rPr>
            </w:pPr>
            <w:r w:rsidRPr="00DB0AC3">
              <w:rPr>
                <w:rFonts w:cs="Arial"/>
                <w:b/>
                <w:bCs/>
                <w:color w:val="000000"/>
                <w:sz w:val="20"/>
                <w:lang w:val="ru-RU"/>
              </w:rPr>
              <w:t>1 313 867</w:t>
            </w:r>
          </w:p>
        </w:tc>
      </w:tr>
      <w:tr w:rsidR="006B27E4" w:rsidRPr="0046554E" w:rsidTr="006B27E4">
        <w:trPr>
          <w:trHeight w:val="600"/>
        </w:trPr>
        <w:tc>
          <w:tcPr>
            <w:tcW w:w="9371" w:type="dxa"/>
            <w:gridSpan w:val="7"/>
            <w:tcBorders>
              <w:top w:val="nil"/>
              <w:left w:val="nil"/>
              <w:bottom w:val="nil"/>
              <w:right w:val="nil"/>
            </w:tcBorders>
            <w:shd w:val="clear" w:color="auto" w:fill="auto"/>
            <w:noWrap/>
            <w:vAlign w:val="bottom"/>
          </w:tcPr>
          <w:p w:rsidR="006B27E4" w:rsidRPr="00DB0AC3" w:rsidRDefault="006B27E4" w:rsidP="006B27E4">
            <w:pPr>
              <w:jc w:val="both"/>
              <w:rPr>
                <w:rFonts w:cs="Arial"/>
                <w:color w:val="000000"/>
                <w:sz w:val="22"/>
                <w:szCs w:val="22"/>
                <w:lang w:val="ru-RU"/>
              </w:rPr>
            </w:pPr>
          </w:p>
          <w:p w:rsidR="006B27E4" w:rsidRPr="00DB0AC3" w:rsidRDefault="006B27E4" w:rsidP="006B27E4">
            <w:pPr>
              <w:jc w:val="both"/>
              <w:rPr>
                <w:rFonts w:cs="Arial"/>
                <w:b/>
                <w:bCs/>
                <w:color w:val="000000"/>
                <w:sz w:val="20"/>
                <w:lang w:val="ru-RU"/>
              </w:rPr>
            </w:pPr>
            <w:r w:rsidRPr="00DB0AC3">
              <w:rPr>
                <w:rFonts w:cs="Arial"/>
                <w:color w:val="000000"/>
                <w:sz w:val="20"/>
                <w:lang w:val="ru-RU"/>
              </w:rPr>
              <w:t>На 31 декабря 2014 года и 31 декабря 2013 года структура акционерного капитала представлена следующим образом:</w:t>
            </w:r>
          </w:p>
        </w:tc>
      </w:tr>
      <w:tr w:rsidR="00C17872" w:rsidRPr="003606F4" w:rsidTr="006B27E4">
        <w:trPr>
          <w:trHeight w:val="600"/>
        </w:trPr>
        <w:tc>
          <w:tcPr>
            <w:tcW w:w="3600" w:type="dxa"/>
            <w:tcBorders>
              <w:top w:val="nil"/>
              <w:left w:val="nil"/>
              <w:bottom w:val="nil"/>
              <w:right w:val="nil"/>
            </w:tcBorders>
            <w:shd w:val="clear" w:color="auto" w:fill="auto"/>
            <w:noWrap/>
            <w:vAlign w:val="bottom"/>
            <w:hideMark/>
          </w:tcPr>
          <w:p w:rsidR="00C17872" w:rsidRPr="003606F4" w:rsidRDefault="00C17872" w:rsidP="00C17872">
            <w:pPr>
              <w:rPr>
                <w:rFonts w:cs="Arial"/>
                <w:b/>
                <w:color w:val="000000"/>
                <w:sz w:val="20"/>
                <w:lang w:val="ru-RU"/>
              </w:rPr>
            </w:pPr>
          </w:p>
          <w:p w:rsidR="00C17872" w:rsidRPr="003606F4" w:rsidRDefault="00C17872" w:rsidP="00C17872">
            <w:pPr>
              <w:rPr>
                <w:rFonts w:cs="Arial"/>
                <w:b/>
                <w:color w:val="000000"/>
                <w:sz w:val="20"/>
                <w:lang w:val="ru-RU"/>
              </w:rPr>
            </w:pPr>
          </w:p>
        </w:tc>
        <w:tc>
          <w:tcPr>
            <w:tcW w:w="2794" w:type="dxa"/>
            <w:gridSpan w:val="3"/>
            <w:tcBorders>
              <w:left w:val="nil"/>
              <w:bottom w:val="single" w:sz="4" w:space="0" w:color="auto"/>
              <w:right w:val="nil"/>
            </w:tcBorders>
            <w:shd w:val="clear" w:color="auto" w:fill="auto"/>
            <w:vAlign w:val="bottom"/>
            <w:hideMark/>
          </w:tcPr>
          <w:p w:rsidR="00C17872" w:rsidRPr="003606F4" w:rsidRDefault="00C17872" w:rsidP="00C17872">
            <w:pPr>
              <w:jc w:val="center"/>
              <w:rPr>
                <w:rFonts w:cs="Arial"/>
                <w:b/>
                <w:bCs/>
                <w:color w:val="000000"/>
                <w:sz w:val="20"/>
                <w:lang w:val="ru-RU"/>
              </w:rPr>
            </w:pPr>
            <w:r w:rsidRPr="003606F4">
              <w:rPr>
                <w:rFonts w:cs="Arial"/>
                <w:b/>
                <w:bCs/>
                <w:color w:val="000000"/>
                <w:sz w:val="20"/>
                <w:lang w:val="ru-RU"/>
              </w:rPr>
              <w:t>31 декабря 2014</w:t>
            </w:r>
          </w:p>
        </w:tc>
        <w:tc>
          <w:tcPr>
            <w:tcW w:w="2977" w:type="dxa"/>
            <w:gridSpan w:val="3"/>
            <w:tcBorders>
              <w:left w:val="nil"/>
              <w:bottom w:val="single" w:sz="4" w:space="0" w:color="auto"/>
              <w:right w:val="nil"/>
            </w:tcBorders>
            <w:shd w:val="clear" w:color="auto" w:fill="auto"/>
            <w:vAlign w:val="bottom"/>
            <w:hideMark/>
          </w:tcPr>
          <w:p w:rsidR="00C17872" w:rsidRPr="003606F4" w:rsidRDefault="00C17872" w:rsidP="00C17872">
            <w:pPr>
              <w:jc w:val="center"/>
              <w:rPr>
                <w:rFonts w:cs="Arial"/>
                <w:b/>
                <w:bCs/>
                <w:color w:val="000000"/>
                <w:sz w:val="20"/>
                <w:lang w:val="ru-RU"/>
              </w:rPr>
            </w:pPr>
            <w:r w:rsidRPr="003606F4">
              <w:rPr>
                <w:rFonts w:cs="Arial"/>
                <w:b/>
                <w:bCs/>
                <w:color w:val="000000"/>
                <w:sz w:val="20"/>
                <w:lang w:val="ru-RU"/>
              </w:rPr>
              <w:t>31 декабря 2013</w:t>
            </w:r>
          </w:p>
        </w:tc>
      </w:tr>
      <w:tr w:rsidR="00C17872" w:rsidRPr="003606F4" w:rsidTr="006B27E4">
        <w:trPr>
          <w:trHeight w:val="480"/>
        </w:trPr>
        <w:tc>
          <w:tcPr>
            <w:tcW w:w="3600" w:type="dxa"/>
            <w:tcBorders>
              <w:top w:val="nil"/>
              <w:left w:val="nil"/>
              <w:bottom w:val="single" w:sz="4" w:space="0" w:color="auto"/>
              <w:right w:val="nil"/>
            </w:tcBorders>
            <w:shd w:val="clear" w:color="auto" w:fill="auto"/>
            <w:noWrap/>
            <w:vAlign w:val="center"/>
            <w:hideMark/>
          </w:tcPr>
          <w:p w:rsidR="00C17872" w:rsidRPr="003606F4" w:rsidRDefault="00C17872" w:rsidP="00C17872">
            <w:pPr>
              <w:rPr>
                <w:rFonts w:cs="Arial"/>
                <w:b/>
                <w:bCs/>
                <w:color w:val="000000"/>
                <w:sz w:val="20"/>
                <w:lang w:val="ru-RU"/>
              </w:rPr>
            </w:pPr>
            <w:r w:rsidRPr="003606F4">
              <w:rPr>
                <w:rFonts w:cs="Arial"/>
                <w:b/>
                <w:bCs/>
                <w:color w:val="000000"/>
                <w:sz w:val="20"/>
                <w:lang w:val="ru-RU"/>
              </w:rPr>
              <w:t>Акционер</w:t>
            </w:r>
          </w:p>
        </w:tc>
        <w:tc>
          <w:tcPr>
            <w:tcW w:w="1280" w:type="dxa"/>
            <w:tcBorders>
              <w:top w:val="nil"/>
              <w:left w:val="nil"/>
              <w:bottom w:val="single" w:sz="4" w:space="0" w:color="auto"/>
              <w:right w:val="nil"/>
            </w:tcBorders>
            <w:shd w:val="clear" w:color="auto" w:fill="auto"/>
            <w:vAlign w:val="center"/>
            <w:hideMark/>
          </w:tcPr>
          <w:p w:rsidR="00C17872" w:rsidRPr="003606F4" w:rsidRDefault="00C17872" w:rsidP="009A7F55">
            <w:pPr>
              <w:jc w:val="center"/>
              <w:rPr>
                <w:rFonts w:cs="Arial"/>
                <w:b/>
                <w:bCs/>
                <w:color w:val="000000"/>
                <w:sz w:val="20"/>
                <w:lang w:val="ru-RU"/>
              </w:rPr>
            </w:pPr>
            <w:r w:rsidRPr="003606F4">
              <w:rPr>
                <w:rFonts w:cs="Arial"/>
                <w:b/>
                <w:bCs/>
                <w:color w:val="000000"/>
                <w:sz w:val="20"/>
                <w:lang w:val="ru-RU"/>
              </w:rPr>
              <w:t xml:space="preserve">Вложения, </w:t>
            </w:r>
            <w:r w:rsidR="009A7F55" w:rsidRPr="003606F4">
              <w:rPr>
                <w:rFonts w:cs="Arial"/>
                <w:b/>
                <w:bCs/>
                <w:color w:val="000000"/>
                <w:sz w:val="20"/>
                <w:lang w:val="ru-RU"/>
              </w:rPr>
              <w:t>н</w:t>
            </w:r>
            <w:r w:rsidR="009A7F55">
              <w:rPr>
                <w:rFonts w:cs="Arial"/>
                <w:b/>
                <w:bCs/>
                <w:color w:val="000000"/>
                <w:sz w:val="20"/>
                <w:lang w:val="ru-RU"/>
              </w:rPr>
              <w:t>о</w:t>
            </w:r>
            <w:r w:rsidR="009A7F55" w:rsidRPr="003606F4">
              <w:rPr>
                <w:rFonts w:cs="Arial"/>
                <w:b/>
                <w:bCs/>
                <w:color w:val="000000"/>
                <w:sz w:val="20"/>
                <w:lang w:val="ru-RU"/>
              </w:rPr>
              <w:t>минал</w:t>
            </w:r>
          </w:p>
        </w:tc>
        <w:tc>
          <w:tcPr>
            <w:tcW w:w="1514" w:type="dxa"/>
            <w:gridSpan w:val="2"/>
            <w:tcBorders>
              <w:top w:val="nil"/>
              <w:left w:val="nil"/>
              <w:bottom w:val="single" w:sz="4" w:space="0" w:color="auto"/>
              <w:right w:val="nil"/>
            </w:tcBorders>
            <w:shd w:val="clear" w:color="auto" w:fill="auto"/>
            <w:noWrap/>
            <w:vAlign w:val="bottom"/>
            <w:hideMark/>
          </w:tcPr>
          <w:p w:rsidR="00C17872" w:rsidRPr="003606F4" w:rsidRDefault="00C17872" w:rsidP="00C17872">
            <w:pPr>
              <w:jc w:val="center"/>
              <w:rPr>
                <w:rFonts w:cs="Arial"/>
                <w:b/>
                <w:bCs/>
                <w:color w:val="000000"/>
                <w:sz w:val="20"/>
                <w:lang w:val="ru-RU"/>
              </w:rPr>
            </w:pPr>
            <w:r w:rsidRPr="003606F4">
              <w:rPr>
                <w:rFonts w:cs="Arial"/>
                <w:b/>
                <w:bCs/>
                <w:color w:val="000000"/>
                <w:sz w:val="20"/>
                <w:lang w:val="ru-RU"/>
              </w:rPr>
              <w:t>%</w:t>
            </w:r>
          </w:p>
        </w:tc>
        <w:tc>
          <w:tcPr>
            <w:tcW w:w="1276" w:type="dxa"/>
            <w:gridSpan w:val="2"/>
            <w:tcBorders>
              <w:top w:val="nil"/>
              <w:left w:val="nil"/>
              <w:bottom w:val="single" w:sz="4" w:space="0" w:color="auto"/>
              <w:right w:val="nil"/>
            </w:tcBorders>
            <w:shd w:val="clear" w:color="auto" w:fill="auto"/>
            <w:vAlign w:val="center"/>
            <w:hideMark/>
          </w:tcPr>
          <w:p w:rsidR="00C17872" w:rsidRPr="003606F4" w:rsidRDefault="00C17872" w:rsidP="009A7F55">
            <w:pPr>
              <w:jc w:val="center"/>
              <w:rPr>
                <w:rFonts w:cs="Arial"/>
                <w:b/>
                <w:bCs/>
                <w:color w:val="000000"/>
                <w:sz w:val="20"/>
                <w:lang w:val="ru-RU"/>
              </w:rPr>
            </w:pPr>
            <w:r w:rsidRPr="003606F4">
              <w:rPr>
                <w:rFonts w:cs="Arial"/>
                <w:b/>
                <w:bCs/>
                <w:color w:val="000000"/>
                <w:sz w:val="20"/>
                <w:lang w:val="ru-RU"/>
              </w:rPr>
              <w:t xml:space="preserve">Вложения, </w:t>
            </w:r>
            <w:r w:rsidR="009A7F55" w:rsidRPr="003606F4">
              <w:rPr>
                <w:rFonts w:cs="Arial"/>
                <w:b/>
                <w:bCs/>
                <w:color w:val="000000"/>
                <w:sz w:val="20"/>
                <w:lang w:val="ru-RU"/>
              </w:rPr>
              <w:t>н</w:t>
            </w:r>
            <w:r w:rsidR="009A7F55">
              <w:rPr>
                <w:rFonts w:cs="Arial"/>
                <w:b/>
                <w:bCs/>
                <w:color w:val="000000"/>
                <w:sz w:val="20"/>
                <w:lang w:val="ru-RU"/>
              </w:rPr>
              <w:t>о</w:t>
            </w:r>
            <w:r w:rsidR="009A7F55" w:rsidRPr="003606F4">
              <w:rPr>
                <w:rFonts w:cs="Arial"/>
                <w:b/>
                <w:bCs/>
                <w:color w:val="000000"/>
                <w:sz w:val="20"/>
                <w:lang w:val="ru-RU"/>
              </w:rPr>
              <w:t>минал</w:t>
            </w:r>
          </w:p>
        </w:tc>
        <w:tc>
          <w:tcPr>
            <w:tcW w:w="1701" w:type="dxa"/>
            <w:tcBorders>
              <w:top w:val="nil"/>
              <w:left w:val="nil"/>
              <w:bottom w:val="single" w:sz="4" w:space="0" w:color="auto"/>
              <w:right w:val="nil"/>
            </w:tcBorders>
            <w:shd w:val="clear" w:color="auto" w:fill="auto"/>
            <w:noWrap/>
            <w:vAlign w:val="bottom"/>
            <w:hideMark/>
          </w:tcPr>
          <w:p w:rsidR="00C17872" w:rsidRPr="003606F4" w:rsidRDefault="00C17872" w:rsidP="00C17872">
            <w:pPr>
              <w:jc w:val="center"/>
              <w:rPr>
                <w:rFonts w:cs="Arial"/>
                <w:b/>
                <w:bCs/>
                <w:color w:val="000000"/>
                <w:sz w:val="20"/>
                <w:lang w:val="ru-RU"/>
              </w:rPr>
            </w:pPr>
            <w:r w:rsidRPr="003606F4">
              <w:rPr>
                <w:rFonts w:cs="Arial"/>
                <w:b/>
                <w:bCs/>
                <w:color w:val="000000"/>
                <w:sz w:val="20"/>
                <w:lang w:val="ru-RU"/>
              </w:rPr>
              <w:t>%</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bCs/>
                <w:color w:val="000000"/>
                <w:sz w:val="20"/>
                <w:lang w:val="ru-RU"/>
              </w:rPr>
            </w:pPr>
            <w:r w:rsidRPr="003606F4">
              <w:rPr>
                <w:rFonts w:cs="Arial"/>
                <w:bCs/>
                <w:color w:val="000000"/>
                <w:sz w:val="20"/>
                <w:lang w:val="ru-RU"/>
              </w:rPr>
              <w:t>Негосударственные организации</w:t>
            </w:r>
          </w:p>
        </w:tc>
        <w:tc>
          <w:tcPr>
            <w:tcW w:w="1280" w:type="dxa"/>
            <w:tcBorders>
              <w:top w:val="nil"/>
              <w:left w:val="nil"/>
              <w:bottom w:val="nil"/>
              <w:right w:val="nil"/>
            </w:tcBorders>
            <w:shd w:val="clear" w:color="auto" w:fill="auto"/>
            <w:vAlign w:val="center"/>
            <w:hideMark/>
          </w:tcPr>
          <w:p w:rsidR="00C17872" w:rsidRPr="003606F4" w:rsidRDefault="00C17872" w:rsidP="00C17872">
            <w:pPr>
              <w:jc w:val="center"/>
              <w:rPr>
                <w:rFonts w:cs="Arial"/>
                <w:bCs/>
                <w:color w:val="000000"/>
                <w:sz w:val="20"/>
                <w:lang w:val="ru-RU"/>
              </w:rPr>
            </w:pPr>
          </w:p>
        </w:tc>
        <w:tc>
          <w:tcPr>
            <w:tcW w:w="1514" w:type="dxa"/>
            <w:gridSpan w:val="2"/>
            <w:tcBorders>
              <w:top w:val="nil"/>
              <w:left w:val="nil"/>
              <w:bottom w:val="nil"/>
              <w:right w:val="nil"/>
            </w:tcBorders>
            <w:shd w:val="clear" w:color="auto" w:fill="auto"/>
            <w:noWrap/>
            <w:vAlign w:val="bottom"/>
            <w:hideMark/>
          </w:tcPr>
          <w:p w:rsidR="00C17872" w:rsidRPr="003606F4" w:rsidRDefault="00C17872" w:rsidP="00C17872">
            <w:pPr>
              <w:jc w:val="center"/>
              <w:rPr>
                <w:rFonts w:cs="Arial"/>
                <w:bCs/>
                <w:color w:val="000000"/>
                <w:sz w:val="20"/>
                <w:lang w:val="ru-RU"/>
              </w:rPr>
            </w:pPr>
          </w:p>
        </w:tc>
        <w:tc>
          <w:tcPr>
            <w:tcW w:w="1276" w:type="dxa"/>
            <w:gridSpan w:val="2"/>
            <w:tcBorders>
              <w:top w:val="nil"/>
              <w:left w:val="nil"/>
              <w:bottom w:val="nil"/>
              <w:right w:val="nil"/>
            </w:tcBorders>
            <w:shd w:val="clear" w:color="auto" w:fill="auto"/>
            <w:vAlign w:val="center"/>
            <w:hideMark/>
          </w:tcPr>
          <w:p w:rsidR="00C17872" w:rsidRPr="003606F4" w:rsidRDefault="00C17872" w:rsidP="00C17872">
            <w:pPr>
              <w:jc w:val="center"/>
              <w:rPr>
                <w:rFonts w:cs="Arial"/>
                <w:bCs/>
                <w:color w:val="000000"/>
                <w:sz w:val="20"/>
                <w:lang w:val="ru-RU"/>
              </w:rPr>
            </w:pPr>
          </w:p>
        </w:tc>
        <w:tc>
          <w:tcPr>
            <w:tcW w:w="1701" w:type="dxa"/>
            <w:tcBorders>
              <w:top w:val="nil"/>
              <w:left w:val="nil"/>
              <w:bottom w:val="nil"/>
              <w:right w:val="nil"/>
            </w:tcBorders>
            <w:shd w:val="clear" w:color="auto" w:fill="auto"/>
            <w:noWrap/>
            <w:vAlign w:val="bottom"/>
            <w:hideMark/>
          </w:tcPr>
          <w:p w:rsidR="00C17872" w:rsidRPr="003606F4" w:rsidRDefault="00C17872" w:rsidP="00C17872">
            <w:pPr>
              <w:jc w:val="center"/>
              <w:rPr>
                <w:rFonts w:cs="Arial"/>
                <w:bCs/>
                <w:color w:val="000000"/>
                <w:sz w:val="20"/>
                <w:lang w:val="ru-RU"/>
              </w:rPr>
            </w:pP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SpareBank 1 Nord-Norge</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104 273</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9.3</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104 822</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9.3</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OOO «Невский Капитал»</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50 455</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4.5</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50 711</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4.5</w:t>
            </w:r>
          </w:p>
        </w:tc>
      </w:tr>
      <w:tr w:rsidR="00C17872" w:rsidRPr="00DB0AC3" w:rsidTr="006B27E4">
        <w:trPr>
          <w:trHeight w:val="315"/>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ООО «Алкор Холдинг»</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45 970</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4.1</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45 420</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4.1</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ООО «Ветка»</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38 121</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3.4</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38 390</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3.4</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ООО «Вест - Инвест»</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53 819</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4.8</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54 366</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4.8</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ОАО СПИК</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57 182</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5.1</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57 143</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5.1</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bCs/>
                <w:color w:val="000000"/>
                <w:sz w:val="20"/>
                <w:lang w:val="ru-RU"/>
              </w:rPr>
            </w:pPr>
            <w:r w:rsidRPr="003606F4">
              <w:rPr>
                <w:rFonts w:cs="Arial"/>
                <w:bCs/>
                <w:color w:val="000000"/>
                <w:sz w:val="20"/>
                <w:lang w:val="ru-RU"/>
              </w:rPr>
              <w:t>Физические лица</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rPr>
                <w:rFonts w:cs="Arial"/>
                <w:color w:val="000000"/>
                <w:sz w:val="20"/>
                <w:lang w:val="ru-RU"/>
              </w:rPr>
            </w:pP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rPr>
                <w:rFonts w:cs="Arial"/>
                <w:color w:val="000000"/>
                <w:sz w:val="20"/>
                <w:lang w:val="ru-RU"/>
              </w:rPr>
            </w:pP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Кузнецов И. В.</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87 455</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7.8</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86 939</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7.8</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Захаржевский О. Ю.</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93 061</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8.3</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109 359</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9.8</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Махаури Х.Д.</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26 909</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2.4</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27 037</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2.4</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Кирин Д.Н.</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42 606</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3.8</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42 594</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3.8</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Алымов О.В.</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49 334</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4.4</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48 952</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4.4</w:t>
            </w:r>
          </w:p>
        </w:tc>
      </w:tr>
      <w:tr w:rsidR="00C17872" w:rsidRPr="00DB0AC3" w:rsidTr="006B27E4">
        <w:trPr>
          <w:trHeight w:val="300"/>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Сомов С.А.</w:t>
            </w:r>
          </w:p>
        </w:tc>
        <w:tc>
          <w:tcPr>
            <w:tcW w:w="1280" w:type="dxa"/>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106 516</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9.5</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106 381</w:t>
            </w:r>
          </w:p>
        </w:tc>
        <w:tc>
          <w:tcPr>
            <w:tcW w:w="1701" w:type="dxa"/>
            <w:tcBorders>
              <w:top w:val="nil"/>
              <w:left w:val="nil"/>
              <w:bottom w:val="nil"/>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9.5</w:t>
            </w:r>
          </w:p>
        </w:tc>
      </w:tr>
      <w:tr w:rsidR="00C17872" w:rsidRPr="00DB0AC3" w:rsidTr="006B27E4">
        <w:trPr>
          <w:trHeight w:val="480"/>
        </w:trPr>
        <w:tc>
          <w:tcPr>
            <w:tcW w:w="3600" w:type="dxa"/>
            <w:tcBorders>
              <w:top w:val="nil"/>
              <w:left w:val="nil"/>
              <w:bottom w:val="nil"/>
              <w:right w:val="nil"/>
            </w:tcBorders>
            <w:shd w:val="clear" w:color="auto" w:fill="auto"/>
            <w:vAlign w:val="center"/>
            <w:hideMark/>
          </w:tcPr>
          <w:p w:rsidR="00C17872" w:rsidRPr="003606F4" w:rsidRDefault="00C17872" w:rsidP="00C17872">
            <w:pPr>
              <w:rPr>
                <w:rFonts w:cs="Arial"/>
                <w:color w:val="000000"/>
                <w:sz w:val="20"/>
                <w:lang w:val="ru-RU"/>
              </w:rPr>
            </w:pPr>
            <w:r w:rsidRPr="003606F4">
              <w:rPr>
                <w:rFonts w:cs="Arial"/>
                <w:color w:val="000000"/>
                <w:sz w:val="20"/>
                <w:lang w:val="ru-RU"/>
              </w:rPr>
              <w:t>Прочие акционеры (имеющие менее 5% каждый)</w:t>
            </w:r>
          </w:p>
        </w:tc>
        <w:tc>
          <w:tcPr>
            <w:tcW w:w="1280" w:type="dxa"/>
            <w:tcBorders>
              <w:top w:val="nil"/>
              <w:left w:val="nil"/>
              <w:bottom w:val="nil"/>
              <w:right w:val="nil"/>
            </w:tcBorders>
            <w:shd w:val="clear" w:color="auto" w:fill="auto"/>
            <w:noWrap/>
            <w:vAlign w:val="bottom"/>
            <w:hideMark/>
          </w:tcPr>
          <w:p w:rsidR="00C17872" w:rsidRPr="003606F4" w:rsidRDefault="00C17872" w:rsidP="005F1B3C">
            <w:pPr>
              <w:jc w:val="right"/>
              <w:rPr>
                <w:rFonts w:cs="Arial"/>
                <w:color w:val="000000"/>
                <w:sz w:val="20"/>
                <w:lang w:val="ru-RU"/>
              </w:rPr>
            </w:pPr>
            <w:r w:rsidRPr="003606F4">
              <w:rPr>
                <w:rFonts w:cs="Arial"/>
                <w:color w:val="000000"/>
                <w:sz w:val="20"/>
                <w:lang w:val="ru-RU"/>
              </w:rPr>
              <w:t>365 51</w:t>
            </w:r>
            <w:r w:rsidR="005F1B3C">
              <w:rPr>
                <w:rFonts w:cs="Arial"/>
                <w:color w:val="000000"/>
                <w:sz w:val="20"/>
                <w:lang w:val="ru-RU"/>
              </w:rPr>
              <w:t>9</w:t>
            </w:r>
          </w:p>
        </w:tc>
        <w:tc>
          <w:tcPr>
            <w:tcW w:w="1514" w:type="dxa"/>
            <w:gridSpan w:val="2"/>
            <w:tcBorders>
              <w:top w:val="nil"/>
              <w:left w:val="nil"/>
              <w:bottom w:val="nil"/>
              <w:right w:val="nil"/>
            </w:tcBorders>
            <w:shd w:val="clear" w:color="auto" w:fill="auto"/>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32.6</w:t>
            </w:r>
          </w:p>
        </w:tc>
        <w:tc>
          <w:tcPr>
            <w:tcW w:w="1276" w:type="dxa"/>
            <w:gridSpan w:val="2"/>
            <w:tcBorders>
              <w:top w:val="nil"/>
              <w:left w:val="nil"/>
              <w:bottom w:val="nil"/>
              <w:right w:val="nil"/>
            </w:tcBorders>
            <w:shd w:val="clear" w:color="auto" w:fill="auto"/>
            <w:noWrap/>
            <w:vAlign w:val="bottom"/>
            <w:hideMark/>
          </w:tcPr>
          <w:p w:rsidR="00C17872" w:rsidRPr="003606F4" w:rsidRDefault="00C17872" w:rsidP="00C17872">
            <w:pPr>
              <w:jc w:val="right"/>
              <w:rPr>
                <w:rFonts w:cs="Arial"/>
                <w:color w:val="000000"/>
                <w:sz w:val="20"/>
                <w:lang w:val="ru-RU"/>
              </w:rPr>
            </w:pPr>
            <w:r w:rsidRPr="003606F4">
              <w:rPr>
                <w:rFonts w:cs="Arial"/>
                <w:color w:val="000000"/>
                <w:sz w:val="20"/>
                <w:lang w:val="ru-RU"/>
              </w:rPr>
              <w:t>349 106</w:t>
            </w:r>
          </w:p>
        </w:tc>
        <w:tc>
          <w:tcPr>
            <w:tcW w:w="1701" w:type="dxa"/>
            <w:tcBorders>
              <w:top w:val="nil"/>
              <w:left w:val="nil"/>
              <w:bottom w:val="single" w:sz="4" w:space="0" w:color="auto"/>
              <w:right w:val="nil"/>
            </w:tcBorders>
            <w:shd w:val="clear" w:color="auto" w:fill="auto"/>
            <w:noWrap/>
            <w:vAlign w:val="center"/>
            <w:hideMark/>
          </w:tcPr>
          <w:p w:rsidR="00C17872" w:rsidRPr="003606F4" w:rsidRDefault="00C17872" w:rsidP="00C17872">
            <w:pPr>
              <w:jc w:val="right"/>
              <w:rPr>
                <w:rFonts w:cs="Arial"/>
                <w:color w:val="000000"/>
                <w:sz w:val="20"/>
                <w:lang w:val="ru-RU"/>
              </w:rPr>
            </w:pPr>
            <w:r w:rsidRPr="003606F4">
              <w:rPr>
                <w:rFonts w:cs="Arial"/>
                <w:color w:val="000000"/>
                <w:sz w:val="20"/>
                <w:lang w:val="ru-RU"/>
              </w:rPr>
              <w:t>31.1</w:t>
            </w:r>
          </w:p>
        </w:tc>
      </w:tr>
      <w:tr w:rsidR="00C17872" w:rsidRPr="003606F4" w:rsidTr="006B27E4">
        <w:trPr>
          <w:trHeight w:val="315"/>
        </w:trPr>
        <w:tc>
          <w:tcPr>
            <w:tcW w:w="3600" w:type="dxa"/>
            <w:tcBorders>
              <w:top w:val="nil"/>
              <w:left w:val="nil"/>
              <w:bottom w:val="nil"/>
              <w:right w:val="nil"/>
            </w:tcBorders>
            <w:shd w:val="clear" w:color="auto" w:fill="auto"/>
            <w:noWrap/>
            <w:vAlign w:val="center"/>
            <w:hideMark/>
          </w:tcPr>
          <w:p w:rsidR="00C17872" w:rsidRPr="003606F4" w:rsidRDefault="00C17872" w:rsidP="00C17872">
            <w:pPr>
              <w:rPr>
                <w:rFonts w:cs="Arial"/>
                <w:b/>
                <w:bCs/>
                <w:color w:val="000000"/>
                <w:sz w:val="20"/>
                <w:lang w:val="ru-RU"/>
              </w:rPr>
            </w:pPr>
            <w:r w:rsidRPr="003606F4">
              <w:rPr>
                <w:rFonts w:cs="Arial"/>
                <w:b/>
                <w:bCs/>
                <w:color w:val="000000"/>
                <w:sz w:val="20"/>
                <w:lang w:val="ru-RU"/>
              </w:rPr>
              <w:t>Итого</w:t>
            </w:r>
          </w:p>
        </w:tc>
        <w:tc>
          <w:tcPr>
            <w:tcW w:w="1280" w:type="dxa"/>
            <w:tcBorders>
              <w:top w:val="single" w:sz="4" w:space="0" w:color="auto"/>
              <w:left w:val="nil"/>
              <w:bottom w:val="double" w:sz="6" w:space="0" w:color="auto"/>
              <w:right w:val="nil"/>
            </w:tcBorders>
            <w:shd w:val="clear" w:color="auto" w:fill="auto"/>
            <w:noWrap/>
            <w:vAlign w:val="bottom"/>
            <w:hideMark/>
          </w:tcPr>
          <w:p w:rsidR="00C17872" w:rsidRPr="003606F4" w:rsidRDefault="00C17872" w:rsidP="00C17872">
            <w:pPr>
              <w:jc w:val="right"/>
              <w:rPr>
                <w:rFonts w:cs="Arial"/>
                <w:b/>
                <w:bCs/>
                <w:color w:val="000000"/>
                <w:sz w:val="20"/>
                <w:lang w:val="ru-RU"/>
              </w:rPr>
            </w:pPr>
            <w:r w:rsidRPr="003606F4">
              <w:rPr>
                <w:rFonts w:cs="Arial"/>
                <w:b/>
                <w:bCs/>
                <w:color w:val="000000"/>
                <w:sz w:val="20"/>
                <w:lang w:val="ru-RU"/>
              </w:rPr>
              <w:t>1 121 220</w:t>
            </w:r>
          </w:p>
        </w:tc>
        <w:tc>
          <w:tcPr>
            <w:tcW w:w="1514" w:type="dxa"/>
            <w:gridSpan w:val="2"/>
            <w:tcBorders>
              <w:top w:val="single" w:sz="4" w:space="0" w:color="auto"/>
              <w:left w:val="nil"/>
              <w:bottom w:val="double" w:sz="6" w:space="0" w:color="auto"/>
              <w:right w:val="nil"/>
            </w:tcBorders>
            <w:shd w:val="clear" w:color="auto" w:fill="auto"/>
            <w:noWrap/>
            <w:vAlign w:val="bottom"/>
            <w:hideMark/>
          </w:tcPr>
          <w:p w:rsidR="00C17872" w:rsidRPr="003606F4" w:rsidRDefault="00C17872" w:rsidP="00C17872">
            <w:pPr>
              <w:jc w:val="right"/>
              <w:rPr>
                <w:rFonts w:cs="Arial"/>
                <w:b/>
                <w:bCs/>
                <w:color w:val="000000"/>
                <w:sz w:val="20"/>
                <w:lang w:val="ru-RU"/>
              </w:rPr>
            </w:pPr>
            <w:r w:rsidRPr="003606F4">
              <w:rPr>
                <w:rFonts w:cs="Arial"/>
                <w:b/>
                <w:bCs/>
                <w:color w:val="000000"/>
                <w:sz w:val="20"/>
                <w:lang w:val="ru-RU"/>
              </w:rPr>
              <w:t>100.00</w:t>
            </w:r>
          </w:p>
        </w:tc>
        <w:tc>
          <w:tcPr>
            <w:tcW w:w="1276" w:type="dxa"/>
            <w:gridSpan w:val="2"/>
            <w:tcBorders>
              <w:top w:val="single" w:sz="4" w:space="0" w:color="auto"/>
              <w:left w:val="nil"/>
              <w:bottom w:val="double" w:sz="6" w:space="0" w:color="auto"/>
              <w:right w:val="nil"/>
            </w:tcBorders>
            <w:shd w:val="clear" w:color="auto" w:fill="auto"/>
            <w:noWrap/>
            <w:vAlign w:val="bottom"/>
            <w:hideMark/>
          </w:tcPr>
          <w:p w:rsidR="00C17872" w:rsidRPr="003606F4" w:rsidRDefault="00C17872" w:rsidP="00C17872">
            <w:pPr>
              <w:jc w:val="right"/>
              <w:rPr>
                <w:rFonts w:cs="Arial"/>
                <w:b/>
                <w:bCs/>
                <w:color w:val="000000"/>
                <w:sz w:val="20"/>
                <w:lang w:val="ru-RU"/>
              </w:rPr>
            </w:pPr>
            <w:r w:rsidRPr="003606F4">
              <w:rPr>
                <w:rFonts w:cs="Arial"/>
                <w:b/>
                <w:bCs/>
                <w:color w:val="000000"/>
                <w:sz w:val="20"/>
                <w:lang w:val="ru-RU"/>
              </w:rPr>
              <w:t>1 121 220</w:t>
            </w:r>
          </w:p>
        </w:tc>
        <w:tc>
          <w:tcPr>
            <w:tcW w:w="1701" w:type="dxa"/>
            <w:tcBorders>
              <w:top w:val="nil"/>
              <w:left w:val="nil"/>
              <w:bottom w:val="double" w:sz="6" w:space="0" w:color="auto"/>
              <w:right w:val="nil"/>
            </w:tcBorders>
            <w:shd w:val="clear" w:color="auto" w:fill="auto"/>
            <w:noWrap/>
            <w:vAlign w:val="bottom"/>
            <w:hideMark/>
          </w:tcPr>
          <w:p w:rsidR="00C17872" w:rsidRPr="003606F4" w:rsidRDefault="00C17872" w:rsidP="00C17872">
            <w:pPr>
              <w:jc w:val="right"/>
              <w:rPr>
                <w:rFonts w:cs="Arial"/>
                <w:b/>
                <w:bCs/>
                <w:color w:val="000000"/>
                <w:sz w:val="20"/>
                <w:lang w:val="ru-RU"/>
              </w:rPr>
            </w:pPr>
            <w:r w:rsidRPr="003606F4">
              <w:rPr>
                <w:rFonts w:cs="Arial"/>
                <w:b/>
                <w:bCs/>
                <w:color w:val="000000"/>
                <w:sz w:val="20"/>
                <w:lang w:val="ru-RU"/>
              </w:rPr>
              <w:t>100.00</w:t>
            </w:r>
          </w:p>
        </w:tc>
      </w:tr>
    </w:tbl>
    <w:p w:rsidR="00C17872" w:rsidRPr="00DB0AC3" w:rsidRDefault="00C17872" w:rsidP="00C17872">
      <w:pPr>
        <w:pStyle w:val="210"/>
        <w:shd w:val="clear" w:color="auto" w:fill="auto"/>
        <w:spacing w:line="216" w:lineRule="exact"/>
        <w:ind w:firstLine="0"/>
        <w:rPr>
          <w:b w:val="0"/>
          <w:sz w:val="20"/>
          <w:szCs w:val="20"/>
        </w:rPr>
      </w:pPr>
    </w:p>
    <w:p w:rsidR="00C17872" w:rsidRPr="00DB0AC3" w:rsidRDefault="00C17872" w:rsidP="00F8232B">
      <w:pPr>
        <w:pStyle w:val="210"/>
        <w:shd w:val="clear" w:color="auto" w:fill="auto"/>
        <w:spacing w:line="216" w:lineRule="exact"/>
        <w:ind w:firstLine="0"/>
        <w:jc w:val="both"/>
        <w:rPr>
          <w:b w:val="0"/>
          <w:sz w:val="20"/>
          <w:szCs w:val="20"/>
        </w:rPr>
      </w:pPr>
      <w:r w:rsidRPr="00DB0AC3">
        <w:rPr>
          <w:b w:val="0"/>
          <w:sz w:val="20"/>
          <w:szCs w:val="20"/>
        </w:rPr>
        <w:t>На 31 декабря 2014 года акционерный капитал Банка составлял 1 048 220 тысяч обыкновенных акций номинальной стоимостью 1 рубль (не тысяч) за акцию и 73 000 тысяч привилегированных акций номинальной стоимостью 10 рублей (не тысяч) за акцию. Владельцам привилегированных акций гарантируется выплата дивидендов в размере не меньше 10% от номинальной стоимости привилегированной акции.</w:t>
      </w:r>
    </w:p>
    <w:p w:rsidR="00C17872" w:rsidRPr="00DB0AC3" w:rsidRDefault="00C17872" w:rsidP="00F8232B">
      <w:pPr>
        <w:jc w:val="both"/>
        <w:rPr>
          <w:rFonts w:cs="Arial"/>
          <w:bCs/>
          <w:sz w:val="20"/>
          <w:lang w:val="ru-RU"/>
        </w:rPr>
      </w:pPr>
    </w:p>
    <w:p w:rsidR="00C17872" w:rsidRPr="00DB0AC3" w:rsidRDefault="00C17872" w:rsidP="00C36DE3">
      <w:pPr>
        <w:pStyle w:val="ad"/>
        <w:spacing w:after="120"/>
        <w:rPr>
          <w:rFonts w:cs="Arial"/>
          <w:bCs/>
          <w:sz w:val="20"/>
          <w:lang w:val="ru-RU"/>
        </w:rPr>
      </w:pPr>
      <w:r w:rsidRPr="00DB0AC3">
        <w:rPr>
          <w:rFonts w:cs="Arial"/>
          <w:bCs/>
          <w:sz w:val="20"/>
          <w:lang w:val="ru-RU"/>
        </w:rPr>
        <w:t>По состоянию на 01.01.2015 Банк осуществлял процедуры, связанные с 16 эмиссией обыкновенных акций, и находился на этапе размещения акций. Дата завершения размещения – 29 марта 2015 года. В ходе эмиссии не было размещено ни одной акции.</w:t>
      </w:r>
    </w:p>
    <w:p w:rsidR="00C17872" w:rsidRPr="00DB0AC3" w:rsidRDefault="00C17872" w:rsidP="00C36DE3">
      <w:pPr>
        <w:pStyle w:val="ad"/>
        <w:spacing w:after="120"/>
        <w:rPr>
          <w:rFonts w:cs="Arial"/>
          <w:bCs/>
          <w:sz w:val="20"/>
          <w:lang w:val="ru-RU"/>
        </w:rPr>
      </w:pPr>
      <w:r w:rsidRPr="00DB0AC3">
        <w:rPr>
          <w:rFonts w:cs="Arial"/>
          <w:bCs/>
          <w:sz w:val="20"/>
          <w:lang w:val="ru-RU"/>
        </w:rPr>
        <w:t xml:space="preserve">В соответствии с приказом от 26.03.2015 № ОД-656 Банка России,  временная администрация Банка 31.03.2015 приняла решения об уменьшении уставного капитала Банка до 1 рубля и о размещении акций путем конвертации обыкновенных акций номинальной стоимостью 1 руб. в обыкновенные акции номинальной стоимостью 1/1 121 220 000 </w:t>
      </w:r>
      <w:r w:rsidR="008E3D76" w:rsidRPr="00DB0AC3">
        <w:rPr>
          <w:rFonts w:cs="Arial"/>
          <w:bCs/>
          <w:sz w:val="20"/>
          <w:lang w:val="ru-RU"/>
        </w:rPr>
        <w:t>рублей</w:t>
      </w:r>
      <w:r w:rsidRPr="00DB0AC3">
        <w:rPr>
          <w:rFonts w:cs="Arial"/>
          <w:bCs/>
          <w:sz w:val="20"/>
          <w:lang w:val="ru-RU"/>
        </w:rPr>
        <w:t>, привилегированных акций номинальной стоимостью 100</w:t>
      </w:r>
      <w:r w:rsidR="00D40028" w:rsidRPr="00DB0AC3">
        <w:rPr>
          <w:rFonts w:cs="Arial"/>
          <w:bCs/>
          <w:sz w:val="20"/>
          <w:lang w:val="ru-RU"/>
        </w:rPr>
        <w:t> </w:t>
      </w:r>
      <w:r w:rsidRPr="00DB0AC3">
        <w:rPr>
          <w:rFonts w:cs="Arial"/>
          <w:bCs/>
          <w:sz w:val="20"/>
          <w:lang w:val="ru-RU"/>
        </w:rPr>
        <w:t xml:space="preserve">руб. в привилегированные акции номинальной стоимостью 1/11 212 200 </w:t>
      </w:r>
      <w:r w:rsidR="00A813B8" w:rsidRPr="00DB0AC3">
        <w:rPr>
          <w:rFonts w:cs="Arial"/>
          <w:bCs/>
          <w:sz w:val="20"/>
          <w:lang w:val="ru-RU"/>
        </w:rPr>
        <w:t>рублей</w:t>
      </w:r>
      <w:r w:rsidRPr="00DB0AC3">
        <w:rPr>
          <w:rFonts w:cs="Arial"/>
          <w:bCs/>
          <w:sz w:val="20"/>
          <w:lang w:val="ru-RU"/>
        </w:rPr>
        <w:t xml:space="preserve">. </w:t>
      </w:r>
    </w:p>
    <w:p w:rsidR="00EB7B33" w:rsidRPr="00DB0AC3" w:rsidRDefault="00EB7B33" w:rsidP="00C17872">
      <w:pPr>
        <w:pStyle w:val="ad"/>
        <w:spacing w:after="120"/>
        <w:ind w:firstLine="561"/>
        <w:rPr>
          <w:rFonts w:cs="Arial"/>
          <w:bCs/>
          <w:sz w:val="22"/>
          <w:szCs w:val="22"/>
          <w:lang w:val="ru-RU"/>
        </w:rPr>
      </w:pPr>
    </w:p>
    <w:p w:rsidR="006572FF" w:rsidRPr="00DB0AC3" w:rsidRDefault="00EB7B33" w:rsidP="004B4C42">
      <w:pPr>
        <w:pStyle w:val="1"/>
        <w:keepNext w:val="0"/>
        <w:widowControl w:val="0"/>
        <w:numPr>
          <w:ilvl w:val="0"/>
          <w:numId w:val="3"/>
        </w:numPr>
        <w:spacing w:before="0" w:after="200" w:line="228" w:lineRule="auto"/>
        <w:rPr>
          <w:rFonts w:cs="Arial"/>
          <w:szCs w:val="24"/>
          <w:lang w:val="ru-RU"/>
        </w:rPr>
      </w:pPr>
      <w:bookmarkStart w:id="167" w:name="_Toc441479808"/>
      <w:bookmarkEnd w:id="165"/>
      <w:bookmarkEnd w:id="166"/>
      <w:r w:rsidRPr="00DB0AC3">
        <w:rPr>
          <w:rFonts w:cs="Arial"/>
          <w:szCs w:val="24"/>
          <w:lang w:val="ru-RU"/>
        </w:rPr>
        <w:t>Нераспределенная прибыль</w:t>
      </w:r>
      <w:bookmarkEnd w:id="167"/>
    </w:p>
    <w:p w:rsidR="0062600E" w:rsidRPr="00DB0AC3" w:rsidRDefault="00EB7B33" w:rsidP="00C06AC5">
      <w:pPr>
        <w:pStyle w:val="210"/>
        <w:shd w:val="clear" w:color="auto" w:fill="auto"/>
        <w:spacing w:line="240" w:lineRule="exact"/>
        <w:ind w:firstLine="0"/>
        <w:jc w:val="both"/>
        <w:rPr>
          <w:b w:val="0"/>
          <w:sz w:val="20"/>
          <w:szCs w:val="20"/>
        </w:rPr>
      </w:pPr>
      <w:bookmarkStart w:id="168" w:name="_Субординированный_долг"/>
      <w:bookmarkStart w:id="169" w:name="_Ref149050584"/>
      <w:bookmarkStart w:id="170" w:name="_Toc336184055"/>
      <w:bookmarkStart w:id="171" w:name="_Toc338330544"/>
      <w:bookmarkStart w:id="172" w:name="_Toc416086228"/>
      <w:bookmarkEnd w:id="168"/>
      <w:r w:rsidRPr="00DB0AC3">
        <w:rPr>
          <w:b w:val="0"/>
          <w:sz w:val="20"/>
          <w:szCs w:val="20"/>
        </w:rPr>
        <w:t>В соответствии с законодательством Российской Федерации по банковской деятельности</w:t>
      </w:r>
      <w:r w:rsidR="007E2A76" w:rsidRPr="00DB0AC3">
        <w:rPr>
          <w:b w:val="0"/>
          <w:sz w:val="20"/>
          <w:szCs w:val="20"/>
        </w:rPr>
        <w:t>,</w:t>
      </w:r>
      <w:r w:rsidRPr="00DB0AC3">
        <w:rPr>
          <w:b w:val="0"/>
          <w:sz w:val="20"/>
          <w:szCs w:val="20"/>
        </w:rPr>
        <w:t xml:space="preserve"> основой для определения величины распределяемой прибыли за отчетный период является финансовая отчетность</w:t>
      </w:r>
      <w:r w:rsidR="007E2A76" w:rsidRPr="00DB0AC3">
        <w:rPr>
          <w:b w:val="0"/>
          <w:sz w:val="20"/>
          <w:szCs w:val="20"/>
        </w:rPr>
        <w:t>,</w:t>
      </w:r>
      <w:r w:rsidRPr="00DB0AC3">
        <w:rPr>
          <w:b w:val="0"/>
          <w:sz w:val="20"/>
          <w:szCs w:val="20"/>
        </w:rPr>
        <w:t xml:space="preserve"> подготовленная в соответствии с Российскими стандартами бухгалтерской отчетности. Эта прибыль может быть использована для выплаты дивидендов или направлена на резервы.</w:t>
      </w:r>
    </w:p>
    <w:p w:rsidR="0062600E" w:rsidRPr="00DB0AC3" w:rsidRDefault="00EB7B33" w:rsidP="00C06AC5">
      <w:pPr>
        <w:pStyle w:val="210"/>
        <w:shd w:val="clear" w:color="auto" w:fill="auto"/>
        <w:spacing w:line="240" w:lineRule="exact"/>
        <w:ind w:firstLine="0"/>
        <w:jc w:val="both"/>
        <w:rPr>
          <w:b w:val="0"/>
          <w:sz w:val="20"/>
          <w:szCs w:val="20"/>
        </w:rPr>
      </w:pPr>
      <w:r w:rsidRPr="00DB0AC3">
        <w:rPr>
          <w:b w:val="0"/>
          <w:sz w:val="20"/>
          <w:szCs w:val="20"/>
        </w:rPr>
        <w:t>По состоянию на 31 декабря 2014 года величина накопленной прибыли</w:t>
      </w:r>
      <w:r w:rsidR="00CD4050">
        <w:rPr>
          <w:b w:val="0"/>
          <w:sz w:val="20"/>
          <w:szCs w:val="20"/>
        </w:rPr>
        <w:t>,</w:t>
      </w:r>
      <w:r w:rsidRPr="00DB0AC3">
        <w:rPr>
          <w:b w:val="0"/>
          <w:sz w:val="20"/>
          <w:szCs w:val="20"/>
        </w:rPr>
        <w:t xml:space="preserve"> относящейся к распределяемым резервам</w:t>
      </w:r>
      <w:r w:rsidR="00C36DE3" w:rsidRPr="00DB0AC3">
        <w:rPr>
          <w:b w:val="0"/>
          <w:sz w:val="20"/>
          <w:szCs w:val="20"/>
        </w:rPr>
        <w:t>,</w:t>
      </w:r>
      <w:r w:rsidRPr="00DB0AC3">
        <w:rPr>
          <w:b w:val="0"/>
          <w:sz w:val="20"/>
          <w:szCs w:val="20"/>
        </w:rPr>
        <w:t xml:space="preserve"> рассчитанная в соответствии с </w:t>
      </w:r>
      <w:r w:rsidR="00CD4050">
        <w:rPr>
          <w:b w:val="0"/>
          <w:sz w:val="20"/>
          <w:szCs w:val="20"/>
        </w:rPr>
        <w:t>р</w:t>
      </w:r>
      <w:r w:rsidRPr="00DB0AC3">
        <w:rPr>
          <w:b w:val="0"/>
          <w:sz w:val="20"/>
          <w:szCs w:val="20"/>
        </w:rPr>
        <w:t xml:space="preserve">оссийскими стандартами бухгалтерской </w:t>
      </w:r>
      <w:r w:rsidR="00FC12F4">
        <w:rPr>
          <w:b w:val="0"/>
          <w:sz w:val="20"/>
          <w:szCs w:val="20"/>
        </w:rPr>
        <w:t xml:space="preserve">(финансовой) </w:t>
      </w:r>
      <w:r w:rsidRPr="00DB0AC3">
        <w:rPr>
          <w:b w:val="0"/>
          <w:sz w:val="20"/>
          <w:szCs w:val="20"/>
        </w:rPr>
        <w:t>отчетности</w:t>
      </w:r>
      <w:r w:rsidR="00C36DE3" w:rsidRPr="00DB0AC3">
        <w:rPr>
          <w:b w:val="0"/>
          <w:sz w:val="20"/>
          <w:szCs w:val="20"/>
        </w:rPr>
        <w:t>,</w:t>
      </w:r>
      <w:r w:rsidRPr="00DB0AC3">
        <w:rPr>
          <w:b w:val="0"/>
          <w:sz w:val="20"/>
          <w:szCs w:val="20"/>
        </w:rPr>
        <w:t xml:space="preserve"> составила </w:t>
      </w:r>
      <w:r w:rsidR="007E2A76" w:rsidRPr="00DB0AC3">
        <w:rPr>
          <w:b w:val="0"/>
          <w:sz w:val="20"/>
          <w:szCs w:val="20"/>
        </w:rPr>
        <w:t xml:space="preserve">482 479 тысяч </w:t>
      </w:r>
      <w:r w:rsidR="007E2A76" w:rsidRPr="00FC12F4">
        <w:rPr>
          <w:b w:val="0"/>
          <w:sz w:val="20"/>
          <w:szCs w:val="20"/>
        </w:rPr>
        <w:t>рублей</w:t>
      </w:r>
      <w:r w:rsidR="00C36DE3" w:rsidRPr="00FC12F4">
        <w:rPr>
          <w:b w:val="0"/>
          <w:sz w:val="20"/>
          <w:szCs w:val="20"/>
        </w:rPr>
        <w:t xml:space="preserve"> (</w:t>
      </w:r>
      <w:r w:rsidR="00DC33D6" w:rsidRPr="00FC12F4">
        <w:rPr>
          <w:b w:val="0"/>
          <w:sz w:val="20"/>
        </w:rPr>
        <w:t xml:space="preserve">на основе данных </w:t>
      </w:r>
      <w:r w:rsidR="00FC12F4">
        <w:rPr>
          <w:b w:val="0"/>
          <w:sz w:val="20"/>
        </w:rPr>
        <w:t xml:space="preserve">финансовой (бухгалтерской) </w:t>
      </w:r>
      <w:r w:rsidR="00DC33D6" w:rsidRPr="00FC12F4">
        <w:rPr>
          <w:b w:val="0"/>
          <w:sz w:val="20"/>
        </w:rPr>
        <w:t xml:space="preserve">отчетности, </w:t>
      </w:r>
      <w:r w:rsidR="00FC12F4">
        <w:rPr>
          <w:b w:val="0"/>
          <w:sz w:val="20"/>
        </w:rPr>
        <w:t>о достоверности которой</w:t>
      </w:r>
      <w:r w:rsidR="00DC33D6" w:rsidRPr="00FC12F4">
        <w:rPr>
          <w:b w:val="0"/>
          <w:sz w:val="20"/>
        </w:rPr>
        <w:t xml:space="preserve"> аудиторами было выражено отрицательное мнение</w:t>
      </w:r>
      <w:r w:rsidR="00C36DE3" w:rsidRPr="00FC12F4">
        <w:rPr>
          <w:b w:val="0"/>
          <w:sz w:val="20"/>
          <w:szCs w:val="20"/>
        </w:rPr>
        <w:t>)</w:t>
      </w:r>
      <w:r w:rsidRPr="00DB0AC3">
        <w:rPr>
          <w:b w:val="0"/>
          <w:sz w:val="20"/>
          <w:szCs w:val="20"/>
        </w:rPr>
        <w:t xml:space="preserve"> (31 декабря 2013: 570</w:t>
      </w:r>
      <w:r w:rsidR="007E2A76" w:rsidRPr="00DB0AC3">
        <w:rPr>
          <w:b w:val="0"/>
          <w:sz w:val="20"/>
          <w:szCs w:val="20"/>
        </w:rPr>
        <w:t> </w:t>
      </w:r>
      <w:r w:rsidRPr="00DB0AC3">
        <w:rPr>
          <w:b w:val="0"/>
          <w:sz w:val="20"/>
          <w:szCs w:val="20"/>
        </w:rPr>
        <w:t>595</w:t>
      </w:r>
      <w:r w:rsidR="007E2A76" w:rsidRPr="00DB0AC3">
        <w:rPr>
          <w:b w:val="0"/>
          <w:sz w:val="20"/>
          <w:szCs w:val="20"/>
        </w:rPr>
        <w:t xml:space="preserve"> тысяч рублей</w:t>
      </w:r>
      <w:r w:rsidRPr="00DB0AC3">
        <w:rPr>
          <w:b w:val="0"/>
          <w:sz w:val="20"/>
          <w:szCs w:val="20"/>
        </w:rPr>
        <w:t>). Подробная информация по распределению дивидендов представлена в Примечании 29.</w:t>
      </w:r>
    </w:p>
    <w:p w:rsidR="00EB7B33" w:rsidRPr="00DB0AC3" w:rsidRDefault="00EB7B33" w:rsidP="00EB7B33">
      <w:pPr>
        <w:pStyle w:val="210"/>
        <w:shd w:val="clear" w:color="auto" w:fill="auto"/>
        <w:spacing w:line="240" w:lineRule="exact"/>
        <w:ind w:firstLine="0"/>
        <w:rPr>
          <w:b w:val="0"/>
          <w:sz w:val="22"/>
          <w:szCs w:val="22"/>
        </w:rPr>
      </w:pPr>
    </w:p>
    <w:p w:rsidR="00E46C38" w:rsidRPr="00DB0AC3" w:rsidRDefault="00EB7B33" w:rsidP="002000BE">
      <w:pPr>
        <w:pStyle w:val="1"/>
        <w:keepLines/>
        <w:numPr>
          <w:ilvl w:val="0"/>
          <w:numId w:val="3"/>
        </w:numPr>
        <w:spacing w:before="0"/>
        <w:rPr>
          <w:rFonts w:cs="Arial"/>
          <w:szCs w:val="18"/>
          <w:lang w:val="ru-RU"/>
        </w:rPr>
      </w:pPr>
      <w:bookmarkStart w:id="173" w:name="_Toc441479809"/>
      <w:bookmarkEnd w:id="169"/>
      <w:bookmarkEnd w:id="170"/>
      <w:bookmarkEnd w:id="171"/>
      <w:bookmarkEnd w:id="172"/>
      <w:r w:rsidRPr="00DB0AC3">
        <w:rPr>
          <w:rFonts w:cs="Arial"/>
          <w:szCs w:val="18"/>
          <w:lang w:val="ru-RU"/>
        </w:rPr>
        <w:t>Процентный доход и расход</w:t>
      </w:r>
      <w:bookmarkEnd w:id="173"/>
    </w:p>
    <w:tbl>
      <w:tblPr>
        <w:tblW w:w="5000" w:type="pct"/>
        <w:tblLook w:val="04A0"/>
      </w:tblPr>
      <w:tblGrid>
        <w:gridCol w:w="5273"/>
        <w:gridCol w:w="2269"/>
        <w:gridCol w:w="2281"/>
      </w:tblGrid>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bookmarkStart w:id="174" w:name="_Ref255499876"/>
            <w:bookmarkStart w:id="175" w:name="_Ref290284677"/>
            <w:bookmarkStart w:id="176" w:name="_Ref290284693"/>
            <w:bookmarkStart w:id="177" w:name="_Ref290284703"/>
            <w:bookmarkStart w:id="178" w:name="_Ref290589148"/>
            <w:bookmarkStart w:id="179" w:name="_Ref290591334"/>
            <w:bookmarkStart w:id="180" w:name="_Ref290591342"/>
            <w:bookmarkStart w:id="181" w:name="_Toc416086229"/>
          </w:p>
        </w:tc>
        <w:tc>
          <w:tcPr>
            <w:tcW w:w="1172" w:type="pct"/>
            <w:tcBorders>
              <w:top w:val="nil"/>
              <w:left w:val="nil"/>
              <w:bottom w:val="single" w:sz="4" w:space="0" w:color="auto"/>
              <w:right w:val="nil"/>
            </w:tcBorders>
            <w:shd w:val="clear" w:color="auto" w:fill="auto"/>
            <w:noWrap/>
            <w:vAlign w:val="bottom"/>
            <w:hideMark/>
          </w:tcPr>
          <w:p w:rsidR="00EB7B33" w:rsidRPr="00DB0AC3" w:rsidRDefault="00EB7B33" w:rsidP="004720A1">
            <w:pPr>
              <w:jc w:val="center"/>
              <w:rPr>
                <w:rFonts w:cs="Arial"/>
                <w:b/>
                <w:bCs/>
                <w:color w:val="000000"/>
                <w:sz w:val="20"/>
                <w:lang w:val="ru-RU"/>
              </w:rPr>
            </w:pPr>
            <w:r w:rsidRPr="00DB0AC3">
              <w:rPr>
                <w:rFonts w:cs="Arial"/>
                <w:b/>
                <w:bCs/>
                <w:color w:val="000000"/>
                <w:sz w:val="20"/>
                <w:lang w:val="ru-RU"/>
              </w:rPr>
              <w:t>2 014</w:t>
            </w:r>
          </w:p>
        </w:tc>
        <w:tc>
          <w:tcPr>
            <w:tcW w:w="1178" w:type="pct"/>
            <w:tcBorders>
              <w:top w:val="nil"/>
              <w:left w:val="nil"/>
              <w:bottom w:val="single" w:sz="4" w:space="0" w:color="auto"/>
              <w:right w:val="nil"/>
            </w:tcBorders>
            <w:shd w:val="clear" w:color="auto" w:fill="auto"/>
            <w:noWrap/>
            <w:vAlign w:val="bottom"/>
            <w:hideMark/>
          </w:tcPr>
          <w:p w:rsidR="00EB7B33" w:rsidRPr="00DB0AC3" w:rsidRDefault="00EB7B33" w:rsidP="004720A1">
            <w:pPr>
              <w:jc w:val="center"/>
              <w:rPr>
                <w:rFonts w:cs="Arial"/>
                <w:b/>
                <w:bCs/>
                <w:color w:val="000000"/>
                <w:sz w:val="20"/>
                <w:lang w:val="ru-RU"/>
              </w:rPr>
            </w:pPr>
            <w:r w:rsidRPr="00DB0AC3">
              <w:rPr>
                <w:rFonts w:cs="Arial"/>
                <w:b/>
                <w:bCs/>
                <w:color w:val="000000"/>
                <w:sz w:val="20"/>
                <w:lang w:val="ru-RU"/>
              </w:rPr>
              <w:t>2 013</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b/>
                <w:bCs/>
                <w:color w:val="000000"/>
                <w:sz w:val="20"/>
                <w:lang w:val="ru-RU"/>
              </w:rPr>
            </w:pPr>
            <w:r w:rsidRPr="00DB0AC3">
              <w:rPr>
                <w:rFonts w:cs="Arial"/>
                <w:b/>
                <w:bCs/>
                <w:color w:val="000000"/>
                <w:sz w:val="20"/>
                <w:lang w:val="ru-RU"/>
              </w:rPr>
              <w:t>Процентный доход</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Кредиты и авансы клиентам</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4 750 790</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4 441 987</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Средства в других банках</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5 945</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83 960</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Депозиты в ЦБ РФ</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79 705</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По ценным бумагам</w:t>
            </w:r>
          </w:p>
        </w:tc>
        <w:tc>
          <w:tcPr>
            <w:tcW w:w="1172" w:type="pct"/>
            <w:tcBorders>
              <w:top w:val="nil"/>
              <w:left w:val="nil"/>
              <w:bottom w:val="single" w:sz="4" w:space="0" w:color="auto"/>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55 171</w:t>
            </w:r>
          </w:p>
        </w:tc>
        <w:tc>
          <w:tcPr>
            <w:tcW w:w="1178" w:type="pct"/>
            <w:tcBorders>
              <w:top w:val="nil"/>
              <w:left w:val="nil"/>
              <w:bottom w:val="single" w:sz="4" w:space="0" w:color="auto"/>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p>
        </w:tc>
        <w:tc>
          <w:tcPr>
            <w:tcW w:w="1172" w:type="pct"/>
            <w:tcBorders>
              <w:top w:val="single" w:sz="4" w:space="0" w:color="auto"/>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4 811 906</w:t>
            </w:r>
          </w:p>
        </w:tc>
        <w:tc>
          <w:tcPr>
            <w:tcW w:w="1178" w:type="pct"/>
            <w:tcBorders>
              <w:top w:val="single" w:sz="4" w:space="0" w:color="auto"/>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4 605 652</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b/>
                <w:bCs/>
                <w:color w:val="000000"/>
                <w:sz w:val="20"/>
                <w:lang w:val="ru-RU"/>
              </w:rPr>
            </w:pPr>
            <w:r w:rsidRPr="00DB0AC3">
              <w:rPr>
                <w:rFonts w:cs="Arial"/>
                <w:b/>
                <w:bCs/>
                <w:color w:val="000000"/>
                <w:sz w:val="20"/>
                <w:lang w:val="ru-RU"/>
              </w:rPr>
              <w:t>Процентный расход</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Срочные депозиты физических лиц</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(1 510 945)</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(1 590 985)</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Срочные депозиты юридических лиц</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(1 445 854)</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(958 101)</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Процентный расход по выпущенным ценным бумагам</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(58 511)</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(15 797)</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Текущие/расчетные счета</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(185 918)</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(191 770)</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Срочные депозиты банков</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(141 633)</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(266 615)</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Прочие заемные средства</w:t>
            </w: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(117 916)</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(133 636)</w:t>
            </w:r>
          </w:p>
        </w:tc>
      </w:tr>
      <w:tr w:rsidR="00EB7B33" w:rsidRPr="00DB0AC3" w:rsidTr="004720A1">
        <w:trPr>
          <w:trHeight w:val="300"/>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p>
        </w:tc>
        <w:tc>
          <w:tcPr>
            <w:tcW w:w="1172"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(3 460 777)</w:t>
            </w:r>
          </w:p>
        </w:tc>
        <w:tc>
          <w:tcPr>
            <w:tcW w:w="1178" w:type="pct"/>
            <w:tcBorders>
              <w:top w:val="nil"/>
              <w:left w:val="nil"/>
              <w:bottom w:val="nil"/>
              <w:right w:val="nil"/>
            </w:tcBorders>
            <w:shd w:val="clear" w:color="auto" w:fill="auto"/>
            <w:noWrap/>
            <w:vAlign w:val="bottom"/>
            <w:hideMark/>
          </w:tcPr>
          <w:p w:rsidR="00EB7B33" w:rsidRPr="00DB0AC3" w:rsidRDefault="00EB7B33" w:rsidP="004720A1">
            <w:pPr>
              <w:jc w:val="center"/>
              <w:rPr>
                <w:rFonts w:cs="Arial"/>
                <w:color w:val="000000"/>
                <w:sz w:val="20"/>
                <w:lang w:val="ru-RU"/>
              </w:rPr>
            </w:pPr>
            <w:r w:rsidRPr="00DB0AC3">
              <w:rPr>
                <w:rFonts w:cs="Arial"/>
                <w:color w:val="000000"/>
                <w:sz w:val="20"/>
                <w:lang w:val="ru-RU"/>
              </w:rPr>
              <w:t>(3 156 904)</w:t>
            </w:r>
          </w:p>
        </w:tc>
      </w:tr>
      <w:tr w:rsidR="00EB7B33" w:rsidRPr="00DB0AC3" w:rsidTr="004720A1">
        <w:trPr>
          <w:trHeight w:val="315"/>
        </w:trPr>
        <w:tc>
          <w:tcPr>
            <w:tcW w:w="2650" w:type="pct"/>
            <w:tcBorders>
              <w:top w:val="nil"/>
              <w:left w:val="nil"/>
              <w:bottom w:val="nil"/>
              <w:right w:val="nil"/>
            </w:tcBorders>
            <w:shd w:val="clear" w:color="auto" w:fill="auto"/>
            <w:noWrap/>
            <w:vAlign w:val="bottom"/>
            <w:hideMark/>
          </w:tcPr>
          <w:p w:rsidR="00EB7B33" w:rsidRPr="00DB0AC3" w:rsidRDefault="00EB7B33" w:rsidP="004720A1">
            <w:pPr>
              <w:rPr>
                <w:rFonts w:cs="Arial"/>
                <w:b/>
                <w:bCs/>
                <w:color w:val="000000"/>
                <w:sz w:val="20"/>
                <w:lang w:val="ru-RU"/>
              </w:rPr>
            </w:pPr>
            <w:r w:rsidRPr="00DB0AC3">
              <w:rPr>
                <w:rFonts w:cs="Arial"/>
                <w:b/>
                <w:bCs/>
                <w:color w:val="000000"/>
                <w:sz w:val="20"/>
                <w:lang w:val="ru-RU"/>
              </w:rPr>
              <w:t xml:space="preserve">Чистый процентный доход </w:t>
            </w:r>
          </w:p>
        </w:tc>
        <w:tc>
          <w:tcPr>
            <w:tcW w:w="1172" w:type="pct"/>
            <w:tcBorders>
              <w:top w:val="single" w:sz="4" w:space="0" w:color="auto"/>
              <w:left w:val="nil"/>
              <w:bottom w:val="double" w:sz="6" w:space="0" w:color="auto"/>
              <w:right w:val="nil"/>
            </w:tcBorders>
            <w:shd w:val="clear" w:color="auto" w:fill="auto"/>
            <w:noWrap/>
            <w:vAlign w:val="bottom"/>
            <w:hideMark/>
          </w:tcPr>
          <w:p w:rsidR="00EB7B33" w:rsidRPr="00DB0AC3" w:rsidRDefault="00EB7B33" w:rsidP="004720A1">
            <w:pPr>
              <w:jc w:val="center"/>
              <w:rPr>
                <w:rFonts w:cs="Arial"/>
                <w:b/>
                <w:bCs/>
                <w:color w:val="000000"/>
                <w:sz w:val="20"/>
                <w:lang w:val="ru-RU"/>
              </w:rPr>
            </w:pPr>
            <w:r w:rsidRPr="00DB0AC3">
              <w:rPr>
                <w:rFonts w:cs="Arial"/>
                <w:b/>
                <w:bCs/>
                <w:color w:val="000000"/>
                <w:sz w:val="20"/>
                <w:lang w:val="ru-RU"/>
              </w:rPr>
              <w:t>1 351 129</w:t>
            </w:r>
          </w:p>
        </w:tc>
        <w:tc>
          <w:tcPr>
            <w:tcW w:w="1178" w:type="pct"/>
            <w:tcBorders>
              <w:top w:val="single" w:sz="4" w:space="0" w:color="auto"/>
              <w:left w:val="nil"/>
              <w:bottom w:val="double" w:sz="6" w:space="0" w:color="auto"/>
              <w:right w:val="nil"/>
            </w:tcBorders>
            <w:shd w:val="clear" w:color="auto" w:fill="auto"/>
            <w:noWrap/>
            <w:vAlign w:val="bottom"/>
            <w:hideMark/>
          </w:tcPr>
          <w:p w:rsidR="00EB7B33" w:rsidRPr="00DB0AC3" w:rsidRDefault="00EB7B33" w:rsidP="004720A1">
            <w:pPr>
              <w:jc w:val="center"/>
              <w:rPr>
                <w:rFonts w:cs="Arial"/>
                <w:b/>
                <w:bCs/>
                <w:color w:val="000000"/>
                <w:sz w:val="20"/>
                <w:lang w:val="ru-RU"/>
              </w:rPr>
            </w:pPr>
            <w:r w:rsidRPr="00DB0AC3">
              <w:rPr>
                <w:rFonts w:cs="Arial"/>
                <w:b/>
                <w:bCs/>
                <w:color w:val="000000"/>
                <w:sz w:val="20"/>
                <w:lang w:val="ru-RU"/>
              </w:rPr>
              <w:t>1 448 748</w:t>
            </w:r>
          </w:p>
        </w:tc>
      </w:tr>
    </w:tbl>
    <w:p w:rsidR="00944286" w:rsidRPr="00DB0AC3" w:rsidRDefault="00EB7B33" w:rsidP="00EF7B1A">
      <w:pPr>
        <w:pStyle w:val="1"/>
        <w:keepNext w:val="0"/>
        <w:widowControl w:val="0"/>
        <w:numPr>
          <w:ilvl w:val="0"/>
          <w:numId w:val="3"/>
        </w:numPr>
        <w:spacing w:before="120"/>
        <w:rPr>
          <w:rFonts w:cs="Arial"/>
          <w:szCs w:val="24"/>
          <w:lang w:val="ru-RU"/>
        </w:rPr>
      </w:pPr>
      <w:bookmarkStart w:id="182" w:name="_Toc441479810"/>
      <w:bookmarkEnd w:id="174"/>
      <w:bookmarkEnd w:id="175"/>
      <w:bookmarkEnd w:id="176"/>
      <w:bookmarkEnd w:id="177"/>
      <w:bookmarkEnd w:id="178"/>
      <w:bookmarkEnd w:id="179"/>
      <w:bookmarkEnd w:id="180"/>
      <w:bookmarkEnd w:id="181"/>
      <w:r w:rsidRPr="00DB0AC3">
        <w:rPr>
          <w:rFonts w:cs="Arial"/>
          <w:szCs w:val="24"/>
          <w:lang w:val="ru-RU"/>
        </w:rPr>
        <w:t>Упущенная выгода по кредитам клиентам</w:t>
      </w:r>
      <w:bookmarkEnd w:id="182"/>
    </w:p>
    <w:p w:rsidR="004720A1" w:rsidRDefault="00EB7B33" w:rsidP="009A0CA6">
      <w:pPr>
        <w:jc w:val="both"/>
        <w:rPr>
          <w:rFonts w:cs="Arial"/>
          <w:sz w:val="20"/>
          <w:lang w:val="ru-RU"/>
        </w:rPr>
      </w:pPr>
      <w:bookmarkStart w:id="183" w:name="_Нерапределенная_прибыль"/>
      <w:bookmarkStart w:id="184" w:name="_Toc416086230"/>
      <w:bookmarkEnd w:id="183"/>
      <w:r w:rsidRPr="00DB0AC3">
        <w:rPr>
          <w:rFonts w:cs="Arial"/>
          <w:sz w:val="20"/>
          <w:lang w:val="ru-RU"/>
        </w:rPr>
        <w:t>В отчете о совокупном доходе отражена сумма, равная разнице между номинальной и справедливой стоимостью выданных кредитов, выданных в течение отчетного периода по процентным ставкам ниже рыночных.</w:t>
      </w: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Default="003D6F26" w:rsidP="009A0CA6">
      <w:pPr>
        <w:jc w:val="both"/>
        <w:rPr>
          <w:rFonts w:cs="Arial"/>
          <w:sz w:val="20"/>
          <w:lang w:val="ru-RU"/>
        </w:rPr>
      </w:pPr>
    </w:p>
    <w:p w:rsidR="003D6F26" w:rsidRPr="00DB0AC3" w:rsidRDefault="003D6F26" w:rsidP="009A0CA6">
      <w:pPr>
        <w:jc w:val="both"/>
        <w:rPr>
          <w:rFonts w:cs="Arial"/>
          <w:sz w:val="20"/>
          <w:lang w:val="ru-RU"/>
        </w:rPr>
      </w:pPr>
    </w:p>
    <w:p w:rsidR="006572FF" w:rsidRPr="00DB0AC3" w:rsidRDefault="00EB7B33">
      <w:pPr>
        <w:pStyle w:val="1"/>
        <w:keepNext w:val="0"/>
        <w:widowControl w:val="0"/>
        <w:spacing w:before="480"/>
        <w:rPr>
          <w:rFonts w:cs="Arial"/>
          <w:lang w:val="ru-RU"/>
        </w:rPr>
      </w:pPr>
      <w:bookmarkStart w:id="185" w:name="_Toc441479811"/>
      <w:bookmarkEnd w:id="184"/>
      <w:r w:rsidRPr="00DB0AC3">
        <w:rPr>
          <w:rFonts w:cs="Arial"/>
          <w:lang w:val="ru-RU"/>
        </w:rPr>
        <w:t>Чистый доход по комиссионным вознаграждениям</w:t>
      </w:r>
      <w:bookmarkEnd w:id="185"/>
    </w:p>
    <w:p w:rsidR="00EB7B33" w:rsidRPr="00DB0AC3" w:rsidRDefault="00EB7B33" w:rsidP="00EB7B33">
      <w:pPr>
        <w:rPr>
          <w:rFonts w:cs="Arial"/>
          <w:sz w:val="20"/>
          <w:lang w:val="ru-RU"/>
        </w:rPr>
      </w:pPr>
      <w:bookmarkStart w:id="186" w:name="_Ref113248047"/>
      <w:bookmarkStart w:id="187" w:name="_Ref113248057"/>
      <w:bookmarkStart w:id="188" w:name="_Ref150578329"/>
      <w:bookmarkStart w:id="189" w:name="_Ref291242966"/>
      <w:bookmarkStart w:id="190" w:name="_Ref383702580"/>
      <w:bookmarkStart w:id="191" w:name="_Toc416086231"/>
      <w:r w:rsidRPr="00DB0AC3">
        <w:rPr>
          <w:rFonts w:cs="Arial"/>
          <w:sz w:val="20"/>
          <w:lang w:val="ru-RU"/>
        </w:rPr>
        <w:t>Комиссионные доходы и расходы включают в себя следующее:</w:t>
      </w:r>
    </w:p>
    <w:tbl>
      <w:tblPr>
        <w:tblW w:w="9654" w:type="dxa"/>
        <w:tblInd w:w="93" w:type="dxa"/>
        <w:tblLook w:val="04A0"/>
      </w:tblPr>
      <w:tblGrid>
        <w:gridCol w:w="6160"/>
        <w:gridCol w:w="1471"/>
        <w:gridCol w:w="2023"/>
      </w:tblGrid>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p>
        </w:tc>
        <w:tc>
          <w:tcPr>
            <w:tcW w:w="1471" w:type="dxa"/>
            <w:tcBorders>
              <w:top w:val="nil"/>
              <w:left w:val="nil"/>
              <w:bottom w:val="single" w:sz="4" w:space="0" w:color="auto"/>
              <w:right w:val="nil"/>
            </w:tcBorders>
            <w:shd w:val="clear" w:color="auto" w:fill="auto"/>
            <w:noWrap/>
            <w:vAlign w:val="bottom"/>
            <w:hideMark/>
          </w:tcPr>
          <w:p w:rsidR="00EB7B33" w:rsidRPr="00DB0AC3" w:rsidRDefault="00EB7B33" w:rsidP="00E67E3E">
            <w:pPr>
              <w:jc w:val="right"/>
              <w:rPr>
                <w:rFonts w:cs="Arial"/>
                <w:b/>
                <w:bCs/>
                <w:color w:val="000000"/>
                <w:sz w:val="20"/>
                <w:lang w:val="ru-RU"/>
              </w:rPr>
            </w:pPr>
            <w:r w:rsidRPr="00DB0AC3">
              <w:rPr>
                <w:rFonts w:cs="Arial"/>
                <w:b/>
                <w:bCs/>
                <w:color w:val="000000"/>
                <w:sz w:val="20"/>
                <w:lang w:val="ru-RU"/>
              </w:rPr>
              <w:t>2 014</w:t>
            </w:r>
          </w:p>
        </w:tc>
        <w:tc>
          <w:tcPr>
            <w:tcW w:w="2023" w:type="dxa"/>
            <w:tcBorders>
              <w:top w:val="nil"/>
              <w:left w:val="nil"/>
              <w:bottom w:val="single" w:sz="4" w:space="0" w:color="auto"/>
              <w:right w:val="nil"/>
            </w:tcBorders>
            <w:shd w:val="clear" w:color="auto" w:fill="auto"/>
            <w:noWrap/>
            <w:vAlign w:val="bottom"/>
            <w:hideMark/>
          </w:tcPr>
          <w:p w:rsidR="00EB7B33" w:rsidRPr="00DB0AC3" w:rsidRDefault="00EB7B33" w:rsidP="00E67E3E">
            <w:pPr>
              <w:jc w:val="right"/>
              <w:rPr>
                <w:rFonts w:cs="Arial"/>
                <w:b/>
                <w:bCs/>
                <w:color w:val="000000"/>
                <w:sz w:val="20"/>
                <w:lang w:val="ru-RU"/>
              </w:rPr>
            </w:pPr>
            <w:r w:rsidRPr="00DB0AC3">
              <w:rPr>
                <w:rFonts w:cs="Arial"/>
                <w:b/>
                <w:bCs/>
                <w:color w:val="000000"/>
                <w:sz w:val="20"/>
                <w:lang w:val="ru-RU"/>
              </w:rPr>
              <w:t>2 013</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Расчетно-кассовые операции</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120 282</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154 206</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Выданные банковские гарантии</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168 390</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111 649</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Открытие и обслуживание счетов</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94 280</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49 530</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Операции с иностранной валютой</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33 983</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38 642</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Прочие комиссионные доходы</w:t>
            </w:r>
          </w:p>
        </w:tc>
        <w:tc>
          <w:tcPr>
            <w:tcW w:w="1471" w:type="dxa"/>
            <w:tcBorders>
              <w:top w:val="nil"/>
              <w:left w:val="nil"/>
              <w:bottom w:val="nil"/>
              <w:right w:val="nil"/>
            </w:tcBorders>
            <w:shd w:val="clear" w:color="auto" w:fill="auto"/>
            <w:noWrap/>
            <w:vAlign w:val="bottom"/>
            <w:hideMark/>
          </w:tcPr>
          <w:p w:rsidR="00EB7B33" w:rsidRPr="00DB0AC3" w:rsidRDefault="002304EF" w:rsidP="00E67E3E">
            <w:pPr>
              <w:jc w:val="right"/>
              <w:rPr>
                <w:rFonts w:cs="Arial"/>
                <w:color w:val="000000"/>
                <w:sz w:val="20"/>
                <w:lang w:val="ru-RU"/>
              </w:rPr>
            </w:pPr>
            <w:r w:rsidRPr="00DB0AC3">
              <w:rPr>
                <w:rFonts w:cs="Arial"/>
                <w:color w:val="000000"/>
                <w:sz w:val="20"/>
                <w:lang w:val="ru-RU"/>
              </w:rPr>
              <w:t>14 614</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27 176</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Брокерская деятельность</w:t>
            </w:r>
          </w:p>
        </w:tc>
        <w:tc>
          <w:tcPr>
            <w:tcW w:w="1471" w:type="dxa"/>
            <w:tcBorders>
              <w:top w:val="nil"/>
              <w:left w:val="nil"/>
              <w:bottom w:val="single" w:sz="4" w:space="0" w:color="auto"/>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147</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9</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b/>
                <w:bCs/>
                <w:color w:val="000000"/>
                <w:sz w:val="20"/>
                <w:lang w:val="ru-RU"/>
              </w:rPr>
            </w:pPr>
            <w:r w:rsidRPr="00DB0AC3">
              <w:rPr>
                <w:rFonts w:cs="Arial"/>
                <w:b/>
                <w:bCs/>
                <w:color w:val="000000"/>
                <w:sz w:val="20"/>
                <w:lang w:val="ru-RU"/>
              </w:rPr>
              <w:t>Итого доход по комиссионным и вознаграждениям</w:t>
            </w:r>
          </w:p>
        </w:tc>
        <w:tc>
          <w:tcPr>
            <w:tcW w:w="1471" w:type="dxa"/>
            <w:tcBorders>
              <w:top w:val="nil"/>
              <w:left w:val="nil"/>
              <w:bottom w:val="nil"/>
              <w:right w:val="nil"/>
            </w:tcBorders>
            <w:shd w:val="clear" w:color="auto" w:fill="auto"/>
            <w:noWrap/>
            <w:vAlign w:val="bottom"/>
            <w:hideMark/>
          </w:tcPr>
          <w:p w:rsidR="00EB7B33" w:rsidRPr="00DB0AC3" w:rsidRDefault="002304EF" w:rsidP="00E67E3E">
            <w:pPr>
              <w:jc w:val="right"/>
              <w:rPr>
                <w:rFonts w:cs="Arial"/>
                <w:b/>
                <w:bCs/>
                <w:color w:val="000000"/>
                <w:sz w:val="20"/>
                <w:lang w:val="ru-RU"/>
              </w:rPr>
            </w:pPr>
            <w:r w:rsidRPr="00DB0AC3">
              <w:rPr>
                <w:rFonts w:cs="Arial"/>
                <w:b/>
                <w:bCs/>
                <w:color w:val="000000"/>
                <w:sz w:val="20"/>
                <w:lang w:val="ru-RU"/>
              </w:rPr>
              <w:t>431 696</w:t>
            </w:r>
          </w:p>
        </w:tc>
        <w:tc>
          <w:tcPr>
            <w:tcW w:w="2023" w:type="dxa"/>
            <w:tcBorders>
              <w:top w:val="single" w:sz="4" w:space="0" w:color="auto"/>
              <w:left w:val="nil"/>
              <w:bottom w:val="nil"/>
              <w:right w:val="nil"/>
            </w:tcBorders>
            <w:shd w:val="clear" w:color="auto" w:fill="auto"/>
            <w:noWrap/>
            <w:vAlign w:val="bottom"/>
            <w:hideMark/>
          </w:tcPr>
          <w:p w:rsidR="00EB7B33" w:rsidRPr="00DB0AC3" w:rsidRDefault="00EB7B33" w:rsidP="00E67E3E">
            <w:pPr>
              <w:jc w:val="right"/>
              <w:rPr>
                <w:rFonts w:cs="Arial"/>
                <w:b/>
                <w:bCs/>
                <w:color w:val="000000"/>
                <w:sz w:val="20"/>
                <w:lang w:val="ru-RU"/>
              </w:rPr>
            </w:pPr>
            <w:r w:rsidRPr="00DB0AC3">
              <w:rPr>
                <w:rFonts w:cs="Arial"/>
                <w:b/>
                <w:bCs/>
                <w:color w:val="000000"/>
                <w:sz w:val="20"/>
                <w:lang w:val="ru-RU"/>
              </w:rPr>
              <w:t>381 212</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Расчетно-кассовые операции</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(48 018)</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(38 588)</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Инкассация</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(5 554)</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Прочие комиссионные доходы</w:t>
            </w:r>
          </w:p>
        </w:tc>
        <w:tc>
          <w:tcPr>
            <w:tcW w:w="1471"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(1 653)</w:t>
            </w:r>
          </w:p>
        </w:tc>
        <w:tc>
          <w:tcPr>
            <w:tcW w:w="2023" w:type="dxa"/>
            <w:tcBorders>
              <w:top w:val="nil"/>
              <w:left w:val="nil"/>
              <w:bottom w:val="nil"/>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(10 502)</w:t>
            </w:r>
          </w:p>
        </w:tc>
      </w:tr>
      <w:tr w:rsidR="00EB7B33" w:rsidRPr="00DB0AC3" w:rsidTr="009A0CA6">
        <w:trPr>
          <w:trHeight w:val="30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color w:val="000000"/>
                <w:sz w:val="20"/>
                <w:lang w:val="ru-RU"/>
              </w:rPr>
            </w:pPr>
            <w:r w:rsidRPr="00DB0AC3">
              <w:rPr>
                <w:rFonts w:cs="Arial"/>
                <w:color w:val="000000"/>
                <w:sz w:val="20"/>
                <w:lang w:val="ru-RU"/>
              </w:rPr>
              <w:t>Операции с иностранной валютой</w:t>
            </w:r>
          </w:p>
        </w:tc>
        <w:tc>
          <w:tcPr>
            <w:tcW w:w="1471" w:type="dxa"/>
            <w:tcBorders>
              <w:top w:val="nil"/>
              <w:left w:val="nil"/>
              <w:bottom w:val="single" w:sz="4" w:space="0" w:color="auto"/>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(2 530)</w:t>
            </w:r>
          </w:p>
        </w:tc>
        <w:tc>
          <w:tcPr>
            <w:tcW w:w="2023" w:type="dxa"/>
            <w:tcBorders>
              <w:top w:val="nil"/>
              <w:left w:val="nil"/>
              <w:bottom w:val="single" w:sz="4" w:space="0" w:color="auto"/>
              <w:right w:val="nil"/>
            </w:tcBorders>
            <w:shd w:val="clear" w:color="auto" w:fill="auto"/>
            <w:noWrap/>
            <w:vAlign w:val="bottom"/>
            <w:hideMark/>
          </w:tcPr>
          <w:p w:rsidR="00EB7B33" w:rsidRPr="00DB0AC3" w:rsidRDefault="00EB7B33" w:rsidP="00E67E3E">
            <w:pPr>
              <w:jc w:val="right"/>
              <w:rPr>
                <w:rFonts w:cs="Arial"/>
                <w:color w:val="000000"/>
                <w:sz w:val="20"/>
                <w:lang w:val="ru-RU"/>
              </w:rPr>
            </w:pPr>
            <w:r w:rsidRPr="00DB0AC3">
              <w:rPr>
                <w:rFonts w:cs="Arial"/>
                <w:color w:val="000000"/>
                <w:sz w:val="20"/>
                <w:lang w:val="ru-RU"/>
              </w:rPr>
              <w:t>(1 118)</w:t>
            </w:r>
          </w:p>
        </w:tc>
      </w:tr>
      <w:tr w:rsidR="00EB7B33" w:rsidRPr="00DB0AC3" w:rsidTr="009A0CA6">
        <w:trPr>
          <w:trHeight w:val="465"/>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b/>
                <w:bCs/>
                <w:color w:val="000000"/>
                <w:sz w:val="20"/>
                <w:lang w:val="ru-RU"/>
              </w:rPr>
            </w:pPr>
            <w:r w:rsidRPr="00DB0AC3">
              <w:rPr>
                <w:rFonts w:cs="Arial"/>
                <w:b/>
                <w:bCs/>
                <w:color w:val="000000"/>
                <w:sz w:val="20"/>
                <w:lang w:val="ru-RU"/>
              </w:rPr>
              <w:t>Итого расход по комиссионным и вознаграждениям</w:t>
            </w:r>
          </w:p>
        </w:tc>
        <w:tc>
          <w:tcPr>
            <w:tcW w:w="1471" w:type="dxa"/>
            <w:tcBorders>
              <w:top w:val="nil"/>
              <w:left w:val="nil"/>
              <w:bottom w:val="single" w:sz="4" w:space="0" w:color="auto"/>
              <w:right w:val="nil"/>
            </w:tcBorders>
            <w:shd w:val="clear" w:color="auto" w:fill="auto"/>
            <w:noWrap/>
            <w:vAlign w:val="bottom"/>
            <w:hideMark/>
          </w:tcPr>
          <w:p w:rsidR="00EB7B33" w:rsidRPr="00DB0AC3" w:rsidRDefault="00EB7B33" w:rsidP="00E67E3E">
            <w:pPr>
              <w:jc w:val="right"/>
              <w:rPr>
                <w:rFonts w:cs="Arial"/>
                <w:b/>
                <w:bCs/>
                <w:color w:val="000000"/>
                <w:sz w:val="20"/>
                <w:lang w:val="ru-RU"/>
              </w:rPr>
            </w:pPr>
            <w:r w:rsidRPr="00DB0AC3">
              <w:rPr>
                <w:rFonts w:cs="Arial"/>
                <w:b/>
                <w:bCs/>
                <w:color w:val="000000"/>
                <w:sz w:val="20"/>
                <w:lang w:val="ru-RU"/>
              </w:rPr>
              <w:t>(57 755)</w:t>
            </w:r>
          </w:p>
        </w:tc>
        <w:tc>
          <w:tcPr>
            <w:tcW w:w="2023" w:type="dxa"/>
            <w:tcBorders>
              <w:top w:val="single" w:sz="4" w:space="0" w:color="auto"/>
              <w:left w:val="nil"/>
              <w:bottom w:val="nil"/>
              <w:right w:val="nil"/>
            </w:tcBorders>
            <w:shd w:val="clear" w:color="auto" w:fill="auto"/>
            <w:noWrap/>
            <w:vAlign w:val="bottom"/>
            <w:hideMark/>
          </w:tcPr>
          <w:p w:rsidR="00EB7B33" w:rsidRPr="00DB0AC3" w:rsidRDefault="00EB7B33" w:rsidP="00E67E3E">
            <w:pPr>
              <w:jc w:val="right"/>
              <w:rPr>
                <w:rFonts w:cs="Arial"/>
                <w:b/>
                <w:color w:val="000000"/>
                <w:sz w:val="20"/>
                <w:lang w:val="ru-RU"/>
              </w:rPr>
            </w:pPr>
            <w:r w:rsidRPr="00DB0AC3">
              <w:rPr>
                <w:rFonts w:cs="Arial"/>
                <w:b/>
                <w:color w:val="000000"/>
                <w:sz w:val="20"/>
                <w:lang w:val="ru-RU"/>
              </w:rPr>
              <w:t>(50 208)</w:t>
            </w:r>
          </w:p>
        </w:tc>
      </w:tr>
      <w:tr w:rsidR="00EB7B33" w:rsidRPr="00DB0AC3" w:rsidTr="009A0CA6">
        <w:trPr>
          <w:trHeight w:val="540"/>
        </w:trPr>
        <w:tc>
          <w:tcPr>
            <w:tcW w:w="6160" w:type="dxa"/>
            <w:tcBorders>
              <w:top w:val="nil"/>
              <w:left w:val="nil"/>
              <w:bottom w:val="nil"/>
              <w:right w:val="nil"/>
            </w:tcBorders>
            <w:shd w:val="clear" w:color="auto" w:fill="auto"/>
            <w:noWrap/>
            <w:vAlign w:val="bottom"/>
            <w:hideMark/>
          </w:tcPr>
          <w:p w:rsidR="00EB7B33" w:rsidRPr="00DB0AC3" w:rsidRDefault="00EB7B33" w:rsidP="004720A1">
            <w:pPr>
              <w:rPr>
                <w:rFonts w:cs="Arial"/>
                <w:b/>
                <w:bCs/>
                <w:color w:val="000000"/>
                <w:sz w:val="20"/>
                <w:lang w:val="ru-RU"/>
              </w:rPr>
            </w:pPr>
            <w:r w:rsidRPr="00DB0AC3">
              <w:rPr>
                <w:rFonts w:cs="Arial"/>
                <w:b/>
                <w:bCs/>
                <w:color w:val="000000"/>
                <w:sz w:val="20"/>
                <w:lang w:val="ru-RU"/>
              </w:rPr>
              <w:t>Чистый доход по комиссионным и вознаграждениям</w:t>
            </w:r>
          </w:p>
        </w:tc>
        <w:tc>
          <w:tcPr>
            <w:tcW w:w="1471" w:type="dxa"/>
            <w:tcBorders>
              <w:top w:val="nil"/>
              <w:left w:val="nil"/>
              <w:bottom w:val="double" w:sz="6" w:space="0" w:color="auto"/>
              <w:right w:val="nil"/>
            </w:tcBorders>
            <w:shd w:val="clear" w:color="auto" w:fill="auto"/>
            <w:noWrap/>
            <w:vAlign w:val="bottom"/>
            <w:hideMark/>
          </w:tcPr>
          <w:p w:rsidR="00EB7B33" w:rsidRPr="00DB0AC3" w:rsidRDefault="00EB7B33" w:rsidP="00E67E3E">
            <w:pPr>
              <w:jc w:val="right"/>
              <w:rPr>
                <w:rFonts w:cs="Arial"/>
                <w:b/>
                <w:bCs/>
                <w:color w:val="000000"/>
                <w:sz w:val="20"/>
                <w:lang w:val="ru-RU"/>
              </w:rPr>
            </w:pPr>
            <w:r w:rsidRPr="00DB0AC3">
              <w:rPr>
                <w:rFonts w:cs="Arial"/>
                <w:b/>
                <w:bCs/>
                <w:color w:val="000000"/>
                <w:sz w:val="20"/>
                <w:lang w:val="ru-RU"/>
              </w:rPr>
              <w:t>3</w:t>
            </w:r>
            <w:r w:rsidR="00233154" w:rsidRPr="00DB0AC3">
              <w:rPr>
                <w:rFonts w:cs="Arial"/>
                <w:b/>
                <w:bCs/>
                <w:color w:val="000000"/>
                <w:sz w:val="20"/>
                <w:lang w:val="ru-RU"/>
              </w:rPr>
              <w:t>7</w:t>
            </w:r>
            <w:r w:rsidRPr="00DB0AC3">
              <w:rPr>
                <w:rFonts w:cs="Arial"/>
                <w:b/>
                <w:bCs/>
                <w:color w:val="000000"/>
                <w:sz w:val="20"/>
                <w:lang w:val="ru-RU"/>
              </w:rPr>
              <w:t xml:space="preserve">3 </w:t>
            </w:r>
            <w:r w:rsidR="00233154" w:rsidRPr="00DB0AC3">
              <w:rPr>
                <w:rFonts w:cs="Arial"/>
                <w:b/>
                <w:bCs/>
                <w:color w:val="000000"/>
                <w:sz w:val="20"/>
                <w:lang w:val="ru-RU"/>
              </w:rPr>
              <w:t>941</w:t>
            </w:r>
          </w:p>
        </w:tc>
        <w:tc>
          <w:tcPr>
            <w:tcW w:w="2023" w:type="dxa"/>
            <w:tcBorders>
              <w:top w:val="single" w:sz="4" w:space="0" w:color="auto"/>
              <w:left w:val="nil"/>
              <w:bottom w:val="double" w:sz="6" w:space="0" w:color="auto"/>
              <w:right w:val="nil"/>
            </w:tcBorders>
            <w:shd w:val="clear" w:color="auto" w:fill="auto"/>
            <w:noWrap/>
            <w:vAlign w:val="bottom"/>
            <w:hideMark/>
          </w:tcPr>
          <w:p w:rsidR="00EB7B33" w:rsidRPr="00DB0AC3" w:rsidRDefault="00EB7B33" w:rsidP="00E67E3E">
            <w:pPr>
              <w:jc w:val="right"/>
              <w:rPr>
                <w:rFonts w:cs="Arial"/>
                <w:b/>
                <w:bCs/>
                <w:color w:val="000000"/>
                <w:sz w:val="20"/>
                <w:lang w:val="ru-RU"/>
              </w:rPr>
            </w:pPr>
            <w:r w:rsidRPr="00DB0AC3">
              <w:rPr>
                <w:rFonts w:cs="Arial"/>
                <w:b/>
                <w:bCs/>
                <w:color w:val="000000"/>
                <w:sz w:val="20"/>
                <w:lang w:val="ru-RU"/>
              </w:rPr>
              <w:t>331 004</w:t>
            </w:r>
          </w:p>
        </w:tc>
      </w:tr>
    </w:tbl>
    <w:p w:rsidR="004A34BC" w:rsidRPr="00DB0AC3" w:rsidRDefault="00EB7B33" w:rsidP="009A0CA6">
      <w:pPr>
        <w:pStyle w:val="1"/>
        <w:keepNext w:val="0"/>
        <w:widowControl w:val="0"/>
        <w:spacing w:before="480"/>
        <w:rPr>
          <w:rFonts w:cs="Arial"/>
          <w:lang w:val="ru-RU"/>
        </w:rPr>
      </w:pPr>
      <w:bookmarkStart w:id="192" w:name="_Toc441479812"/>
      <w:bookmarkEnd w:id="186"/>
      <w:bookmarkEnd w:id="187"/>
      <w:bookmarkEnd w:id="188"/>
      <w:bookmarkEnd w:id="189"/>
      <w:bookmarkEnd w:id="190"/>
      <w:bookmarkEnd w:id="191"/>
      <w:r w:rsidRPr="00DB0AC3">
        <w:rPr>
          <w:rFonts w:cs="Arial"/>
          <w:lang w:val="ru-RU"/>
        </w:rPr>
        <w:t>Прочие операционные доходы</w:t>
      </w:r>
      <w:bookmarkEnd w:id="192"/>
    </w:p>
    <w:tbl>
      <w:tblPr>
        <w:tblW w:w="9654" w:type="dxa"/>
        <w:tblInd w:w="93" w:type="dxa"/>
        <w:tblLook w:val="04A0"/>
      </w:tblPr>
      <w:tblGrid>
        <w:gridCol w:w="6520"/>
        <w:gridCol w:w="1420"/>
        <w:gridCol w:w="1714"/>
      </w:tblGrid>
      <w:tr w:rsidR="004720A1" w:rsidRPr="00DB0AC3" w:rsidTr="005D6098">
        <w:trPr>
          <w:trHeight w:val="300"/>
        </w:trPr>
        <w:tc>
          <w:tcPr>
            <w:tcW w:w="6520" w:type="dxa"/>
            <w:tcBorders>
              <w:top w:val="nil"/>
              <w:left w:val="nil"/>
              <w:right w:val="nil"/>
            </w:tcBorders>
            <w:shd w:val="clear" w:color="auto" w:fill="auto"/>
            <w:noWrap/>
            <w:vAlign w:val="bottom"/>
            <w:hideMark/>
          </w:tcPr>
          <w:p w:rsidR="004720A1" w:rsidRPr="00DB0AC3" w:rsidRDefault="004720A1" w:rsidP="004720A1">
            <w:pPr>
              <w:rPr>
                <w:rFonts w:cs="Arial"/>
                <w:color w:val="000000"/>
                <w:sz w:val="22"/>
                <w:szCs w:val="22"/>
                <w:lang w:val="ru-RU"/>
              </w:rPr>
            </w:pPr>
          </w:p>
        </w:tc>
        <w:tc>
          <w:tcPr>
            <w:tcW w:w="1420" w:type="dxa"/>
            <w:tcBorders>
              <w:top w:val="nil"/>
              <w:left w:val="nil"/>
              <w:bottom w:val="single" w:sz="4" w:space="0" w:color="auto"/>
              <w:right w:val="nil"/>
            </w:tcBorders>
            <w:shd w:val="clear" w:color="auto" w:fill="auto"/>
            <w:noWrap/>
            <w:vAlign w:val="bottom"/>
            <w:hideMark/>
          </w:tcPr>
          <w:p w:rsidR="004720A1" w:rsidRPr="00CD4050" w:rsidRDefault="006758E8" w:rsidP="00E67E3E">
            <w:pPr>
              <w:jc w:val="right"/>
              <w:rPr>
                <w:rFonts w:cs="Arial"/>
                <w:b/>
                <w:bCs/>
                <w:color w:val="000000"/>
                <w:sz w:val="20"/>
                <w:lang w:val="ru-RU"/>
              </w:rPr>
            </w:pPr>
            <w:r w:rsidRPr="006758E8">
              <w:rPr>
                <w:rFonts w:cs="Arial"/>
                <w:b/>
                <w:bCs/>
                <w:color w:val="000000"/>
                <w:sz w:val="20"/>
                <w:lang w:val="ru-RU"/>
              </w:rPr>
              <w:t>2 014</w:t>
            </w:r>
          </w:p>
        </w:tc>
        <w:tc>
          <w:tcPr>
            <w:tcW w:w="1714" w:type="dxa"/>
            <w:tcBorders>
              <w:top w:val="nil"/>
              <w:left w:val="nil"/>
              <w:bottom w:val="single" w:sz="4" w:space="0" w:color="auto"/>
              <w:right w:val="nil"/>
            </w:tcBorders>
            <w:shd w:val="clear" w:color="auto" w:fill="auto"/>
            <w:noWrap/>
            <w:vAlign w:val="bottom"/>
            <w:hideMark/>
          </w:tcPr>
          <w:p w:rsidR="004720A1" w:rsidRPr="00CD4050" w:rsidRDefault="006758E8" w:rsidP="00E67E3E">
            <w:pPr>
              <w:jc w:val="right"/>
              <w:rPr>
                <w:rFonts w:cs="Arial"/>
                <w:b/>
                <w:bCs/>
                <w:color w:val="000000"/>
                <w:sz w:val="20"/>
                <w:lang w:val="ru-RU"/>
              </w:rPr>
            </w:pPr>
            <w:r w:rsidRPr="006758E8">
              <w:rPr>
                <w:rFonts w:cs="Arial"/>
                <w:b/>
                <w:bCs/>
                <w:color w:val="000000"/>
                <w:sz w:val="20"/>
                <w:lang w:val="ru-RU"/>
              </w:rPr>
              <w:t>2 013</w:t>
            </w:r>
          </w:p>
        </w:tc>
      </w:tr>
      <w:tr w:rsidR="005D6098" w:rsidRPr="00DB0AC3" w:rsidTr="005D6098">
        <w:trPr>
          <w:trHeight w:val="300"/>
        </w:trPr>
        <w:tc>
          <w:tcPr>
            <w:tcW w:w="6520" w:type="dxa"/>
            <w:shd w:val="clear" w:color="auto" w:fill="auto"/>
            <w:noWrap/>
            <w:vAlign w:val="bottom"/>
            <w:hideMark/>
          </w:tcPr>
          <w:p w:rsidR="005D6098" w:rsidRPr="00DB0AC3" w:rsidRDefault="005D6098" w:rsidP="004720A1">
            <w:pPr>
              <w:rPr>
                <w:rFonts w:cs="Arial"/>
                <w:color w:val="000000"/>
                <w:sz w:val="20"/>
                <w:lang w:val="ru-RU"/>
              </w:rPr>
            </w:pPr>
            <w:r w:rsidRPr="00DB0AC3">
              <w:rPr>
                <w:rFonts w:cs="Arial"/>
                <w:color w:val="000000"/>
                <w:sz w:val="20"/>
                <w:lang w:val="ru-RU"/>
              </w:rPr>
              <w:t>Доход от безвозмездно полученного имущества</w:t>
            </w:r>
          </w:p>
        </w:tc>
        <w:tc>
          <w:tcPr>
            <w:tcW w:w="1420" w:type="dxa"/>
            <w:tcBorders>
              <w:top w:val="single" w:sz="4" w:space="0" w:color="auto"/>
            </w:tcBorders>
            <w:shd w:val="clear" w:color="auto" w:fill="auto"/>
            <w:noWrap/>
            <w:vAlign w:val="bottom"/>
            <w:hideMark/>
          </w:tcPr>
          <w:p w:rsidR="005D6098" w:rsidRPr="00DB0AC3" w:rsidRDefault="005D6098" w:rsidP="00E67E3E">
            <w:pPr>
              <w:jc w:val="right"/>
              <w:rPr>
                <w:rFonts w:cs="Arial"/>
                <w:b/>
                <w:bCs/>
                <w:color w:val="000000"/>
                <w:sz w:val="20"/>
                <w:lang w:val="ru-RU"/>
              </w:rPr>
            </w:pPr>
            <w:r w:rsidRPr="00DB0AC3">
              <w:rPr>
                <w:rFonts w:cs="Arial"/>
                <w:color w:val="000000"/>
                <w:sz w:val="20"/>
                <w:lang w:val="ru-RU"/>
              </w:rPr>
              <w:t>130 000</w:t>
            </w:r>
          </w:p>
        </w:tc>
        <w:tc>
          <w:tcPr>
            <w:tcW w:w="1714" w:type="dxa"/>
            <w:tcBorders>
              <w:top w:val="single" w:sz="4" w:space="0" w:color="auto"/>
            </w:tcBorders>
            <w:shd w:val="clear" w:color="auto" w:fill="auto"/>
            <w:noWrap/>
            <w:vAlign w:val="bottom"/>
            <w:hideMark/>
          </w:tcPr>
          <w:p w:rsidR="005D6098" w:rsidRPr="00DB0AC3" w:rsidRDefault="005D6098" w:rsidP="00E67E3E">
            <w:pPr>
              <w:jc w:val="right"/>
              <w:rPr>
                <w:rFonts w:cs="Arial"/>
                <w:b/>
                <w:bCs/>
                <w:color w:val="000000"/>
                <w:sz w:val="20"/>
                <w:lang w:val="ru-RU"/>
              </w:rPr>
            </w:pPr>
            <w:r w:rsidRPr="00DB0AC3">
              <w:rPr>
                <w:rFonts w:cs="Arial"/>
                <w:color w:val="000000"/>
                <w:sz w:val="20"/>
                <w:lang w:val="ru-RU"/>
              </w:rPr>
              <w:t>-</w:t>
            </w:r>
          </w:p>
        </w:tc>
      </w:tr>
      <w:tr w:rsidR="005D6098" w:rsidRPr="00DB0AC3" w:rsidTr="005D6098">
        <w:trPr>
          <w:trHeight w:val="300"/>
        </w:trPr>
        <w:tc>
          <w:tcPr>
            <w:tcW w:w="6520" w:type="dxa"/>
            <w:shd w:val="clear" w:color="auto" w:fill="auto"/>
            <w:noWrap/>
            <w:vAlign w:val="bottom"/>
            <w:hideMark/>
          </w:tcPr>
          <w:p w:rsidR="005D6098" w:rsidRPr="00DB0AC3" w:rsidRDefault="005D6098" w:rsidP="004720A1">
            <w:pPr>
              <w:rPr>
                <w:rFonts w:cs="Arial"/>
                <w:color w:val="000000"/>
                <w:sz w:val="20"/>
                <w:lang w:val="ru-RU"/>
              </w:rPr>
            </w:pPr>
            <w:r w:rsidRPr="00DB0AC3">
              <w:rPr>
                <w:rFonts w:cs="Arial"/>
                <w:color w:val="000000"/>
                <w:sz w:val="20"/>
                <w:lang w:val="ru-RU"/>
              </w:rPr>
              <w:t>Доходы от аренды сейфов</w:t>
            </w:r>
          </w:p>
        </w:tc>
        <w:tc>
          <w:tcPr>
            <w:tcW w:w="1420" w:type="dxa"/>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9 751</w:t>
            </w:r>
          </w:p>
        </w:tc>
        <w:tc>
          <w:tcPr>
            <w:tcW w:w="1714" w:type="dxa"/>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10 280</w:t>
            </w:r>
          </w:p>
        </w:tc>
      </w:tr>
      <w:tr w:rsidR="005D6098" w:rsidRPr="00DB0AC3" w:rsidTr="005D6098">
        <w:trPr>
          <w:trHeight w:val="300"/>
        </w:trPr>
        <w:tc>
          <w:tcPr>
            <w:tcW w:w="6520" w:type="dxa"/>
            <w:shd w:val="clear" w:color="auto" w:fill="auto"/>
            <w:noWrap/>
            <w:vAlign w:val="bottom"/>
            <w:hideMark/>
          </w:tcPr>
          <w:p w:rsidR="005D6098" w:rsidRPr="00DB0AC3" w:rsidRDefault="005D6098" w:rsidP="004720A1">
            <w:pPr>
              <w:rPr>
                <w:rFonts w:cs="Arial"/>
                <w:color w:val="000000"/>
                <w:sz w:val="20"/>
                <w:lang w:val="ru-RU"/>
              </w:rPr>
            </w:pPr>
            <w:r w:rsidRPr="00DB0AC3">
              <w:rPr>
                <w:rFonts w:cs="Arial"/>
                <w:color w:val="000000"/>
                <w:sz w:val="20"/>
                <w:lang w:val="ru-RU"/>
              </w:rPr>
              <w:t>Доходы от аренды имущества</w:t>
            </w:r>
          </w:p>
        </w:tc>
        <w:tc>
          <w:tcPr>
            <w:tcW w:w="1420" w:type="dxa"/>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4 653</w:t>
            </w:r>
          </w:p>
        </w:tc>
        <w:tc>
          <w:tcPr>
            <w:tcW w:w="1714" w:type="dxa"/>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4 074</w:t>
            </w:r>
          </w:p>
        </w:tc>
      </w:tr>
      <w:tr w:rsidR="005D6098" w:rsidRPr="00DB0AC3" w:rsidTr="005D6098">
        <w:trPr>
          <w:trHeight w:val="300"/>
        </w:trPr>
        <w:tc>
          <w:tcPr>
            <w:tcW w:w="6520" w:type="dxa"/>
            <w:shd w:val="clear" w:color="auto" w:fill="auto"/>
            <w:noWrap/>
            <w:vAlign w:val="bottom"/>
            <w:hideMark/>
          </w:tcPr>
          <w:p w:rsidR="005D6098" w:rsidRPr="00DB0AC3" w:rsidRDefault="005D6098" w:rsidP="004720A1">
            <w:pPr>
              <w:rPr>
                <w:rFonts w:cs="Arial"/>
                <w:color w:val="000000"/>
                <w:sz w:val="20"/>
                <w:lang w:val="ru-RU"/>
              </w:rPr>
            </w:pPr>
            <w:r w:rsidRPr="00DB0AC3">
              <w:rPr>
                <w:rFonts w:cs="Arial"/>
                <w:color w:val="000000"/>
                <w:sz w:val="20"/>
                <w:lang w:val="ru-RU"/>
              </w:rPr>
              <w:t>Доходы прошлых лет по операциям привлечения и размещения</w:t>
            </w:r>
          </w:p>
        </w:tc>
        <w:tc>
          <w:tcPr>
            <w:tcW w:w="1420" w:type="dxa"/>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w:t>
            </w:r>
          </w:p>
        </w:tc>
        <w:tc>
          <w:tcPr>
            <w:tcW w:w="1714" w:type="dxa"/>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27 361</w:t>
            </w:r>
          </w:p>
        </w:tc>
      </w:tr>
      <w:tr w:rsidR="005D6098" w:rsidRPr="00DB0AC3" w:rsidTr="005D6098">
        <w:trPr>
          <w:trHeight w:val="300"/>
        </w:trPr>
        <w:tc>
          <w:tcPr>
            <w:tcW w:w="6520" w:type="dxa"/>
            <w:shd w:val="clear" w:color="auto" w:fill="auto"/>
            <w:noWrap/>
            <w:vAlign w:val="bottom"/>
            <w:hideMark/>
          </w:tcPr>
          <w:p w:rsidR="005D6098" w:rsidRPr="00DB0AC3" w:rsidRDefault="005D6098" w:rsidP="004720A1">
            <w:pPr>
              <w:rPr>
                <w:rFonts w:cs="Arial"/>
                <w:color w:val="000000"/>
                <w:sz w:val="20"/>
                <w:lang w:val="ru-RU"/>
              </w:rPr>
            </w:pPr>
            <w:r w:rsidRPr="00DB0AC3">
              <w:rPr>
                <w:rFonts w:cs="Arial"/>
                <w:color w:val="000000"/>
                <w:sz w:val="20"/>
                <w:lang w:val="ru-RU"/>
              </w:rPr>
              <w:t>Прочие</w:t>
            </w:r>
          </w:p>
        </w:tc>
        <w:tc>
          <w:tcPr>
            <w:tcW w:w="1420" w:type="dxa"/>
            <w:tcBorders>
              <w:bottom w:val="single" w:sz="4" w:space="0" w:color="auto"/>
            </w:tcBorders>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5 633</w:t>
            </w:r>
          </w:p>
        </w:tc>
        <w:tc>
          <w:tcPr>
            <w:tcW w:w="1714" w:type="dxa"/>
            <w:tcBorders>
              <w:bottom w:val="single" w:sz="4" w:space="0" w:color="auto"/>
            </w:tcBorders>
            <w:shd w:val="clear" w:color="auto" w:fill="auto"/>
            <w:noWrap/>
            <w:vAlign w:val="bottom"/>
            <w:hideMark/>
          </w:tcPr>
          <w:p w:rsidR="005D6098" w:rsidRPr="00DB0AC3" w:rsidRDefault="005D6098" w:rsidP="00E67E3E">
            <w:pPr>
              <w:jc w:val="right"/>
              <w:rPr>
                <w:rFonts w:cs="Arial"/>
                <w:color w:val="000000"/>
                <w:sz w:val="20"/>
                <w:lang w:val="ru-RU"/>
              </w:rPr>
            </w:pPr>
            <w:r w:rsidRPr="00DB0AC3">
              <w:rPr>
                <w:rFonts w:cs="Arial"/>
                <w:color w:val="000000"/>
                <w:sz w:val="20"/>
                <w:lang w:val="ru-RU"/>
              </w:rPr>
              <w:t>10 813</w:t>
            </w:r>
          </w:p>
        </w:tc>
      </w:tr>
      <w:tr w:rsidR="005D6098" w:rsidRPr="00DB0AC3" w:rsidTr="005D6098">
        <w:trPr>
          <w:trHeight w:val="315"/>
        </w:trPr>
        <w:tc>
          <w:tcPr>
            <w:tcW w:w="6520" w:type="dxa"/>
            <w:tcBorders>
              <w:left w:val="nil"/>
              <w:bottom w:val="nil"/>
              <w:right w:val="nil"/>
            </w:tcBorders>
            <w:shd w:val="clear" w:color="auto" w:fill="auto"/>
            <w:noWrap/>
            <w:vAlign w:val="bottom"/>
            <w:hideMark/>
          </w:tcPr>
          <w:p w:rsidR="005D6098" w:rsidRPr="00DB0AC3" w:rsidRDefault="005D6098" w:rsidP="0028047C">
            <w:pPr>
              <w:rPr>
                <w:rFonts w:cs="Arial"/>
                <w:b/>
                <w:bCs/>
                <w:color w:val="000000"/>
                <w:sz w:val="20"/>
                <w:lang w:val="ru-RU"/>
              </w:rPr>
            </w:pPr>
            <w:r w:rsidRPr="00DB0AC3">
              <w:rPr>
                <w:rFonts w:cs="Arial"/>
                <w:b/>
                <w:bCs/>
                <w:color w:val="000000"/>
                <w:sz w:val="20"/>
                <w:lang w:val="ru-RU"/>
              </w:rPr>
              <w:t>Прочи</w:t>
            </w:r>
            <w:r w:rsidR="0028047C" w:rsidRPr="00DB0AC3">
              <w:rPr>
                <w:rFonts w:cs="Arial"/>
                <w:b/>
                <w:bCs/>
                <w:color w:val="000000"/>
                <w:sz w:val="20"/>
                <w:lang w:val="ru-RU"/>
              </w:rPr>
              <w:t xml:space="preserve">е </w:t>
            </w:r>
            <w:r w:rsidR="00464EC5" w:rsidRPr="00DB0AC3">
              <w:rPr>
                <w:rFonts w:cs="Arial"/>
                <w:b/>
                <w:bCs/>
                <w:color w:val="000000"/>
                <w:sz w:val="20"/>
                <w:lang w:val="ru-RU"/>
              </w:rPr>
              <w:t>операционные</w:t>
            </w:r>
            <w:r w:rsidR="00B2704D">
              <w:rPr>
                <w:rFonts w:cs="Arial"/>
                <w:b/>
                <w:bCs/>
                <w:color w:val="000000"/>
                <w:sz w:val="20"/>
                <w:lang w:val="ru-RU"/>
              </w:rPr>
              <w:t xml:space="preserve"> </w:t>
            </w:r>
            <w:r w:rsidRPr="00DB0AC3">
              <w:rPr>
                <w:rFonts w:cs="Arial"/>
                <w:b/>
                <w:bCs/>
                <w:color w:val="000000"/>
                <w:sz w:val="20"/>
                <w:lang w:val="ru-RU"/>
              </w:rPr>
              <w:t>доход</w:t>
            </w:r>
            <w:r w:rsidR="00464EC5" w:rsidRPr="00DB0AC3">
              <w:rPr>
                <w:rFonts w:cs="Arial"/>
                <w:b/>
                <w:bCs/>
                <w:color w:val="000000"/>
                <w:sz w:val="20"/>
                <w:lang w:val="ru-RU"/>
              </w:rPr>
              <w:t>ы</w:t>
            </w:r>
          </w:p>
        </w:tc>
        <w:tc>
          <w:tcPr>
            <w:tcW w:w="1420" w:type="dxa"/>
            <w:tcBorders>
              <w:top w:val="single" w:sz="4" w:space="0" w:color="auto"/>
              <w:left w:val="nil"/>
              <w:bottom w:val="single" w:sz="4" w:space="0" w:color="auto"/>
              <w:right w:val="nil"/>
            </w:tcBorders>
            <w:shd w:val="clear" w:color="auto" w:fill="auto"/>
            <w:noWrap/>
            <w:vAlign w:val="bottom"/>
            <w:hideMark/>
          </w:tcPr>
          <w:p w:rsidR="005D6098" w:rsidRPr="00DB0AC3" w:rsidRDefault="005D6098" w:rsidP="00E67E3E">
            <w:pPr>
              <w:jc w:val="right"/>
              <w:rPr>
                <w:rFonts w:cs="Arial"/>
                <w:b/>
                <w:bCs/>
                <w:color w:val="000000"/>
                <w:sz w:val="20"/>
                <w:lang w:val="ru-RU"/>
              </w:rPr>
            </w:pPr>
            <w:r w:rsidRPr="00DB0AC3">
              <w:rPr>
                <w:rFonts w:cs="Arial"/>
                <w:b/>
                <w:bCs/>
                <w:color w:val="000000"/>
                <w:sz w:val="20"/>
                <w:lang w:val="ru-RU"/>
              </w:rPr>
              <w:t>150 037</w:t>
            </w:r>
          </w:p>
        </w:tc>
        <w:tc>
          <w:tcPr>
            <w:tcW w:w="1714" w:type="dxa"/>
            <w:tcBorders>
              <w:top w:val="single" w:sz="4" w:space="0" w:color="auto"/>
              <w:left w:val="nil"/>
              <w:bottom w:val="single" w:sz="4" w:space="0" w:color="auto"/>
              <w:right w:val="nil"/>
            </w:tcBorders>
            <w:shd w:val="clear" w:color="auto" w:fill="auto"/>
            <w:noWrap/>
            <w:vAlign w:val="bottom"/>
            <w:hideMark/>
          </w:tcPr>
          <w:p w:rsidR="005D6098" w:rsidRPr="00DB0AC3" w:rsidRDefault="005D6098" w:rsidP="00E67E3E">
            <w:pPr>
              <w:jc w:val="right"/>
              <w:rPr>
                <w:rFonts w:cs="Arial"/>
                <w:b/>
                <w:bCs/>
                <w:color w:val="000000"/>
                <w:sz w:val="20"/>
                <w:lang w:val="ru-RU"/>
              </w:rPr>
            </w:pPr>
            <w:r w:rsidRPr="00DB0AC3">
              <w:rPr>
                <w:rFonts w:cs="Arial"/>
                <w:b/>
                <w:bCs/>
                <w:color w:val="000000"/>
                <w:sz w:val="20"/>
                <w:lang w:val="ru-RU"/>
              </w:rPr>
              <w:t>52 528</w:t>
            </w:r>
          </w:p>
        </w:tc>
      </w:tr>
    </w:tbl>
    <w:p w:rsidR="004720A1" w:rsidRPr="00DB0AC3" w:rsidRDefault="004720A1" w:rsidP="007F20C9">
      <w:pPr>
        <w:rPr>
          <w:rFonts w:cs="Arial"/>
          <w:sz w:val="20"/>
          <w:lang w:val="ru-RU"/>
        </w:rPr>
      </w:pPr>
    </w:p>
    <w:p w:rsidR="004720A1" w:rsidRPr="00DB0AC3" w:rsidRDefault="004720A1" w:rsidP="007F20C9">
      <w:pPr>
        <w:rPr>
          <w:rFonts w:cs="Arial"/>
          <w:color w:val="000000"/>
          <w:sz w:val="20"/>
          <w:lang w:val="ru-RU"/>
        </w:rPr>
      </w:pPr>
    </w:p>
    <w:p w:rsidR="004720A1" w:rsidRPr="00DB0AC3" w:rsidRDefault="00494BED" w:rsidP="00751156">
      <w:pPr>
        <w:jc w:val="both"/>
        <w:rPr>
          <w:rFonts w:cs="Arial"/>
          <w:color w:val="000000"/>
          <w:sz w:val="20"/>
          <w:lang w:val="ru-RU"/>
        </w:rPr>
      </w:pPr>
      <w:r w:rsidRPr="00DB0AC3">
        <w:rPr>
          <w:rFonts w:cs="Arial"/>
          <w:color w:val="000000"/>
          <w:sz w:val="20"/>
          <w:lang w:val="ru-RU"/>
        </w:rPr>
        <w:t xml:space="preserve">Доход от безвозмездно полученного имущества представляет собой </w:t>
      </w:r>
      <w:r w:rsidR="00751156" w:rsidRPr="00DB0AC3">
        <w:rPr>
          <w:rFonts w:cs="Arial"/>
          <w:color w:val="000000"/>
          <w:sz w:val="20"/>
          <w:lang w:val="ru-RU"/>
        </w:rPr>
        <w:t xml:space="preserve">денежные средства, полученные </w:t>
      </w:r>
      <w:r w:rsidRPr="00DB0AC3">
        <w:rPr>
          <w:rFonts w:cs="Arial"/>
          <w:color w:val="000000"/>
          <w:sz w:val="20"/>
          <w:lang w:val="ru-RU"/>
        </w:rPr>
        <w:t>от ООО «Таврический-Инвест»</w:t>
      </w:r>
      <w:r w:rsidR="00751156" w:rsidRPr="00DB0AC3">
        <w:rPr>
          <w:rFonts w:cs="Arial"/>
          <w:color w:val="000000"/>
          <w:sz w:val="20"/>
          <w:lang w:val="ru-RU"/>
        </w:rPr>
        <w:t xml:space="preserve"> в сумме 130 000 тысяч рублей.</w:t>
      </w:r>
    </w:p>
    <w:p w:rsidR="004720A1" w:rsidRPr="00DB0AC3" w:rsidRDefault="004720A1" w:rsidP="007F20C9">
      <w:pPr>
        <w:rPr>
          <w:rFonts w:cs="Arial"/>
          <w:lang w:val="ru-RU"/>
        </w:rPr>
      </w:pPr>
    </w:p>
    <w:p w:rsidR="004720A1" w:rsidRPr="00DB0AC3" w:rsidRDefault="004720A1" w:rsidP="007F20C9">
      <w:pPr>
        <w:rPr>
          <w:rFonts w:cs="Arial"/>
          <w:lang w:val="ru-RU"/>
        </w:rPr>
      </w:pPr>
    </w:p>
    <w:p w:rsidR="004720A1" w:rsidRPr="00DB0AC3" w:rsidRDefault="004720A1" w:rsidP="007F20C9">
      <w:pPr>
        <w:rPr>
          <w:rFonts w:cs="Arial"/>
          <w:lang w:val="ru-RU"/>
        </w:rPr>
      </w:pPr>
    </w:p>
    <w:p w:rsidR="006572FF" w:rsidRPr="00DB0AC3" w:rsidRDefault="007F20C9" w:rsidP="004B4C42">
      <w:pPr>
        <w:pStyle w:val="1"/>
        <w:keepNext w:val="0"/>
        <w:pageBreakBefore/>
        <w:widowControl w:val="0"/>
        <w:spacing w:before="0"/>
        <w:rPr>
          <w:rFonts w:cs="Arial"/>
          <w:szCs w:val="24"/>
          <w:lang w:val="ru-RU"/>
        </w:rPr>
      </w:pPr>
      <w:bookmarkStart w:id="193" w:name="_Ref169666213"/>
      <w:bookmarkStart w:id="194" w:name="_Ref290284726"/>
      <w:bookmarkStart w:id="195" w:name="_Ref290284734"/>
      <w:bookmarkStart w:id="196" w:name="_Toc416086232"/>
      <w:bookmarkStart w:id="197" w:name="_Toc441479813"/>
      <w:r w:rsidRPr="00DB0AC3">
        <w:rPr>
          <w:rFonts w:cs="Arial"/>
          <w:szCs w:val="24"/>
          <w:lang w:val="ru-RU"/>
        </w:rPr>
        <w:lastRenderedPageBreak/>
        <w:t>Операционные расходы</w:t>
      </w:r>
      <w:bookmarkEnd w:id="193"/>
      <w:bookmarkEnd w:id="194"/>
      <w:bookmarkEnd w:id="195"/>
      <w:bookmarkEnd w:id="196"/>
      <w:bookmarkEnd w:id="197"/>
    </w:p>
    <w:p w:rsidR="007F20C9" w:rsidRPr="00DB0AC3" w:rsidRDefault="007F20C9" w:rsidP="007F20C9">
      <w:pPr>
        <w:rPr>
          <w:rFonts w:cs="Arial"/>
          <w:sz w:val="20"/>
          <w:lang w:val="ru-RU"/>
        </w:rPr>
      </w:pPr>
    </w:p>
    <w:p w:rsidR="007F20C9" w:rsidRPr="00DB0AC3" w:rsidRDefault="007F20C9" w:rsidP="007F20C9">
      <w:pPr>
        <w:rPr>
          <w:rFonts w:cs="Arial"/>
          <w:color w:val="000000"/>
          <w:sz w:val="20"/>
          <w:lang w:val="ru-RU"/>
        </w:rPr>
      </w:pPr>
      <w:r w:rsidRPr="00DB0AC3">
        <w:rPr>
          <w:rFonts w:cs="Arial"/>
          <w:color w:val="000000"/>
          <w:sz w:val="20"/>
          <w:lang w:val="ru-RU"/>
        </w:rPr>
        <w:t>Операционные расходы включают:</w:t>
      </w:r>
    </w:p>
    <w:tbl>
      <w:tblPr>
        <w:tblW w:w="9380" w:type="dxa"/>
        <w:tblInd w:w="93" w:type="dxa"/>
        <w:tblLook w:val="04A0"/>
      </w:tblPr>
      <w:tblGrid>
        <w:gridCol w:w="6520"/>
        <w:gridCol w:w="1420"/>
        <w:gridCol w:w="1440"/>
      </w:tblGrid>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p>
        </w:tc>
        <w:tc>
          <w:tcPr>
            <w:tcW w:w="1420" w:type="dxa"/>
            <w:tcBorders>
              <w:top w:val="nil"/>
              <w:left w:val="nil"/>
              <w:bottom w:val="single" w:sz="4" w:space="0" w:color="auto"/>
              <w:right w:val="nil"/>
            </w:tcBorders>
            <w:shd w:val="clear" w:color="auto" w:fill="auto"/>
            <w:noWrap/>
            <w:vAlign w:val="bottom"/>
            <w:hideMark/>
          </w:tcPr>
          <w:p w:rsidR="000368DB" w:rsidRPr="00DB0AC3" w:rsidRDefault="000368DB" w:rsidP="000368DB">
            <w:pPr>
              <w:jc w:val="center"/>
              <w:rPr>
                <w:rFonts w:cs="Arial"/>
                <w:b/>
                <w:bCs/>
                <w:color w:val="000000"/>
                <w:sz w:val="20"/>
                <w:lang w:val="ru-RU"/>
              </w:rPr>
            </w:pPr>
            <w:r w:rsidRPr="00DB0AC3">
              <w:rPr>
                <w:rFonts w:cs="Arial"/>
                <w:b/>
                <w:bCs/>
                <w:color w:val="000000"/>
                <w:sz w:val="20"/>
                <w:lang w:val="ru-RU"/>
              </w:rPr>
              <w:t>2 014</w:t>
            </w:r>
          </w:p>
        </w:tc>
        <w:tc>
          <w:tcPr>
            <w:tcW w:w="1440" w:type="dxa"/>
            <w:tcBorders>
              <w:top w:val="nil"/>
              <w:left w:val="nil"/>
              <w:bottom w:val="single" w:sz="4" w:space="0" w:color="auto"/>
              <w:right w:val="nil"/>
            </w:tcBorders>
            <w:shd w:val="clear" w:color="auto" w:fill="auto"/>
            <w:noWrap/>
            <w:vAlign w:val="bottom"/>
            <w:hideMark/>
          </w:tcPr>
          <w:p w:rsidR="000368DB" w:rsidRPr="00DB0AC3" w:rsidRDefault="000368DB" w:rsidP="000368DB">
            <w:pPr>
              <w:jc w:val="center"/>
              <w:rPr>
                <w:rFonts w:cs="Arial"/>
                <w:b/>
                <w:bCs/>
                <w:color w:val="000000"/>
                <w:sz w:val="20"/>
                <w:lang w:val="ru-RU"/>
              </w:rPr>
            </w:pPr>
            <w:r w:rsidRPr="00DB0AC3">
              <w:rPr>
                <w:rFonts w:cs="Arial"/>
                <w:b/>
                <w:bCs/>
                <w:color w:val="000000"/>
                <w:sz w:val="20"/>
                <w:lang w:val="ru-RU"/>
              </w:rPr>
              <w:t>2 013</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Расходы на оплату труда персонала</w:t>
            </w:r>
          </w:p>
        </w:tc>
        <w:tc>
          <w:tcPr>
            <w:tcW w:w="1420" w:type="dxa"/>
            <w:tcBorders>
              <w:top w:val="nil"/>
              <w:left w:val="nil"/>
              <w:bottom w:val="nil"/>
              <w:right w:val="nil"/>
            </w:tcBorders>
            <w:shd w:val="clear" w:color="auto" w:fill="auto"/>
            <w:noWrap/>
            <w:vAlign w:val="bottom"/>
            <w:hideMark/>
          </w:tcPr>
          <w:p w:rsidR="000368DB" w:rsidRPr="00DB0AC3" w:rsidRDefault="00A31DC6" w:rsidP="000368DB">
            <w:pPr>
              <w:jc w:val="right"/>
              <w:rPr>
                <w:rFonts w:cs="Arial"/>
                <w:color w:val="000000"/>
                <w:sz w:val="20"/>
                <w:lang w:val="ru-RU"/>
              </w:rPr>
            </w:pPr>
            <w:r w:rsidRPr="00DB0AC3">
              <w:rPr>
                <w:rFonts w:cs="Arial"/>
                <w:color w:val="000000"/>
                <w:sz w:val="20"/>
                <w:lang w:val="ru-RU"/>
              </w:rPr>
              <w:t>423 523</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388 054</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Благотворительность</w:t>
            </w:r>
          </w:p>
        </w:tc>
        <w:tc>
          <w:tcPr>
            <w:tcW w:w="142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39 245</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92 880</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Страхование</w:t>
            </w:r>
          </w:p>
        </w:tc>
        <w:tc>
          <w:tcPr>
            <w:tcW w:w="1420" w:type="dxa"/>
            <w:tcBorders>
              <w:top w:val="nil"/>
              <w:left w:val="nil"/>
              <w:bottom w:val="nil"/>
              <w:right w:val="nil"/>
            </w:tcBorders>
            <w:shd w:val="clear" w:color="auto" w:fill="auto"/>
            <w:noWrap/>
            <w:vAlign w:val="bottom"/>
            <w:hideMark/>
          </w:tcPr>
          <w:p w:rsidR="000368DB" w:rsidRPr="00DB0AC3" w:rsidRDefault="00A31DC6" w:rsidP="000368DB">
            <w:pPr>
              <w:jc w:val="right"/>
              <w:rPr>
                <w:rFonts w:cs="Arial"/>
                <w:color w:val="000000"/>
                <w:sz w:val="20"/>
                <w:lang w:val="ru-RU"/>
              </w:rPr>
            </w:pPr>
            <w:r w:rsidRPr="00DB0AC3">
              <w:rPr>
                <w:rFonts w:cs="Arial"/>
                <w:color w:val="000000"/>
                <w:sz w:val="20"/>
                <w:lang w:val="ru-RU"/>
              </w:rPr>
              <w:t>66 553</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80 524</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Амортизация основных средств (Прим.14)</w:t>
            </w:r>
          </w:p>
        </w:tc>
        <w:tc>
          <w:tcPr>
            <w:tcW w:w="1420" w:type="dxa"/>
            <w:tcBorders>
              <w:top w:val="nil"/>
              <w:left w:val="nil"/>
              <w:bottom w:val="nil"/>
              <w:right w:val="nil"/>
            </w:tcBorders>
            <w:shd w:val="clear" w:color="auto" w:fill="auto"/>
            <w:noWrap/>
            <w:vAlign w:val="bottom"/>
            <w:hideMark/>
          </w:tcPr>
          <w:p w:rsidR="000368DB" w:rsidRPr="00DB0AC3" w:rsidRDefault="00D25646" w:rsidP="00B562EB">
            <w:pPr>
              <w:jc w:val="right"/>
              <w:rPr>
                <w:rFonts w:cs="Arial"/>
                <w:color w:val="000000"/>
                <w:sz w:val="20"/>
                <w:lang w:val="ru-RU"/>
              </w:rPr>
            </w:pPr>
            <w:r w:rsidRPr="00DB0AC3">
              <w:rPr>
                <w:rFonts w:cs="Arial"/>
                <w:color w:val="000000"/>
                <w:sz w:val="20"/>
                <w:lang w:val="ru-RU"/>
              </w:rPr>
              <w:t xml:space="preserve">53 </w:t>
            </w:r>
            <w:r w:rsidR="00B562EB" w:rsidRPr="00DB0AC3">
              <w:rPr>
                <w:rFonts w:cs="Arial"/>
                <w:color w:val="000000"/>
                <w:sz w:val="20"/>
                <w:lang w:val="ru-RU"/>
              </w:rPr>
              <w:t>987</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61 362</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Налоги, кроме налога на прибыль (Прим.28)</w:t>
            </w:r>
          </w:p>
        </w:tc>
        <w:tc>
          <w:tcPr>
            <w:tcW w:w="142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57 836</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59 474</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Расходы по аренде</w:t>
            </w:r>
          </w:p>
        </w:tc>
        <w:tc>
          <w:tcPr>
            <w:tcW w:w="142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32 232</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39 632</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Административные расходы</w:t>
            </w:r>
          </w:p>
        </w:tc>
        <w:tc>
          <w:tcPr>
            <w:tcW w:w="1420" w:type="dxa"/>
            <w:tcBorders>
              <w:top w:val="nil"/>
              <w:left w:val="nil"/>
              <w:bottom w:val="nil"/>
              <w:right w:val="nil"/>
            </w:tcBorders>
            <w:shd w:val="clear" w:color="auto" w:fill="auto"/>
            <w:noWrap/>
            <w:vAlign w:val="bottom"/>
            <w:hideMark/>
          </w:tcPr>
          <w:p w:rsidR="000368DB" w:rsidRPr="00DB0AC3" w:rsidRDefault="00A77ED1" w:rsidP="00B562EB">
            <w:pPr>
              <w:jc w:val="right"/>
              <w:rPr>
                <w:rFonts w:cs="Arial"/>
                <w:color w:val="000000"/>
                <w:sz w:val="20"/>
                <w:lang w:val="ru-RU"/>
              </w:rPr>
            </w:pPr>
            <w:r>
              <w:rPr>
                <w:rFonts w:cs="Arial"/>
                <w:color w:val="000000"/>
                <w:sz w:val="20"/>
                <w:lang w:val="ru-RU"/>
              </w:rPr>
              <w:t>71 927</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39 373</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Расходы  предыдущего года</w:t>
            </w:r>
          </w:p>
        </w:tc>
        <w:tc>
          <w:tcPr>
            <w:tcW w:w="1420" w:type="dxa"/>
            <w:tcBorders>
              <w:top w:val="nil"/>
              <w:left w:val="nil"/>
              <w:bottom w:val="nil"/>
              <w:right w:val="nil"/>
            </w:tcBorders>
            <w:shd w:val="clear" w:color="auto" w:fill="auto"/>
            <w:noWrap/>
            <w:vAlign w:val="bottom"/>
            <w:hideMark/>
          </w:tcPr>
          <w:p w:rsidR="000368DB" w:rsidRPr="00DB0AC3" w:rsidRDefault="004F2D6A" w:rsidP="000368DB">
            <w:pPr>
              <w:jc w:val="right"/>
              <w:rPr>
                <w:rFonts w:cs="Arial"/>
                <w:color w:val="000000"/>
                <w:sz w:val="20"/>
                <w:lang w:val="ru-RU"/>
              </w:rPr>
            </w:pPr>
            <w:r w:rsidRPr="00DB0AC3">
              <w:rPr>
                <w:rFonts w:cs="Arial"/>
                <w:color w:val="000000"/>
                <w:sz w:val="20"/>
                <w:lang w:val="ru-RU"/>
              </w:rPr>
              <w:t>-</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23 873</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Связь</w:t>
            </w:r>
          </w:p>
        </w:tc>
        <w:tc>
          <w:tcPr>
            <w:tcW w:w="142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27 485</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23 643</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Резервы по судебным искам</w:t>
            </w:r>
          </w:p>
        </w:tc>
        <w:tc>
          <w:tcPr>
            <w:tcW w:w="1420" w:type="dxa"/>
            <w:tcBorders>
              <w:top w:val="nil"/>
              <w:left w:val="nil"/>
              <w:bottom w:val="nil"/>
              <w:right w:val="nil"/>
            </w:tcBorders>
            <w:shd w:val="clear" w:color="auto" w:fill="auto"/>
            <w:noWrap/>
            <w:vAlign w:val="bottom"/>
            <w:hideMark/>
          </w:tcPr>
          <w:p w:rsidR="000368DB" w:rsidRPr="00DB0AC3" w:rsidRDefault="00D25646" w:rsidP="000368DB">
            <w:pPr>
              <w:jc w:val="right"/>
              <w:rPr>
                <w:rFonts w:cs="Arial"/>
                <w:color w:val="000000"/>
                <w:sz w:val="20"/>
                <w:lang w:val="ru-RU"/>
              </w:rPr>
            </w:pPr>
            <w:r w:rsidRPr="00DB0AC3">
              <w:rPr>
                <w:rFonts w:cs="Arial"/>
                <w:color w:val="000000"/>
                <w:sz w:val="20"/>
                <w:lang w:val="ru-RU"/>
              </w:rPr>
              <w:t>23 088</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23 516</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Прочие расходы</w:t>
            </w:r>
            <w:r w:rsidR="005B3C60" w:rsidRPr="00DB0AC3">
              <w:rPr>
                <w:rFonts w:cs="Arial"/>
                <w:color w:val="000000"/>
                <w:sz w:val="20"/>
                <w:lang w:val="ru-RU"/>
              </w:rPr>
              <w:t>,</w:t>
            </w:r>
            <w:r w:rsidRPr="00DB0AC3">
              <w:rPr>
                <w:rFonts w:cs="Arial"/>
                <w:color w:val="000000"/>
                <w:sz w:val="20"/>
                <w:lang w:val="ru-RU"/>
              </w:rPr>
              <w:t xml:space="preserve"> относящиеся к основным средствам</w:t>
            </w:r>
          </w:p>
        </w:tc>
        <w:tc>
          <w:tcPr>
            <w:tcW w:w="1420" w:type="dxa"/>
            <w:tcBorders>
              <w:top w:val="nil"/>
              <w:left w:val="nil"/>
              <w:bottom w:val="nil"/>
              <w:right w:val="nil"/>
            </w:tcBorders>
            <w:shd w:val="clear" w:color="auto" w:fill="auto"/>
            <w:noWrap/>
            <w:vAlign w:val="bottom"/>
            <w:hideMark/>
          </w:tcPr>
          <w:p w:rsidR="000368DB" w:rsidRPr="00DB0AC3" w:rsidRDefault="00A31DC6" w:rsidP="000368DB">
            <w:pPr>
              <w:jc w:val="right"/>
              <w:rPr>
                <w:rFonts w:cs="Arial"/>
                <w:color w:val="000000"/>
                <w:sz w:val="20"/>
                <w:lang w:val="ru-RU"/>
              </w:rPr>
            </w:pPr>
            <w:r w:rsidRPr="00DB0AC3">
              <w:rPr>
                <w:rFonts w:cs="Arial"/>
                <w:color w:val="000000"/>
                <w:sz w:val="20"/>
                <w:lang w:val="ru-RU"/>
              </w:rPr>
              <w:t>27 456</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22 430</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Охрана</w:t>
            </w:r>
          </w:p>
        </w:tc>
        <w:tc>
          <w:tcPr>
            <w:tcW w:w="1420" w:type="dxa"/>
            <w:tcBorders>
              <w:top w:val="nil"/>
              <w:left w:val="nil"/>
              <w:bottom w:val="nil"/>
              <w:right w:val="nil"/>
            </w:tcBorders>
            <w:shd w:val="clear" w:color="auto" w:fill="auto"/>
            <w:noWrap/>
            <w:vAlign w:val="bottom"/>
            <w:hideMark/>
          </w:tcPr>
          <w:p w:rsidR="000368DB" w:rsidRPr="00DB0AC3" w:rsidRDefault="00A31DC6" w:rsidP="000368DB">
            <w:pPr>
              <w:jc w:val="right"/>
              <w:rPr>
                <w:rFonts w:cs="Arial"/>
                <w:color w:val="000000"/>
                <w:sz w:val="20"/>
                <w:lang w:val="ru-RU"/>
              </w:rPr>
            </w:pPr>
            <w:r w:rsidRPr="00DB0AC3">
              <w:rPr>
                <w:rFonts w:cs="Arial"/>
                <w:color w:val="000000"/>
                <w:sz w:val="20"/>
                <w:lang w:val="ru-RU"/>
              </w:rPr>
              <w:t>20 512</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19 520</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Консультационные услуги</w:t>
            </w:r>
          </w:p>
        </w:tc>
        <w:tc>
          <w:tcPr>
            <w:tcW w:w="1420" w:type="dxa"/>
            <w:tcBorders>
              <w:top w:val="nil"/>
              <w:left w:val="nil"/>
              <w:bottom w:val="nil"/>
              <w:right w:val="nil"/>
            </w:tcBorders>
            <w:shd w:val="clear" w:color="auto" w:fill="auto"/>
            <w:noWrap/>
            <w:vAlign w:val="bottom"/>
            <w:hideMark/>
          </w:tcPr>
          <w:p w:rsidR="000368DB" w:rsidRPr="00DB0AC3" w:rsidRDefault="00A31DC6" w:rsidP="000368DB">
            <w:pPr>
              <w:jc w:val="right"/>
              <w:rPr>
                <w:rFonts w:cs="Arial"/>
                <w:color w:val="000000"/>
                <w:sz w:val="20"/>
                <w:lang w:val="ru-RU"/>
              </w:rPr>
            </w:pPr>
            <w:r w:rsidRPr="00DB0AC3">
              <w:rPr>
                <w:rFonts w:cs="Arial"/>
                <w:color w:val="000000"/>
                <w:sz w:val="20"/>
                <w:lang w:val="ru-RU"/>
              </w:rPr>
              <w:t>10 617</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3 308</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Реклама и маркетинг</w:t>
            </w:r>
          </w:p>
        </w:tc>
        <w:tc>
          <w:tcPr>
            <w:tcW w:w="1420" w:type="dxa"/>
            <w:tcBorders>
              <w:top w:val="nil"/>
              <w:left w:val="nil"/>
              <w:bottom w:val="nil"/>
              <w:right w:val="nil"/>
            </w:tcBorders>
            <w:shd w:val="clear" w:color="auto" w:fill="auto"/>
            <w:noWrap/>
            <w:vAlign w:val="bottom"/>
            <w:hideMark/>
          </w:tcPr>
          <w:p w:rsidR="000368DB" w:rsidRPr="00DB0AC3" w:rsidRDefault="00A31DC6" w:rsidP="000368DB">
            <w:pPr>
              <w:jc w:val="right"/>
              <w:rPr>
                <w:rFonts w:cs="Arial"/>
                <w:color w:val="000000"/>
                <w:sz w:val="20"/>
                <w:lang w:val="ru-RU"/>
              </w:rPr>
            </w:pPr>
            <w:r w:rsidRPr="00DB0AC3">
              <w:rPr>
                <w:rFonts w:cs="Arial"/>
                <w:color w:val="000000"/>
                <w:sz w:val="20"/>
                <w:lang w:val="ru-RU"/>
              </w:rPr>
              <w:t>2 561</w:t>
            </w:r>
          </w:p>
        </w:tc>
        <w:tc>
          <w:tcPr>
            <w:tcW w:w="1440" w:type="dxa"/>
            <w:tcBorders>
              <w:top w:val="nil"/>
              <w:left w:val="nil"/>
              <w:bottom w:val="nil"/>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1 034</w:t>
            </w:r>
          </w:p>
        </w:tc>
      </w:tr>
      <w:tr w:rsidR="000368DB" w:rsidRPr="00DB0AC3" w:rsidTr="000368DB">
        <w:trPr>
          <w:trHeight w:val="300"/>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color w:val="000000"/>
                <w:sz w:val="20"/>
                <w:lang w:val="ru-RU"/>
              </w:rPr>
            </w:pPr>
            <w:r w:rsidRPr="00DB0AC3">
              <w:rPr>
                <w:rFonts w:cs="Arial"/>
                <w:color w:val="000000"/>
                <w:sz w:val="20"/>
                <w:lang w:val="ru-RU"/>
              </w:rPr>
              <w:t>Амортизация инвестиционной недвижимости (Прим.13)</w:t>
            </w:r>
          </w:p>
        </w:tc>
        <w:tc>
          <w:tcPr>
            <w:tcW w:w="1420" w:type="dxa"/>
            <w:tcBorders>
              <w:top w:val="nil"/>
              <w:left w:val="nil"/>
              <w:bottom w:val="single" w:sz="4" w:space="0" w:color="auto"/>
              <w:right w:val="nil"/>
            </w:tcBorders>
            <w:shd w:val="clear" w:color="auto" w:fill="auto"/>
            <w:noWrap/>
            <w:vAlign w:val="bottom"/>
            <w:hideMark/>
          </w:tcPr>
          <w:p w:rsidR="000368DB" w:rsidRPr="00DB0AC3" w:rsidRDefault="000368DB" w:rsidP="000368DB">
            <w:pPr>
              <w:jc w:val="right"/>
              <w:rPr>
                <w:rFonts w:cs="Arial"/>
                <w:sz w:val="20"/>
                <w:lang w:val="ru-RU"/>
              </w:rPr>
            </w:pPr>
            <w:r w:rsidRPr="00DB0AC3">
              <w:rPr>
                <w:rFonts w:cs="Arial"/>
                <w:sz w:val="20"/>
                <w:lang w:val="ru-RU"/>
              </w:rPr>
              <w:t>4</w:t>
            </w:r>
          </w:p>
        </w:tc>
        <w:tc>
          <w:tcPr>
            <w:tcW w:w="1440" w:type="dxa"/>
            <w:tcBorders>
              <w:top w:val="nil"/>
              <w:left w:val="nil"/>
              <w:bottom w:val="single" w:sz="4" w:space="0" w:color="auto"/>
              <w:right w:val="nil"/>
            </w:tcBorders>
            <w:shd w:val="clear" w:color="auto" w:fill="auto"/>
            <w:noWrap/>
            <w:vAlign w:val="bottom"/>
            <w:hideMark/>
          </w:tcPr>
          <w:p w:rsidR="000368DB" w:rsidRPr="00DB0AC3" w:rsidRDefault="000368DB" w:rsidP="000368DB">
            <w:pPr>
              <w:jc w:val="right"/>
              <w:rPr>
                <w:rFonts w:cs="Arial"/>
                <w:color w:val="000000"/>
                <w:sz w:val="20"/>
                <w:lang w:val="ru-RU"/>
              </w:rPr>
            </w:pPr>
            <w:r w:rsidRPr="00DB0AC3">
              <w:rPr>
                <w:rFonts w:cs="Arial"/>
                <w:color w:val="000000"/>
                <w:sz w:val="20"/>
                <w:lang w:val="ru-RU"/>
              </w:rPr>
              <w:t>679</w:t>
            </w:r>
          </w:p>
        </w:tc>
      </w:tr>
      <w:tr w:rsidR="000368DB" w:rsidRPr="00DB0AC3" w:rsidTr="000368DB">
        <w:trPr>
          <w:trHeight w:val="315"/>
        </w:trPr>
        <w:tc>
          <w:tcPr>
            <w:tcW w:w="6520" w:type="dxa"/>
            <w:tcBorders>
              <w:top w:val="nil"/>
              <w:left w:val="nil"/>
              <w:bottom w:val="nil"/>
              <w:right w:val="nil"/>
            </w:tcBorders>
            <w:shd w:val="clear" w:color="auto" w:fill="auto"/>
            <w:noWrap/>
            <w:vAlign w:val="bottom"/>
            <w:hideMark/>
          </w:tcPr>
          <w:p w:rsidR="000368DB" w:rsidRPr="00DB0AC3" w:rsidRDefault="000368DB" w:rsidP="000368DB">
            <w:pPr>
              <w:rPr>
                <w:rFonts w:cs="Arial"/>
                <w:b/>
                <w:bCs/>
                <w:color w:val="000000"/>
                <w:sz w:val="20"/>
                <w:lang w:val="ru-RU"/>
              </w:rPr>
            </w:pPr>
            <w:r w:rsidRPr="00DB0AC3">
              <w:rPr>
                <w:rFonts w:cs="Arial"/>
                <w:b/>
                <w:bCs/>
                <w:color w:val="000000"/>
                <w:sz w:val="20"/>
                <w:lang w:val="ru-RU"/>
              </w:rPr>
              <w:t>Итого затраты</w:t>
            </w:r>
          </w:p>
        </w:tc>
        <w:tc>
          <w:tcPr>
            <w:tcW w:w="1420" w:type="dxa"/>
            <w:tcBorders>
              <w:top w:val="nil"/>
              <w:left w:val="nil"/>
              <w:bottom w:val="double" w:sz="6" w:space="0" w:color="auto"/>
              <w:right w:val="nil"/>
            </w:tcBorders>
            <w:shd w:val="clear" w:color="auto" w:fill="auto"/>
            <w:noWrap/>
            <w:vAlign w:val="bottom"/>
            <w:hideMark/>
          </w:tcPr>
          <w:p w:rsidR="000368DB" w:rsidRPr="00DB0AC3" w:rsidRDefault="000368DB" w:rsidP="00A77ED1">
            <w:pPr>
              <w:jc w:val="right"/>
              <w:rPr>
                <w:rFonts w:cs="Arial"/>
                <w:b/>
                <w:bCs/>
                <w:color w:val="000000"/>
                <w:sz w:val="20"/>
                <w:lang w:val="ru-RU"/>
              </w:rPr>
            </w:pPr>
            <w:r w:rsidRPr="00DB0AC3">
              <w:rPr>
                <w:rFonts w:cs="Arial"/>
                <w:b/>
                <w:bCs/>
                <w:color w:val="000000"/>
                <w:sz w:val="20"/>
                <w:lang w:val="ru-RU"/>
              </w:rPr>
              <w:t>85</w:t>
            </w:r>
            <w:r w:rsidR="00D25646" w:rsidRPr="00DB0AC3">
              <w:rPr>
                <w:rFonts w:cs="Arial"/>
                <w:b/>
                <w:bCs/>
                <w:color w:val="000000"/>
                <w:sz w:val="20"/>
                <w:lang w:val="ru-RU"/>
              </w:rPr>
              <w:t>7</w:t>
            </w:r>
            <w:r w:rsidR="00FD65C6" w:rsidRPr="00DB0AC3">
              <w:rPr>
                <w:rFonts w:cs="Arial"/>
                <w:b/>
                <w:bCs/>
                <w:color w:val="000000"/>
                <w:sz w:val="20"/>
                <w:lang w:val="ru-RU"/>
              </w:rPr>
              <w:t> </w:t>
            </w:r>
            <w:r w:rsidR="00A77ED1">
              <w:rPr>
                <w:rFonts w:cs="Arial"/>
                <w:b/>
                <w:bCs/>
                <w:color w:val="000000"/>
                <w:sz w:val="20"/>
                <w:lang w:val="ru-RU"/>
              </w:rPr>
              <w:t>026</w:t>
            </w:r>
          </w:p>
        </w:tc>
        <w:tc>
          <w:tcPr>
            <w:tcW w:w="1440" w:type="dxa"/>
            <w:tcBorders>
              <w:top w:val="nil"/>
              <w:left w:val="nil"/>
              <w:bottom w:val="double" w:sz="6" w:space="0" w:color="auto"/>
              <w:right w:val="nil"/>
            </w:tcBorders>
            <w:shd w:val="clear" w:color="auto" w:fill="auto"/>
            <w:noWrap/>
            <w:vAlign w:val="bottom"/>
            <w:hideMark/>
          </w:tcPr>
          <w:p w:rsidR="000368DB" w:rsidRPr="00DB0AC3" w:rsidRDefault="000368DB" w:rsidP="000368DB">
            <w:pPr>
              <w:jc w:val="right"/>
              <w:rPr>
                <w:rFonts w:cs="Arial"/>
                <w:b/>
                <w:bCs/>
                <w:color w:val="000000"/>
                <w:sz w:val="20"/>
                <w:lang w:val="ru-RU"/>
              </w:rPr>
            </w:pPr>
            <w:r w:rsidRPr="00DB0AC3">
              <w:rPr>
                <w:rFonts w:cs="Arial"/>
                <w:b/>
                <w:bCs/>
                <w:color w:val="000000"/>
                <w:sz w:val="20"/>
                <w:lang w:val="ru-RU"/>
              </w:rPr>
              <w:t>879 302</w:t>
            </w:r>
          </w:p>
        </w:tc>
      </w:tr>
    </w:tbl>
    <w:p w:rsidR="004F2D6A" w:rsidRPr="00DB0AC3" w:rsidRDefault="004F2D6A" w:rsidP="007F20C9">
      <w:pPr>
        <w:rPr>
          <w:rFonts w:cs="Arial"/>
          <w:color w:val="000000"/>
          <w:sz w:val="20"/>
          <w:lang w:val="ru-RU"/>
        </w:rPr>
      </w:pPr>
    </w:p>
    <w:p w:rsidR="000368DB" w:rsidRPr="00DB0AC3" w:rsidRDefault="004F2D6A" w:rsidP="007F20C9">
      <w:pPr>
        <w:rPr>
          <w:rFonts w:cs="Arial"/>
          <w:color w:val="000000"/>
          <w:sz w:val="20"/>
          <w:lang w:val="ru-RU"/>
        </w:rPr>
      </w:pPr>
      <w:r w:rsidRPr="00DB0AC3">
        <w:rPr>
          <w:rFonts w:cs="Arial"/>
          <w:color w:val="000000"/>
          <w:sz w:val="20"/>
          <w:lang w:val="ru-RU"/>
        </w:rPr>
        <w:t>Расходы на оплату труда персонала включают:</w:t>
      </w:r>
    </w:p>
    <w:p w:rsidR="004F2D6A" w:rsidRPr="00DB0AC3" w:rsidRDefault="004F2D6A" w:rsidP="007F20C9">
      <w:pPr>
        <w:rPr>
          <w:rFonts w:cs="Arial"/>
          <w:color w:val="000000"/>
          <w:sz w:val="20"/>
          <w:lang w:val="ru-RU"/>
        </w:rPr>
      </w:pPr>
    </w:p>
    <w:tbl>
      <w:tblPr>
        <w:tblW w:w="9380" w:type="dxa"/>
        <w:tblInd w:w="93" w:type="dxa"/>
        <w:tblLook w:val="04A0"/>
      </w:tblPr>
      <w:tblGrid>
        <w:gridCol w:w="6520"/>
        <w:gridCol w:w="1420"/>
        <w:gridCol w:w="1440"/>
      </w:tblGrid>
      <w:tr w:rsidR="004F2D6A" w:rsidRPr="00DB0AC3" w:rsidTr="004F2D6A">
        <w:trPr>
          <w:trHeight w:val="300"/>
        </w:trPr>
        <w:tc>
          <w:tcPr>
            <w:tcW w:w="6520" w:type="dxa"/>
            <w:tcBorders>
              <w:top w:val="nil"/>
              <w:left w:val="nil"/>
              <w:bottom w:val="nil"/>
              <w:right w:val="nil"/>
            </w:tcBorders>
            <w:shd w:val="clear" w:color="auto" w:fill="auto"/>
            <w:noWrap/>
            <w:vAlign w:val="bottom"/>
            <w:hideMark/>
          </w:tcPr>
          <w:p w:rsidR="004F2D6A" w:rsidRPr="00DB0AC3" w:rsidRDefault="004F2D6A" w:rsidP="004F2D6A">
            <w:pPr>
              <w:rPr>
                <w:rFonts w:cs="Arial"/>
                <w:color w:val="000000"/>
                <w:sz w:val="20"/>
                <w:lang w:val="ru-RU"/>
              </w:rPr>
            </w:pPr>
          </w:p>
        </w:tc>
        <w:tc>
          <w:tcPr>
            <w:tcW w:w="1420" w:type="dxa"/>
            <w:tcBorders>
              <w:top w:val="nil"/>
              <w:left w:val="nil"/>
              <w:bottom w:val="single" w:sz="4" w:space="0" w:color="auto"/>
              <w:right w:val="nil"/>
            </w:tcBorders>
            <w:shd w:val="clear" w:color="auto" w:fill="auto"/>
            <w:noWrap/>
            <w:vAlign w:val="bottom"/>
            <w:hideMark/>
          </w:tcPr>
          <w:p w:rsidR="004F2D6A" w:rsidRPr="00DB0AC3" w:rsidRDefault="004F2D6A" w:rsidP="004F2D6A">
            <w:pPr>
              <w:jc w:val="center"/>
              <w:rPr>
                <w:rFonts w:cs="Arial"/>
                <w:b/>
                <w:bCs/>
                <w:color w:val="000000"/>
                <w:sz w:val="20"/>
                <w:lang w:val="ru-RU"/>
              </w:rPr>
            </w:pPr>
            <w:r w:rsidRPr="00DB0AC3">
              <w:rPr>
                <w:rFonts w:cs="Arial"/>
                <w:b/>
                <w:bCs/>
                <w:color w:val="000000"/>
                <w:sz w:val="20"/>
                <w:lang w:val="ru-RU"/>
              </w:rPr>
              <w:t>2 014</w:t>
            </w:r>
          </w:p>
        </w:tc>
        <w:tc>
          <w:tcPr>
            <w:tcW w:w="1440" w:type="dxa"/>
            <w:tcBorders>
              <w:top w:val="nil"/>
              <w:left w:val="nil"/>
              <w:bottom w:val="single" w:sz="4" w:space="0" w:color="auto"/>
              <w:right w:val="nil"/>
            </w:tcBorders>
            <w:shd w:val="clear" w:color="auto" w:fill="auto"/>
            <w:noWrap/>
            <w:vAlign w:val="bottom"/>
            <w:hideMark/>
          </w:tcPr>
          <w:p w:rsidR="004F2D6A" w:rsidRPr="00DB0AC3" w:rsidRDefault="004F2D6A" w:rsidP="004F2D6A">
            <w:pPr>
              <w:jc w:val="center"/>
              <w:rPr>
                <w:rFonts w:cs="Arial"/>
                <w:b/>
                <w:bCs/>
                <w:color w:val="000000"/>
                <w:sz w:val="20"/>
                <w:lang w:val="ru-RU"/>
              </w:rPr>
            </w:pPr>
            <w:r w:rsidRPr="00DB0AC3">
              <w:rPr>
                <w:rFonts w:cs="Arial"/>
                <w:b/>
                <w:bCs/>
                <w:color w:val="000000"/>
                <w:sz w:val="20"/>
                <w:lang w:val="ru-RU"/>
              </w:rPr>
              <w:t>2 013</w:t>
            </w:r>
          </w:p>
        </w:tc>
      </w:tr>
      <w:tr w:rsidR="004F2D6A" w:rsidRPr="00DB0AC3" w:rsidTr="004F2D6A">
        <w:trPr>
          <w:trHeight w:val="300"/>
        </w:trPr>
        <w:tc>
          <w:tcPr>
            <w:tcW w:w="6520" w:type="dxa"/>
            <w:tcBorders>
              <w:top w:val="nil"/>
              <w:left w:val="nil"/>
              <w:bottom w:val="nil"/>
              <w:right w:val="nil"/>
            </w:tcBorders>
            <w:shd w:val="clear" w:color="auto" w:fill="auto"/>
            <w:noWrap/>
            <w:vAlign w:val="bottom"/>
            <w:hideMark/>
          </w:tcPr>
          <w:p w:rsidR="004F2D6A" w:rsidRPr="00DB0AC3" w:rsidRDefault="004F2D6A" w:rsidP="004F2D6A">
            <w:pPr>
              <w:rPr>
                <w:rFonts w:cs="Arial"/>
                <w:color w:val="000000"/>
                <w:sz w:val="20"/>
                <w:lang w:val="ru-RU"/>
              </w:rPr>
            </w:pPr>
            <w:r w:rsidRPr="00DB0AC3">
              <w:rPr>
                <w:rFonts w:cs="Arial"/>
                <w:color w:val="000000"/>
                <w:sz w:val="20"/>
                <w:lang w:val="ru-RU"/>
              </w:rPr>
              <w:t>Заработная плата, включая премии и бонусы</w:t>
            </w:r>
          </w:p>
        </w:tc>
        <w:tc>
          <w:tcPr>
            <w:tcW w:w="1420" w:type="dxa"/>
            <w:tcBorders>
              <w:top w:val="nil"/>
              <w:left w:val="nil"/>
              <w:bottom w:val="nil"/>
              <w:right w:val="nil"/>
            </w:tcBorders>
            <w:shd w:val="clear" w:color="auto" w:fill="auto"/>
            <w:noWrap/>
            <w:vAlign w:val="bottom"/>
            <w:hideMark/>
          </w:tcPr>
          <w:p w:rsidR="004F2D6A" w:rsidRPr="00DB0AC3" w:rsidRDefault="004F2D6A" w:rsidP="004F2D6A">
            <w:pPr>
              <w:jc w:val="right"/>
              <w:rPr>
                <w:rFonts w:cs="Arial"/>
                <w:color w:val="000000"/>
                <w:sz w:val="20"/>
                <w:lang w:val="ru-RU"/>
              </w:rPr>
            </w:pPr>
            <w:r w:rsidRPr="00DB0AC3">
              <w:rPr>
                <w:rFonts w:cs="Arial"/>
                <w:color w:val="000000"/>
                <w:sz w:val="20"/>
                <w:lang w:val="ru-RU"/>
              </w:rPr>
              <w:t>336 873</w:t>
            </w:r>
          </w:p>
        </w:tc>
        <w:tc>
          <w:tcPr>
            <w:tcW w:w="1440" w:type="dxa"/>
            <w:tcBorders>
              <w:top w:val="nil"/>
              <w:left w:val="nil"/>
              <w:bottom w:val="nil"/>
              <w:right w:val="nil"/>
            </w:tcBorders>
            <w:shd w:val="clear" w:color="auto" w:fill="auto"/>
            <w:noWrap/>
            <w:vAlign w:val="bottom"/>
            <w:hideMark/>
          </w:tcPr>
          <w:p w:rsidR="004F2D6A" w:rsidRPr="00DB0AC3" w:rsidRDefault="004F2D6A" w:rsidP="004F2D6A">
            <w:pPr>
              <w:jc w:val="right"/>
              <w:rPr>
                <w:rFonts w:cs="Arial"/>
                <w:color w:val="000000"/>
                <w:sz w:val="20"/>
                <w:lang w:val="ru-RU"/>
              </w:rPr>
            </w:pPr>
            <w:r w:rsidRPr="00DB0AC3">
              <w:rPr>
                <w:rFonts w:cs="Arial"/>
                <w:color w:val="000000"/>
                <w:sz w:val="20"/>
                <w:lang w:val="ru-RU"/>
              </w:rPr>
              <w:t>310 448</w:t>
            </w:r>
          </w:p>
        </w:tc>
      </w:tr>
      <w:tr w:rsidR="004F2D6A" w:rsidRPr="00DB0AC3" w:rsidTr="004F2D6A">
        <w:trPr>
          <w:trHeight w:val="300"/>
        </w:trPr>
        <w:tc>
          <w:tcPr>
            <w:tcW w:w="6520" w:type="dxa"/>
            <w:tcBorders>
              <w:top w:val="nil"/>
              <w:left w:val="nil"/>
              <w:bottom w:val="nil"/>
              <w:right w:val="nil"/>
            </w:tcBorders>
            <w:shd w:val="clear" w:color="auto" w:fill="auto"/>
            <w:noWrap/>
            <w:vAlign w:val="bottom"/>
            <w:hideMark/>
          </w:tcPr>
          <w:p w:rsidR="004F2D6A" w:rsidRPr="00DB0AC3" w:rsidRDefault="004F2D6A" w:rsidP="004F2D6A">
            <w:pPr>
              <w:rPr>
                <w:rFonts w:cs="Arial"/>
                <w:color w:val="000000"/>
                <w:sz w:val="20"/>
                <w:lang w:val="ru-RU"/>
              </w:rPr>
            </w:pPr>
            <w:r w:rsidRPr="00DB0AC3">
              <w:rPr>
                <w:rFonts w:cs="Arial"/>
                <w:color w:val="000000"/>
                <w:sz w:val="20"/>
                <w:lang w:val="ru-RU"/>
              </w:rPr>
              <w:t>Налоги на заработную плату</w:t>
            </w:r>
          </w:p>
        </w:tc>
        <w:tc>
          <w:tcPr>
            <w:tcW w:w="1420" w:type="dxa"/>
            <w:tcBorders>
              <w:top w:val="nil"/>
              <w:left w:val="nil"/>
              <w:bottom w:val="nil"/>
              <w:right w:val="nil"/>
            </w:tcBorders>
            <w:shd w:val="clear" w:color="auto" w:fill="auto"/>
            <w:noWrap/>
            <w:vAlign w:val="bottom"/>
            <w:hideMark/>
          </w:tcPr>
          <w:p w:rsidR="004F2D6A" w:rsidRPr="00DB0AC3" w:rsidRDefault="004F2D6A" w:rsidP="004F2D6A">
            <w:pPr>
              <w:jc w:val="right"/>
              <w:rPr>
                <w:rFonts w:cs="Arial"/>
                <w:color w:val="000000"/>
                <w:sz w:val="20"/>
                <w:lang w:val="ru-RU"/>
              </w:rPr>
            </w:pPr>
            <w:r w:rsidRPr="00DB0AC3">
              <w:rPr>
                <w:rFonts w:cs="Arial"/>
                <w:color w:val="000000"/>
                <w:sz w:val="20"/>
                <w:lang w:val="ru-RU"/>
              </w:rPr>
              <w:t>86 650</w:t>
            </w:r>
          </w:p>
        </w:tc>
        <w:tc>
          <w:tcPr>
            <w:tcW w:w="1440" w:type="dxa"/>
            <w:tcBorders>
              <w:top w:val="nil"/>
              <w:left w:val="nil"/>
              <w:bottom w:val="nil"/>
              <w:right w:val="nil"/>
            </w:tcBorders>
            <w:shd w:val="clear" w:color="auto" w:fill="auto"/>
            <w:noWrap/>
            <w:vAlign w:val="bottom"/>
            <w:hideMark/>
          </w:tcPr>
          <w:p w:rsidR="004F2D6A" w:rsidRPr="00DB0AC3" w:rsidRDefault="004F2D6A" w:rsidP="004F2D6A">
            <w:pPr>
              <w:jc w:val="right"/>
              <w:rPr>
                <w:rFonts w:cs="Arial"/>
                <w:color w:val="000000"/>
                <w:sz w:val="20"/>
                <w:lang w:val="ru-RU"/>
              </w:rPr>
            </w:pPr>
            <w:r w:rsidRPr="00DB0AC3">
              <w:rPr>
                <w:rFonts w:cs="Arial"/>
                <w:color w:val="000000"/>
                <w:sz w:val="20"/>
                <w:lang w:val="ru-RU"/>
              </w:rPr>
              <w:t>77 606</w:t>
            </w:r>
          </w:p>
        </w:tc>
      </w:tr>
      <w:tr w:rsidR="004F2D6A" w:rsidRPr="00DB0AC3" w:rsidTr="004F2D6A">
        <w:trPr>
          <w:trHeight w:val="315"/>
        </w:trPr>
        <w:tc>
          <w:tcPr>
            <w:tcW w:w="6520" w:type="dxa"/>
            <w:tcBorders>
              <w:top w:val="nil"/>
              <w:left w:val="nil"/>
              <w:bottom w:val="nil"/>
              <w:right w:val="nil"/>
            </w:tcBorders>
            <w:shd w:val="clear" w:color="auto" w:fill="auto"/>
            <w:noWrap/>
            <w:vAlign w:val="bottom"/>
            <w:hideMark/>
          </w:tcPr>
          <w:p w:rsidR="004F2D6A" w:rsidRPr="00DB0AC3" w:rsidRDefault="004F2D6A" w:rsidP="004F2D6A">
            <w:pPr>
              <w:rPr>
                <w:rFonts w:cs="Arial"/>
                <w:color w:val="000000"/>
                <w:sz w:val="20"/>
                <w:lang w:val="ru-RU"/>
              </w:rPr>
            </w:pPr>
          </w:p>
        </w:tc>
        <w:tc>
          <w:tcPr>
            <w:tcW w:w="1420" w:type="dxa"/>
            <w:tcBorders>
              <w:top w:val="single" w:sz="4" w:space="0" w:color="auto"/>
              <w:left w:val="nil"/>
              <w:bottom w:val="double" w:sz="6" w:space="0" w:color="auto"/>
              <w:right w:val="nil"/>
            </w:tcBorders>
            <w:shd w:val="clear" w:color="auto" w:fill="auto"/>
            <w:noWrap/>
            <w:vAlign w:val="bottom"/>
            <w:hideMark/>
          </w:tcPr>
          <w:p w:rsidR="004F2D6A" w:rsidRPr="00DB0AC3" w:rsidRDefault="004F2D6A" w:rsidP="004F2D6A">
            <w:pPr>
              <w:jc w:val="right"/>
              <w:rPr>
                <w:rFonts w:cs="Arial"/>
                <w:b/>
                <w:bCs/>
                <w:color w:val="000000"/>
                <w:sz w:val="20"/>
                <w:lang w:val="ru-RU"/>
              </w:rPr>
            </w:pPr>
            <w:r w:rsidRPr="00DB0AC3">
              <w:rPr>
                <w:rFonts w:cs="Arial"/>
                <w:b/>
                <w:bCs/>
                <w:color w:val="000000"/>
                <w:sz w:val="20"/>
                <w:lang w:val="ru-RU"/>
              </w:rPr>
              <w:t>423 523</w:t>
            </w:r>
          </w:p>
        </w:tc>
        <w:tc>
          <w:tcPr>
            <w:tcW w:w="1440" w:type="dxa"/>
            <w:tcBorders>
              <w:top w:val="single" w:sz="4" w:space="0" w:color="auto"/>
              <w:left w:val="nil"/>
              <w:bottom w:val="double" w:sz="6" w:space="0" w:color="auto"/>
              <w:right w:val="nil"/>
            </w:tcBorders>
            <w:shd w:val="clear" w:color="auto" w:fill="auto"/>
            <w:noWrap/>
            <w:vAlign w:val="bottom"/>
            <w:hideMark/>
          </w:tcPr>
          <w:p w:rsidR="004F2D6A" w:rsidRPr="00DB0AC3" w:rsidRDefault="004F2D6A" w:rsidP="004F2D6A">
            <w:pPr>
              <w:jc w:val="right"/>
              <w:rPr>
                <w:rFonts w:cs="Arial"/>
                <w:b/>
                <w:bCs/>
                <w:color w:val="000000"/>
                <w:sz w:val="20"/>
                <w:lang w:val="ru-RU"/>
              </w:rPr>
            </w:pPr>
            <w:r w:rsidRPr="00DB0AC3">
              <w:rPr>
                <w:rFonts w:cs="Arial"/>
                <w:b/>
                <w:bCs/>
                <w:color w:val="000000"/>
                <w:sz w:val="20"/>
                <w:lang w:val="ru-RU"/>
              </w:rPr>
              <w:t>388 054</w:t>
            </w:r>
          </w:p>
        </w:tc>
      </w:tr>
    </w:tbl>
    <w:p w:rsidR="007F20C9" w:rsidRPr="00DB0AC3" w:rsidRDefault="007F20C9" w:rsidP="007F20C9">
      <w:pPr>
        <w:rPr>
          <w:rFonts w:cs="Arial"/>
          <w:lang w:val="ru-RU"/>
        </w:rPr>
      </w:pPr>
    </w:p>
    <w:p w:rsidR="006572FF" w:rsidRPr="00DB0AC3" w:rsidRDefault="007F20C9">
      <w:pPr>
        <w:pStyle w:val="1"/>
        <w:widowControl w:val="0"/>
        <w:spacing w:before="480" w:line="233" w:lineRule="auto"/>
        <w:rPr>
          <w:rFonts w:cs="Arial"/>
          <w:szCs w:val="24"/>
          <w:lang w:val="ru-RU"/>
        </w:rPr>
      </w:pPr>
      <w:bookmarkStart w:id="198" w:name="_Toc441479814"/>
      <w:bookmarkStart w:id="199" w:name="_Ref113247694"/>
      <w:bookmarkStart w:id="200" w:name="_Ref113247703"/>
      <w:bookmarkStart w:id="201" w:name="_Ref113247855"/>
      <w:bookmarkStart w:id="202" w:name="_Ref113247865"/>
      <w:bookmarkStart w:id="203" w:name="_Ref113248582"/>
      <w:bookmarkStart w:id="204" w:name="_Ref113248853"/>
      <w:bookmarkStart w:id="205" w:name="_Ref113248865"/>
      <w:r w:rsidRPr="00DB0AC3">
        <w:rPr>
          <w:rFonts w:cs="Arial"/>
          <w:szCs w:val="24"/>
          <w:lang w:val="ru-RU"/>
        </w:rPr>
        <w:t>Убытки от операций по уступке прав требования</w:t>
      </w:r>
      <w:bookmarkEnd w:id="198"/>
    </w:p>
    <w:p w:rsidR="007F20C9" w:rsidRPr="00DB0AC3" w:rsidRDefault="0023178B" w:rsidP="00A72A3F">
      <w:pPr>
        <w:pStyle w:val="210"/>
        <w:shd w:val="clear" w:color="auto" w:fill="auto"/>
        <w:ind w:firstLine="0"/>
        <w:jc w:val="both"/>
        <w:rPr>
          <w:b w:val="0"/>
          <w:bCs w:val="0"/>
          <w:color w:val="000000"/>
          <w:sz w:val="20"/>
          <w:szCs w:val="20"/>
        </w:rPr>
      </w:pPr>
      <w:r w:rsidRPr="00DB0AC3">
        <w:rPr>
          <w:b w:val="0"/>
          <w:sz w:val="20"/>
          <w:szCs w:val="20"/>
        </w:rPr>
        <w:t>В 2014</w:t>
      </w:r>
      <w:r w:rsidR="007F20C9" w:rsidRPr="00DB0AC3">
        <w:rPr>
          <w:b w:val="0"/>
          <w:sz w:val="20"/>
          <w:szCs w:val="20"/>
        </w:rPr>
        <w:t xml:space="preserve"> году Банк заключил ряд соглашений об уступке прав требования в отношении просроченных и текущих кредитов. Общая сумма уступаемого требования составила </w:t>
      </w:r>
      <w:r w:rsidR="00B77B9E" w:rsidRPr="00DB0AC3">
        <w:rPr>
          <w:b w:val="0"/>
          <w:sz w:val="20"/>
          <w:szCs w:val="20"/>
        </w:rPr>
        <w:t>2 010</w:t>
      </w:r>
      <w:r w:rsidR="003606F4">
        <w:rPr>
          <w:b w:val="0"/>
          <w:sz w:val="20"/>
          <w:szCs w:val="20"/>
        </w:rPr>
        <w:t> </w:t>
      </w:r>
      <w:r w:rsidR="00B77B9E" w:rsidRPr="00DB0AC3">
        <w:rPr>
          <w:b w:val="0"/>
          <w:sz w:val="20"/>
          <w:szCs w:val="20"/>
        </w:rPr>
        <w:t>290</w:t>
      </w:r>
      <w:r w:rsidR="00FC2348" w:rsidRPr="00DB0AC3">
        <w:rPr>
          <w:b w:val="0"/>
          <w:sz w:val="20"/>
          <w:szCs w:val="20"/>
        </w:rPr>
        <w:t>тысяч рублей</w:t>
      </w:r>
      <w:r w:rsidR="007F20C9" w:rsidRPr="00DB0AC3">
        <w:rPr>
          <w:b w:val="0"/>
          <w:sz w:val="20"/>
          <w:szCs w:val="20"/>
        </w:rPr>
        <w:t>, а цена реализации</w:t>
      </w:r>
      <w:r w:rsidR="00671599">
        <w:rPr>
          <w:b w:val="0"/>
          <w:sz w:val="20"/>
          <w:szCs w:val="20"/>
        </w:rPr>
        <w:t>,</w:t>
      </w:r>
      <w:r w:rsidR="007F20C9" w:rsidRPr="00DB0AC3">
        <w:rPr>
          <w:b w:val="0"/>
          <w:sz w:val="20"/>
          <w:szCs w:val="20"/>
        </w:rPr>
        <w:t xml:space="preserve"> в свою очередь</w:t>
      </w:r>
      <w:r w:rsidR="00671599">
        <w:rPr>
          <w:b w:val="0"/>
          <w:sz w:val="20"/>
          <w:szCs w:val="20"/>
        </w:rPr>
        <w:t>,</w:t>
      </w:r>
      <w:r w:rsidR="007F20C9" w:rsidRPr="00DB0AC3">
        <w:rPr>
          <w:b w:val="0"/>
          <w:sz w:val="20"/>
          <w:szCs w:val="20"/>
        </w:rPr>
        <w:t xml:space="preserve"> составила </w:t>
      </w:r>
      <w:r w:rsidR="00B77B9E" w:rsidRPr="00DB0AC3">
        <w:rPr>
          <w:b w:val="0"/>
          <w:sz w:val="20"/>
          <w:szCs w:val="20"/>
        </w:rPr>
        <w:t>1 907</w:t>
      </w:r>
      <w:r w:rsidR="00B2704D">
        <w:rPr>
          <w:b w:val="0"/>
          <w:sz w:val="20"/>
          <w:szCs w:val="20"/>
        </w:rPr>
        <w:t> </w:t>
      </w:r>
      <w:r w:rsidR="00B77B9E" w:rsidRPr="00DB0AC3">
        <w:rPr>
          <w:b w:val="0"/>
          <w:sz w:val="20"/>
          <w:szCs w:val="20"/>
        </w:rPr>
        <w:t>424</w:t>
      </w:r>
      <w:r w:rsidR="00B2704D">
        <w:rPr>
          <w:b w:val="0"/>
          <w:sz w:val="20"/>
          <w:szCs w:val="20"/>
        </w:rPr>
        <w:t xml:space="preserve"> </w:t>
      </w:r>
      <w:r w:rsidR="00FC2348" w:rsidRPr="00DB0AC3">
        <w:rPr>
          <w:b w:val="0"/>
          <w:sz w:val="20"/>
          <w:szCs w:val="20"/>
        </w:rPr>
        <w:t>тысяч</w:t>
      </w:r>
      <w:r w:rsidR="00671599">
        <w:rPr>
          <w:b w:val="0"/>
          <w:sz w:val="20"/>
          <w:szCs w:val="20"/>
        </w:rPr>
        <w:t>и</w:t>
      </w:r>
      <w:r w:rsidR="00FC2348" w:rsidRPr="00DB0AC3">
        <w:rPr>
          <w:b w:val="0"/>
          <w:sz w:val="20"/>
          <w:szCs w:val="20"/>
        </w:rPr>
        <w:t xml:space="preserve"> рублей</w:t>
      </w:r>
      <w:r w:rsidR="00671599">
        <w:rPr>
          <w:b w:val="0"/>
          <w:sz w:val="20"/>
          <w:szCs w:val="20"/>
        </w:rPr>
        <w:t>.</w:t>
      </w:r>
      <w:r w:rsidR="00B2704D">
        <w:rPr>
          <w:b w:val="0"/>
          <w:sz w:val="20"/>
          <w:szCs w:val="20"/>
        </w:rPr>
        <w:t xml:space="preserve"> </w:t>
      </w:r>
      <w:r w:rsidR="00671599">
        <w:rPr>
          <w:b w:val="0"/>
          <w:sz w:val="20"/>
          <w:szCs w:val="20"/>
        </w:rPr>
        <w:t>Т</w:t>
      </w:r>
      <w:r w:rsidR="00FC2348" w:rsidRPr="00DB0AC3">
        <w:rPr>
          <w:b w:val="0"/>
          <w:sz w:val="20"/>
          <w:szCs w:val="20"/>
        </w:rPr>
        <w:t xml:space="preserve">аким образом, </w:t>
      </w:r>
      <w:r w:rsidR="007F20C9" w:rsidRPr="00DB0AC3">
        <w:rPr>
          <w:b w:val="0"/>
          <w:sz w:val="20"/>
          <w:szCs w:val="20"/>
        </w:rPr>
        <w:t xml:space="preserve">убытки от операций по уступке прав требования составили </w:t>
      </w:r>
      <w:r w:rsidR="00B77B9E" w:rsidRPr="00DB0AC3">
        <w:rPr>
          <w:b w:val="0"/>
          <w:sz w:val="20"/>
          <w:szCs w:val="20"/>
        </w:rPr>
        <w:t>102</w:t>
      </w:r>
      <w:r w:rsidR="003606F4">
        <w:rPr>
          <w:b w:val="0"/>
          <w:sz w:val="20"/>
          <w:szCs w:val="20"/>
        </w:rPr>
        <w:t> </w:t>
      </w:r>
      <w:r w:rsidR="00B77B9E" w:rsidRPr="00DB0AC3">
        <w:rPr>
          <w:b w:val="0"/>
          <w:sz w:val="20"/>
          <w:szCs w:val="20"/>
        </w:rPr>
        <w:t>866</w:t>
      </w:r>
      <w:r w:rsidR="00FC2348" w:rsidRPr="00DB0AC3">
        <w:rPr>
          <w:b w:val="0"/>
          <w:sz w:val="20"/>
          <w:szCs w:val="20"/>
        </w:rPr>
        <w:t>тысяч рублей</w:t>
      </w:r>
      <w:r w:rsidR="007F20C9" w:rsidRPr="00DB0AC3">
        <w:rPr>
          <w:b w:val="0"/>
          <w:sz w:val="20"/>
          <w:szCs w:val="20"/>
        </w:rPr>
        <w:t xml:space="preserve">. Основная часть убытков от продажи прав требования приходится на уступку задолженности </w:t>
      </w:r>
      <w:r w:rsidR="00034AAA" w:rsidRPr="00DB0AC3">
        <w:rPr>
          <w:b w:val="0"/>
          <w:sz w:val="20"/>
          <w:szCs w:val="20"/>
        </w:rPr>
        <w:t xml:space="preserve">ООО  СНИТ </w:t>
      </w:r>
      <w:r w:rsidR="007F20C9" w:rsidRPr="00DB0AC3">
        <w:rPr>
          <w:b w:val="0"/>
          <w:sz w:val="20"/>
          <w:szCs w:val="20"/>
        </w:rPr>
        <w:t xml:space="preserve">и </w:t>
      </w:r>
      <w:r w:rsidR="00034AAA" w:rsidRPr="00DB0AC3">
        <w:rPr>
          <w:b w:val="0"/>
          <w:sz w:val="20"/>
          <w:szCs w:val="20"/>
        </w:rPr>
        <w:t>ООО АТэИ</w:t>
      </w:r>
      <w:r w:rsidR="007F20C9" w:rsidRPr="00DB0AC3">
        <w:rPr>
          <w:b w:val="0"/>
          <w:sz w:val="20"/>
          <w:szCs w:val="20"/>
        </w:rPr>
        <w:t xml:space="preserve">и составляет </w:t>
      </w:r>
      <w:r w:rsidR="00034AAA" w:rsidRPr="00DB0AC3">
        <w:rPr>
          <w:b w:val="0"/>
          <w:sz w:val="20"/>
          <w:szCs w:val="20"/>
        </w:rPr>
        <w:t>45 956 тысяч рублей.</w:t>
      </w:r>
      <w:r w:rsidR="007F20C9" w:rsidRPr="00DB0AC3">
        <w:rPr>
          <w:b w:val="0"/>
          <w:sz w:val="20"/>
          <w:szCs w:val="20"/>
        </w:rPr>
        <w:t xml:space="preserve"> Убытки от операций по уступке прав требования в 2013 году составили 80</w:t>
      </w:r>
      <w:r w:rsidR="00EA2C04">
        <w:rPr>
          <w:b w:val="0"/>
          <w:sz w:val="20"/>
          <w:szCs w:val="20"/>
        </w:rPr>
        <w:t> </w:t>
      </w:r>
      <w:r w:rsidR="007F20C9" w:rsidRPr="00DB0AC3">
        <w:rPr>
          <w:b w:val="0"/>
          <w:sz w:val="20"/>
          <w:szCs w:val="20"/>
        </w:rPr>
        <w:t>863</w:t>
      </w:r>
      <w:r w:rsidR="00FC2348" w:rsidRPr="00DB0AC3">
        <w:rPr>
          <w:b w:val="0"/>
          <w:sz w:val="20"/>
          <w:szCs w:val="20"/>
        </w:rPr>
        <w:t>тысяч</w:t>
      </w:r>
      <w:r w:rsidR="00F53D93" w:rsidRPr="00DB0AC3">
        <w:rPr>
          <w:b w:val="0"/>
          <w:sz w:val="20"/>
          <w:szCs w:val="20"/>
        </w:rPr>
        <w:t>и</w:t>
      </w:r>
      <w:r w:rsidR="00FC2348" w:rsidRPr="00DB0AC3">
        <w:rPr>
          <w:b w:val="0"/>
          <w:sz w:val="20"/>
          <w:szCs w:val="20"/>
        </w:rPr>
        <w:t xml:space="preserve"> рублей</w:t>
      </w:r>
      <w:r w:rsidR="007F20C9" w:rsidRPr="00DB0AC3">
        <w:rPr>
          <w:b w:val="0"/>
          <w:sz w:val="20"/>
          <w:szCs w:val="20"/>
        </w:rPr>
        <w:t>.</w:t>
      </w:r>
    </w:p>
    <w:p w:rsidR="00944286" w:rsidRPr="00DB0AC3" w:rsidRDefault="00DA2245" w:rsidP="00137009">
      <w:pPr>
        <w:pStyle w:val="1"/>
        <w:keepLines/>
        <w:pageBreakBefore/>
        <w:spacing w:before="0"/>
        <w:rPr>
          <w:rFonts w:cs="Arial"/>
          <w:szCs w:val="24"/>
          <w:lang w:val="ru-RU"/>
        </w:rPr>
      </w:pPr>
      <w:bookmarkStart w:id="206" w:name="_Налог_на_прибыль"/>
      <w:bookmarkStart w:id="207" w:name="_Ref290284665"/>
      <w:bookmarkStart w:id="208" w:name="_Ref290588854"/>
      <w:bookmarkStart w:id="209" w:name="_Toc416086234"/>
      <w:bookmarkStart w:id="210" w:name="_Toc441479815"/>
      <w:bookmarkEnd w:id="206"/>
      <w:r w:rsidRPr="00DB0AC3">
        <w:rPr>
          <w:rFonts w:cs="Arial"/>
          <w:szCs w:val="24"/>
          <w:lang w:val="ru-RU"/>
        </w:rPr>
        <w:lastRenderedPageBreak/>
        <w:t>Налог</w:t>
      </w:r>
      <w:bookmarkEnd w:id="199"/>
      <w:bookmarkEnd w:id="200"/>
      <w:bookmarkEnd w:id="201"/>
      <w:bookmarkEnd w:id="202"/>
      <w:bookmarkEnd w:id="203"/>
      <w:bookmarkEnd w:id="204"/>
      <w:bookmarkEnd w:id="205"/>
      <w:bookmarkEnd w:id="207"/>
      <w:bookmarkEnd w:id="208"/>
      <w:bookmarkEnd w:id="209"/>
      <w:r w:rsidRPr="00DB0AC3">
        <w:rPr>
          <w:rFonts w:cs="Arial"/>
          <w:szCs w:val="24"/>
          <w:lang w:val="ru-RU"/>
        </w:rPr>
        <w:t>ообложение</w:t>
      </w:r>
      <w:bookmarkEnd w:id="210"/>
    </w:p>
    <w:p w:rsidR="002C6271" w:rsidRPr="00DB0AC3" w:rsidRDefault="002C6271" w:rsidP="00137009">
      <w:pPr>
        <w:pStyle w:val="ABC-paragrahinNotes"/>
        <w:rPr>
          <w:rFonts w:cs="Arial"/>
          <w:lang w:val="ru-RU"/>
        </w:rPr>
      </w:pPr>
      <w:r w:rsidRPr="00DB0AC3">
        <w:rPr>
          <w:rFonts w:cs="Arial"/>
          <w:lang w:val="ru-RU"/>
        </w:rPr>
        <w:t>Расходы по налогу на прибыль включали следующие компоненты:</w:t>
      </w:r>
    </w:p>
    <w:tbl>
      <w:tblPr>
        <w:tblW w:w="5000" w:type="pct"/>
        <w:tblLook w:val="04A0"/>
      </w:tblPr>
      <w:tblGrid>
        <w:gridCol w:w="6400"/>
        <w:gridCol w:w="1684"/>
        <w:gridCol w:w="1739"/>
      </w:tblGrid>
      <w:tr w:rsidR="00530280" w:rsidRPr="00DB0AC3" w:rsidTr="00530280">
        <w:trPr>
          <w:trHeight w:val="300"/>
        </w:trPr>
        <w:tc>
          <w:tcPr>
            <w:tcW w:w="3457" w:type="pct"/>
            <w:tcBorders>
              <w:top w:val="nil"/>
              <w:left w:val="nil"/>
              <w:bottom w:val="nil"/>
              <w:right w:val="nil"/>
            </w:tcBorders>
            <w:shd w:val="clear" w:color="auto" w:fill="auto"/>
            <w:noWrap/>
            <w:vAlign w:val="bottom"/>
            <w:hideMark/>
          </w:tcPr>
          <w:p w:rsidR="00530280" w:rsidRPr="00DB0AC3" w:rsidRDefault="00530280" w:rsidP="00530280">
            <w:pPr>
              <w:rPr>
                <w:rFonts w:cs="Arial"/>
                <w:color w:val="000000"/>
                <w:sz w:val="20"/>
                <w:lang w:val="ru-RU"/>
              </w:rPr>
            </w:pPr>
          </w:p>
        </w:tc>
        <w:tc>
          <w:tcPr>
            <w:tcW w:w="758" w:type="pct"/>
            <w:tcBorders>
              <w:top w:val="nil"/>
              <w:left w:val="nil"/>
              <w:bottom w:val="single" w:sz="4" w:space="0" w:color="auto"/>
              <w:right w:val="nil"/>
            </w:tcBorders>
            <w:shd w:val="clear" w:color="auto" w:fill="auto"/>
            <w:noWrap/>
            <w:vAlign w:val="bottom"/>
            <w:hideMark/>
          </w:tcPr>
          <w:p w:rsidR="00530280" w:rsidRPr="00DB0AC3" w:rsidRDefault="00530280" w:rsidP="0028047C">
            <w:pPr>
              <w:jc w:val="right"/>
              <w:rPr>
                <w:rFonts w:cs="Arial"/>
                <w:b/>
                <w:bCs/>
                <w:color w:val="000000"/>
                <w:sz w:val="20"/>
                <w:lang w:val="ru-RU"/>
              </w:rPr>
            </w:pPr>
            <w:r w:rsidRPr="00DB0AC3">
              <w:rPr>
                <w:rFonts w:cs="Arial"/>
                <w:b/>
                <w:bCs/>
                <w:color w:val="000000"/>
                <w:sz w:val="20"/>
                <w:lang w:val="ru-RU"/>
              </w:rPr>
              <w:t>2 014</w:t>
            </w:r>
          </w:p>
        </w:tc>
        <w:tc>
          <w:tcPr>
            <w:tcW w:w="785" w:type="pct"/>
            <w:tcBorders>
              <w:top w:val="nil"/>
              <w:left w:val="nil"/>
              <w:bottom w:val="single" w:sz="4" w:space="0" w:color="auto"/>
              <w:right w:val="nil"/>
            </w:tcBorders>
            <w:shd w:val="clear" w:color="auto" w:fill="auto"/>
            <w:noWrap/>
            <w:vAlign w:val="bottom"/>
            <w:hideMark/>
          </w:tcPr>
          <w:p w:rsidR="00530280" w:rsidRPr="00DB0AC3" w:rsidRDefault="00530280" w:rsidP="0028047C">
            <w:pPr>
              <w:jc w:val="right"/>
              <w:rPr>
                <w:rFonts w:cs="Arial"/>
                <w:b/>
                <w:bCs/>
                <w:color w:val="000000"/>
                <w:sz w:val="20"/>
                <w:lang w:val="ru-RU"/>
              </w:rPr>
            </w:pPr>
            <w:r w:rsidRPr="00DB0AC3">
              <w:rPr>
                <w:rFonts w:cs="Arial"/>
                <w:b/>
                <w:bCs/>
                <w:color w:val="000000"/>
                <w:sz w:val="20"/>
                <w:lang w:val="ru-RU"/>
              </w:rPr>
              <w:t>2 013</w:t>
            </w:r>
          </w:p>
        </w:tc>
      </w:tr>
      <w:tr w:rsidR="00530280" w:rsidRPr="00DB0AC3" w:rsidTr="00530280">
        <w:trPr>
          <w:trHeight w:val="300"/>
        </w:trPr>
        <w:tc>
          <w:tcPr>
            <w:tcW w:w="3457" w:type="pct"/>
            <w:tcBorders>
              <w:top w:val="nil"/>
              <w:left w:val="nil"/>
              <w:bottom w:val="nil"/>
              <w:right w:val="nil"/>
            </w:tcBorders>
            <w:shd w:val="clear" w:color="auto" w:fill="auto"/>
            <w:noWrap/>
            <w:vAlign w:val="bottom"/>
            <w:hideMark/>
          </w:tcPr>
          <w:p w:rsidR="00530280" w:rsidRPr="00DB0AC3" w:rsidRDefault="00530280" w:rsidP="00530280">
            <w:pPr>
              <w:rPr>
                <w:rFonts w:cs="Arial"/>
                <w:color w:val="000000"/>
                <w:sz w:val="20"/>
                <w:lang w:val="ru-RU"/>
              </w:rPr>
            </w:pPr>
            <w:r w:rsidRPr="00DB0AC3">
              <w:rPr>
                <w:rFonts w:cs="Arial"/>
                <w:color w:val="000000"/>
                <w:sz w:val="20"/>
                <w:lang w:val="ru-RU"/>
              </w:rPr>
              <w:t>Текущий расход по налогу на прибыль</w:t>
            </w:r>
          </w:p>
        </w:tc>
        <w:tc>
          <w:tcPr>
            <w:tcW w:w="758" w:type="pct"/>
            <w:tcBorders>
              <w:top w:val="nil"/>
              <w:left w:val="nil"/>
              <w:bottom w:val="nil"/>
              <w:right w:val="nil"/>
            </w:tcBorders>
            <w:shd w:val="clear" w:color="auto" w:fill="auto"/>
            <w:noWrap/>
            <w:vAlign w:val="bottom"/>
            <w:hideMark/>
          </w:tcPr>
          <w:p w:rsidR="00530280" w:rsidRPr="00DB0AC3" w:rsidRDefault="00530280" w:rsidP="0028047C">
            <w:pPr>
              <w:jc w:val="right"/>
              <w:rPr>
                <w:rFonts w:cs="Arial"/>
                <w:color w:val="000000"/>
                <w:sz w:val="20"/>
                <w:lang w:val="ru-RU"/>
              </w:rPr>
            </w:pPr>
            <w:r w:rsidRPr="00DB0AC3">
              <w:rPr>
                <w:rFonts w:cs="Arial"/>
                <w:color w:val="000000"/>
                <w:sz w:val="20"/>
                <w:lang w:val="ru-RU"/>
              </w:rPr>
              <w:t xml:space="preserve">           (243 626)</w:t>
            </w:r>
          </w:p>
        </w:tc>
        <w:tc>
          <w:tcPr>
            <w:tcW w:w="785" w:type="pct"/>
            <w:tcBorders>
              <w:top w:val="nil"/>
              <w:left w:val="nil"/>
              <w:bottom w:val="nil"/>
              <w:right w:val="nil"/>
            </w:tcBorders>
            <w:shd w:val="clear" w:color="auto" w:fill="auto"/>
            <w:noWrap/>
            <w:vAlign w:val="bottom"/>
            <w:hideMark/>
          </w:tcPr>
          <w:p w:rsidR="00530280" w:rsidRPr="00DB0AC3" w:rsidRDefault="00530280" w:rsidP="0028047C">
            <w:pPr>
              <w:jc w:val="right"/>
              <w:rPr>
                <w:rFonts w:cs="Arial"/>
                <w:color w:val="000000"/>
                <w:sz w:val="20"/>
                <w:lang w:val="ru-RU"/>
              </w:rPr>
            </w:pPr>
            <w:r w:rsidRPr="00DB0AC3">
              <w:rPr>
                <w:rFonts w:cs="Arial"/>
                <w:color w:val="000000"/>
                <w:sz w:val="20"/>
                <w:lang w:val="ru-RU"/>
              </w:rPr>
              <w:t xml:space="preserve">            (111 947)</w:t>
            </w:r>
          </w:p>
        </w:tc>
      </w:tr>
      <w:tr w:rsidR="00530280" w:rsidRPr="00DB0AC3" w:rsidTr="00530280">
        <w:trPr>
          <w:trHeight w:val="300"/>
        </w:trPr>
        <w:tc>
          <w:tcPr>
            <w:tcW w:w="3457" w:type="pct"/>
            <w:tcBorders>
              <w:top w:val="nil"/>
              <w:left w:val="nil"/>
              <w:bottom w:val="nil"/>
              <w:right w:val="nil"/>
            </w:tcBorders>
            <w:shd w:val="clear" w:color="auto" w:fill="auto"/>
            <w:noWrap/>
            <w:vAlign w:val="bottom"/>
            <w:hideMark/>
          </w:tcPr>
          <w:p w:rsidR="00530280" w:rsidRPr="00DB0AC3" w:rsidRDefault="00530280" w:rsidP="00530280">
            <w:pPr>
              <w:rPr>
                <w:rFonts w:cs="Arial"/>
                <w:color w:val="000000"/>
                <w:sz w:val="20"/>
                <w:lang w:val="ru-RU"/>
              </w:rPr>
            </w:pPr>
            <w:r w:rsidRPr="00DB0AC3">
              <w:rPr>
                <w:rFonts w:cs="Arial"/>
                <w:color w:val="000000"/>
                <w:sz w:val="20"/>
                <w:lang w:val="ru-RU"/>
              </w:rPr>
              <w:t>Отложенный налог через прибыль или убыток (Прим.11)</w:t>
            </w:r>
          </w:p>
        </w:tc>
        <w:tc>
          <w:tcPr>
            <w:tcW w:w="758" w:type="pct"/>
            <w:tcBorders>
              <w:top w:val="nil"/>
              <w:left w:val="nil"/>
              <w:bottom w:val="single" w:sz="4" w:space="0" w:color="auto"/>
              <w:right w:val="nil"/>
            </w:tcBorders>
            <w:shd w:val="clear" w:color="auto" w:fill="auto"/>
            <w:noWrap/>
            <w:vAlign w:val="bottom"/>
            <w:hideMark/>
          </w:tcPr>
          <w:p w:rsidR="00530280" w:rsidRPr="00DB0AC3" w:rsidRDefault="000A74ED" w:rsidP="0028047C">
            <w:pPr>
              <w:jc w:val="right"/>
              <w:rPr>
                <w:rFonts w:cs="Arial"/>
                <w:color w:val="000000"/>
                <w:sz w:val="20"/>
                <w:lang w:val="ru-RU"/>
              </w:rPr>
            </w:pPr>
            <w:r w:rsidRPr="00DB0AC3">
              <w:rPr>
                <w:rFonts w:cs="Arial"/>
                <w:color w:val="000000"/>
                <w:sz w:val="20"/>
                <w:lang w:val="ru-RU"/>
              </w:rPr>
              <w:t>13 645</w:t>
            </w:r>
          </w:p>
        </w:tc>
        <w:tc>
          <w:tcPr>
            <w:tcW w:w="785" w:type="pct"/>
            <w:tcBorders>
              <w:top w:val="nil"/>
              <w:left w:val="nil"/>
              <w:bottom w:val="single" w:sz="4" w:space="0" w:color="auto"/>
              <w:right w:val="nil"/>
            </w:tcBorders>
            <w:shd w:val="clear" w:color="auto" w:fill="auto"/>
            <w:noWrap/>
            <w:vAlign w:val="bottom"/>
            <w:hideMark/>
          </w:tcPr>
          <w:p w:rsidR="00530280" w:rsidRPr="00DB0AC3" w:rsidRDefault="00530280" w:rsidP="0028047C">
            <w:pPr>
              <w:jc w:val="right"/>
              <w:rPr>
                <w:rFonts w:cs="Arial"/>
                <w:color w:val="000000"/>
                <w:sz w:val="20"/>
                <w:lang w:val="ru-RU"/>
              </w:rPr>
            </w:pPr>
            <w:r w:rsidRPr="00DB0AC3">
              <w:rPr>
                <w:rFonts w:cs="Arial"/>
                <w:color w:val="000000"/>
                <w:sz w:val="20"/>
                <w:lang w:val="ru-RU"/>
              </w:rPr>
              <w:t>46 968</w:t>
            </w:r>
          </w:p>
        </w:tc>
      </w:tr>
      <w:tr w:rsidR="00530280" w:rsidRPr="00DB0AC3" w:rsidTr="00530280">
        <w:trPr>
          <w:trHeight w:val="300"/>
        </w:trPr>
        <w:tc>
          <w:tcPr>
            <w:tcW w:w="3457" w:type="pct"/>
            <w:tcBorders>
              <w:top w:val="nil"/>
              <w:left w:val="nil"/>
              <w:bottom w:val="nil"/>
              <w:right w:val="nil"/>
            </w:tcBorders>
            <w:shd w:val="clear" w:color="auto" w:fill="auto"/>
            <w:noWrap/>
            <w:vAlign w:val="bottom"/>
            <w:hideMark/>
          </w:tcPr>
          <w:p w:rsidR="00530280" w:rsidRPr="00DB0AC3" w:rsidRDefault="00530280" w:rsidP="00530280">
            <w:pPr>
              <w:rPr>
                <w:rFonts w:cs="Arial"/>
                <w:b/>
                <w:bCs/>
                <w:color w:val="000000"/>
                <w:sz w:val="20"/>
                <w:lang w:val="ru-RU"/>
              </w:rPr>
            </w:pPr>
            <w:r w:rsidRPr="00DB0AC3">
              <w:rPr>
                <w:rFonts w:cs="Arial"/>
                <w:b/>
                <w:bCs/>
                <w:color w:val="000000"/>
                <w:sz w:val="20"/>
                <w:lang w:val="ru-RU"/>
              </w:rPr>
              <w:t>Налог на прибыль за отчетный период</w:t>
            </w:r>
          </w:p>
        </w:tc>
        <w:tc>
          <w:tcPr>
            <w:tcW w:w="758" w:type="pct"/>
            <w:tcBorders>
              <w:top w:val="single" w:sz="4" w:space="0" w:color="auto"/>
              <w:left w:val="nil"/>
              <w:bottom w:val="double" w:sz="4" w:space="0" w:color="auto"/>
              <w:right w:val="nil"/>
            </w:tcBorders>
            <w:shd w:val="clear" w:color="auto" w:fill="auto"/>
            <w:noWrap/>
            <w:vAlign w:val="bottom"/>
            <w:hideMark/>
          </w:tcPr>
          <w:p w:rsidR="00530280" w:rsidRPr="00DB0AC3" w:rsidRDefault="00970719" w:rsidP="0028047C">
            <w:pPr>
              <w:jc w:val="right"/>
              <w:rPr>
                <w:rFonts w:cs="Arial"/>
                <w:color w:val="000000"/>
                <w:sz w:val="20"/>
                <w:lang w:val="en-US"/>
              </w:rPr>
            </w:pPr>
            <w:r w:rsidRPr="00DB0AC3">
              <w:rPr>
                <w:rFonts w:cs="Arial"/>
                <w:color w:val="000000"/>
                <w:sz w:val="20"/>
                <w:lang w:val="ru-RU"/>
              </w:rPr>
              <w:t> </w:t>
            </w:r>
            <w:r w:rsidRPr="00DB0AC3">
              <w:rPr>
                <w:rFonts w:cs="Arial"/>
                <w:color w:val="000000"/>
                <w:sz w:val="20"/>
                <w:lang w:val="en-US"/>
              </w:rPr>
              <w:t>(</w:t>
            </w:r>
            <w:r w:rsidR="000A74ED" w:rsidRPr="00DB0AC3">
              <w:rPr>
                <w:rFonts w:cs="Arial"/>
                <w:color w:val="000000"/>
                <w:sz w:val="20"/>
                <w:lang w:val="ru-RU"/>
              </w:rPr>
              <w:t>229 981</w:t>
            </w:r>
            <w:r w:rsidRPr="00DB0AC3">
              <w:rPr>
                <w:rFonts w:cs="Arial"/>
                <w:color w:val="000000"/>
                <w:sz w:val="20"/>
                <w:lang w:val="en-US"/>
              </w:rPr>
              <w:t>)</w:t>
            </w:r>
          </w:p>
        </w:tc>
        <w:tc>
          <w:tcPr>
            <w:tcW w:w="785" w:type="pct"/>
            <w:tcBorders>
              <w:top w:val="single" w:sz="4" w:space="0" w:color="auto"/>
              <w:left w:val="nil"/>
              <w:bottom w:val="double" w:sz="4" w:space="0" w:color="auto"/>
              <w:right w:val="nil"/>
            </w:tcBorders>
            <w:shd w:val="clear" w:color="auto" w:fill="auto"/>
            <w:noWrap/>
            <w:vAlign w:val="bottom"/>
            <w:hideMark/>
          </w:tcPr>
          <w:p w:rsidR="00530280" w:rsidRPr="00DB0AC3" w:rsidRDefault="00530280" w:rsidP="0028047C">
            <w:pPr>
              <w:jc w:val="right"/>
              <w:rPr>
                <w:rFonts w:cs="Arial"/>
                <w:color w:val="000000"/>
                <w:sz w:val="20"/>
                <w:lang w:val="ru-RU"/>
              </w:rPr>
            </w:pPr>
            <w:r w:rsidRPr="00DB0AC3">
              <w:rPr>
                <w:rFonts w:cs="Arial"/>
                <w:color w:val="000000"/>
                <w:sz w:val="20"/>
                <w:lang w:val="ru-RU"/>
              </w:rPr>
              <w:t xml:space="preserve">              (64 979)</w:t>
            </w:r>
          </w:p>
        </w:tc>
      </w:tr>
    </w:tbl>
    <w:p w:rsidR="00530280" w:rsidRPr="00DB0AC3" w:rsidRDefault="00530280" w:rsidP="00137009">
      <w:pPr>
        <w:pStyle w:val="ABC-paragrahinNotes"/>
        <w:rPr>
          <w:rFonts w:cs="Arial"/>
          <w:lang w:val="ru-RU"/>
        </w:rPr>
      </w:pPr>
    </w:p>
    <w:p w:rsidR="00B454C2" w:rsidRPr="00DB0AC3" w:rsidRDefault="00D137C9">
      <w:pPr>
        <w:pStyle w:val="210"/>
        <w:shd w:val="clear" w:color="auto" w:fill="auto"/>
        <w:spacing w:line="180" w:lineRule="exact"/>
        <w:ind w:firstLine="0"/>
        <w:jc w:val="both"/>
        <w:rPr>
          <w:b w:val="0"/>
          <w:bCs w:val="0"/>
          <w:color w:val="000000"/>
          <w:sz w:val="20"/>
          <w:szCs w:val="20"/>
        </w:rPr>
      </w:pPr>
      <w:r w:rsidRPr="00DB0AC3">
        <w:rPr>
          <w:b w:val="0"/>
          <w:bCs w:val="0"/>
          <w:color w:val="000000"/>
          <w:sz w:val="20"/>
          <w:szCs w:val="20"/>
        </w:rPr>
        <w:t>Основная часть доходов Банка в 2014 облагалась налогом на прибыль по ставке 20% (2013: 20%).</w:t>
      </w:r>
    </w:p>
    <w:p w:rsidR="00B454C2" w:rsidRPr="00DB0AC3" w:rsidRDefault="00D137C9">
      <w:pPr>
        <w:pStyle w:val="210"/>
        <w:shd w:val="clear" w:color="auto" w:fill="auto"/>
        <w:spacing w:line="230" w:lineRule="exact"/>
        <w:ind w:firstLine="0"/>
        <w:jc w:val="both"/>
        <w:rPr>
          <w:b w:val="0"/>
          <w:bCs w:val="0"/>
          <w:color w:val="000000"/>
          <w:sz w:val="20"/>
          <w:szCs w:val="20"/>
        </w:rPr>
      </w:pPr>
      <w:r w:rsidRPr="00DB0AC3">
        <w:rPr>
          <w:b w:val="0"/>
          <w:bCs w:val="0"/>
          <w:color w:val="000000"/>
          <w:sz w:val="20"/>
          <w:szCs w:val="20"/>
        </w:rPr>
        <w:t>Прибыль по финансовой отчетности может быть приведена к фактической налогооблагаемой базе следующим образом:</w:t>
      </w:r>
    </w:p>
    <w:tbl>
      <w:tblPr>
        <w:tblW w:w="9372" w:type="dxa"/>
        <w:tblInd w:w="92" w:type="dxa"/>
        <w:tblLook w:val="04A0"/>
      </w:tblPr>
      <w:tblGrid>
        <w:gridCol w:w="9509"/>
        <w:gridCol w:w="222"/>
      </w:tblGrid>
      <w:tr w:rsidR="004B4C42" w:rsidRPr="0046554E" w:rsidTr="0021496B">
        <w:trPr>
          <w:trHeight w:val="170"/>
        </w:trPr>
        <w:tc>
          <w:tcPr>
            <w:tcW w:w="8396" w:type="dxa"/>
            <w:tcBorders>
              <w:left w:val="nil"/>
              <w:bottom w:val="nil"/>
              <w:right w:val="nil"/>
            </w:tcBorders>
            <w:shd w:val="clear" w:color="000000" w:fill="FFFFFF"/>
            <w:vAlign w:val="bottom"/>
          </w:tcPr>
          <w:p w:rsidR="0021496B" w:rsidRPr="00DB0AC3" w:rsidRDefault="0021496B" w:rsidP="000A19CC">
            <w:pPr>
              <w:rPr>
                <w:rFonts w:cs="Arial"/>
                <w:b/>
                <w:bCs/>
                <w:sz w:val="20"/>
                <w:lang w:val="ru-RU"/>
              </w:rPr>
            </w:pPr>
          </w:p>
          <w:tbl>
            <w:tblPr>
              <w:tblW w:w="5000" w:type="pct"/>
              <w:tblLook w:val="04A0"/>
            </w:tblPr>
            <w:tblGrid>
              <w:gridCol w:w="5818"/>
              <w:gridCol w:w="1553"/>
              <w:gridCol w:w="1922"/>
            </w:tblGrid>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lang w:val="ru-RU"/>
                    </w:rPr>
                  </w:pPr>
                </w:p>
              </w:tc>
              <w:tc>
                <w:tcPr>
                  <w:tcW w:w="850" w:type="pct"/>
                  <w:tcBorders>
                    <w:top w:val="nil"/>
                    <w:left w:val="nil"/>
                    <w:bottom w:val="single" w:sz="4" w:space="0" w:color="auto"/>
                    <w:right w:val="nil"/>
                  </w:tcBorders>
                  <w:shd w:val="clear" w:color="auto" w:fill="auto"/>
                  <w:noWrap/>
                  <w:vAlign w:val="bottom"/>
                  <w:hideMark/>
                </w:tcPr>
                <w:p w:rsidR="00465BE5" w:rsidRPr="00DB0AC3" w:rsidRDefault="00465BE5" w:rsidP="00465BE5">
                  <w:pPr>
                    <w:jc w:val="center"/>
                    <w:rPr>
                      <w:rFonts w:cs="Arial"/>
                      <w:b/>
                      <w:bCs/>
                      <w:color w:val="000000"/>
                      <w:sz w:val="20"/>
                    </w:rPr>
                  </w:pPr>
                  <w:r w:rsidRPr="00DB0AC3">
                    <w:rPr>
                      <w:rFonts w:cs="Arial"/>
                      <w:b/>
                      <w:bCs/>
                      <w:color w:val="000000"/>
                      <w:sz w:val="20"/>
                    </w:rPr>
                    <w:t>2 014</w:t>
                  </w:r>
                </w:p>
              </w:tc>
              <w:tc>
                <w:tcPr>
                  <w:tcW w:w="1048" w:type="pct"/>
                  <w:tcBorders>
                    <w:top w:val="nil"/>
                    <w:left w:val="nil"/>
                    <w:bottom w:val="single" w:sz="4" w:space="0" w:color="auto"/>
                    <w:right w:val="nil"/>
                  </w:tcBorders>
                  <w:shd w:val="clear" w:color="auto" w:fill="auto"/>
                  <w:noWrap/>
                  <w:vAlign w:val="bottom"/>
                  <w:hideMark/>
                </w:tcPr>
                <w:p w:rsidR="00465BE5" w:rsidRPr="00DB0AC3" w:rsidRDefault="00465BE5" w:rsidP="00465BE5">
                  <w:pPr>
                    <w:jc w:val="center"/>
                    <w:rPr>
                      <w:rFonts w:cs="Arial"/>
                      <w:b/>
                      <w:bCs/>
                      <w:color w:val="000000"/>
                      <w:sz w:val="20"/>
                    </w:rPr>
                  </w:pPr>
                  <w:r w:rsidRPr="00DB0AC3">
                    <w:rPr>
                      <w:rFonts w:cs="Arial"/>
                      <w:b/>
                      <w:bCs/>
                      <w:color w:val="000000"/>
                      <w:sz w:val="20"/>
                    </w:rPr>
                    <w:t>2 013</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rsidP="0028047C">
                  <w:pPr>
                    <w:rPr>
                      <w:rFonts w:cs="Arial"/>
                      <w:b/>
                      <w:bCs/>
                      <w:color w:val="000000"/>
                      <w:sz w:val="20"/>
                      <w:lang w:val="ru-RU"/>
                    </w:rPr>
                  </w:pPr>
                  <w:r w:rsidRPr="00DB0AC3">
                    <w:rPr>
                      <w:rFonts w:cs="Arial"/>
                      <w:b/>
                      <w:bCs/>
                      <w:color w:val="000000"/>
                      <w:sz w:val="20"/>
                      <w:lang w:val="ru-RU"/>
                    </w:rPr>
                    <w:t>Учетный убыток до налогообложения</w:t>
                  </w:r>
                </w:p>
              </w:tc>
              <w:tc>
                <w:tcPr>
                  <w:tcW w:w="850" w:type="pct"/>
                  <w:tcBorders>
                    <w:top w:val="nil"/>
                    <w:left w:val="nil"/>
                    <w:bottom w:val="nil"/>
                    <w:right w:val="nil"/>
                  </w:tcBorders>
                  <w:shd w:val="clear" w:color="auto" w:fill="auto"/>
                  <w:noWrap/>
                  <w:vAlign w:val="bottom"/>
                  <w:hideMark/>
                </w:tcPr>
                <w:p w:rsidR="00465BE5" w:rsidRPr="00DB0AC3" w:rsidRDefault="00465BE5" w:rsidP="00894571">
                  <w:pPr>
                    <w:jc w:val="center"/>
                    <w:rPr>
                      <w:rFonts w:cs="Arial"/>
                      <w:color w:val="000000"/>
                      <w:sz w:val="20"/>
                    </w:rPr>
                  </w:pPr>
                  <w:r w:rsidRPr="00DB0AC3">
                    <w:rPr>
                      <w:rFonts w:cs="Arial"/>
                      <w:color w:val="000000"/>
                      <w:sz w:val="20"/>
                    </w:rPr>
                    <w:t>(31</w:t>
                  </w:r>
                  <w:r w:rsidR="00894571">
                    <w:rPr>
                      <w:rFonts w:cs="Arial"/>
                      <w:color w:val="000000"/>
                      <w:sz w:val="20"/>
                    </w:rPr>
                    <w:t> </w:t>
                  </w:r>
                  <w:r w:rsidRPr="00DB0AC3">
                    <w:rPr>
                      <w:rFonts w:cs="Arial"/>
                      <w:color w:val="000000"/>
                      <w:sz w:val="20"/>
                    </w:rPr>
                    <w:t>1</w:t>
                  </w:r>
                  <w:r w:rsidR="00405085" w:rsidRPr="00DB0AC3">
                    <w:rPr>
                      <w:rFonts w:cs="Arial"/>
                      <w:color w:val="000000"/>
                      <w:sz w:val="20"/>
                      <w:lang w:val="ru-RU"/>
                    </w:rPr>
                    <w:t>3459</w:t>
                  </w:r>
                  <w:r w:rsidR="00894571">
                    <w:rPr>
                      <w:rFonts w:cs="Arial"/>
                      <w:color w:val="000000"/>
                      <w:sz w:val="20"/>
                      <w:lang w:val="ru-RU"/>
                    </w:rPr>
                    <w:t>6</w:t>
                  </w:r>
                  <w:r w:rsidRPr="00DB0AC3">
                    <w:rPr>
                      <w:rFonts w:cs="Arial"/>
                      <w:color w:val="000000"/>
                      <w:sz w:val="20"/>
                    </w:rPr>
                    <w:t>)</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(82 266)</w:t>
                  </w:r>
                </w:p>
              </w:tc>
            </w:tr>
            <w:tr w:rsidR="00465BE5" w:rsidRPr="0046554E"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lang w:val="ru-RU"/>
                    </w:rPr>
                  </w:pPr>
                  <w:r w:rsidRPr="00DB0AC3">
                    <w:rPr>
                      <w:rFonts w:cs="Arial"/>
                      <w:color w:val="000000"/>
                      <w:sz w:val="20"/>
                      <w:lang w:val="ru-RU"/>
                    </w:rPr>
                    <w:t>Корректировки для приведения к МСФО:</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lang w:val="ru-RU"/>
                    </w:rPr>
                  </w:pP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lang w:val="ru-RU"/>
                    </w:rPr>
                  </w:pP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rPr>
                  </w:pPr>
                  <w:r w:rsidRPr="00DB0AC3">
                    <w:rPr>
                      <w:rFonts w:cs="Arial"/>
                      <w:color w:val="000000"/>
                      <w:sz w:val="20"/>
                    </w:rPr>
                    <w:t>Резерв</w:t>
                  </w:r>
                  <w:r w:rsidR="00B84D52">
                    <w:rPr>
                      <w:rFonts w:cs="Arial"/>
                      <w:color w:val="000000"/>
                      <w:sz w:val="20"/>
                      <w:lang w:val="ru-RU"/>
                    </w:rPr>
                    <w:t xml:space="preserve"> </w:t>
                  </w:r>
                  <w:r w:rsidRPr="00DB0AC3">
                    <w:rPr>
                      <w:rFonts w:cs="Arial"/>
                      <w:color w:val="000000"/>
                      <w:sz w:val="20"/>
                    </w:rPr>
                    <w:t>под</w:t>
                  </w:r>
                  <w:r w:rsidR="00B84D52">
                    <w:rPr>
                      <w:rFonts w:cs="Arial"/>
                      <w:color w:val="000000"/>
                      <w:sz w:val="20"/>
                      <w:lang w:val="ru-RU"/>
                    </w:rPr>
                    <w:t xml:space="preserve"> </w:t>
                  </w:r>
                  <w:r w:rsidRPr="00DB0AC3">
                    <w:rPr>
                      <w:rFonts w:cs="Arial"/>
                      <w:color w:val="000000"/>
                      <w:sz w:val="20"/>
                    </w:rPr>
                    <w:t>обесценение</w:t>
                  </w:r>
                  <w:r w:rsidR="00B84D52">
                    <w:rPr>
                      <w:rFonts w:cs="Arial"/>
                      <w:color w:val="000000"/>
                      <w:sz w:val="20"/>
                      <w:lang w:val="ru-RU"/>
                    </w:rPr>
                    <w:t xml:space="preserve"> </w:t>
                  </w:r>
                  <w:r w:rsidRPr="00DB0AC3">
                    <w:rPr>
                      <w:rFonts w:cs="Arial"/>
                      <w:color w:val="000000"/>
                      <w:sz w:val="20"/>
                    </w:rPr>
                    <w:t>кредитов</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31 692 961</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530123</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lang w:val="ru-RU"/>
                    </w:rPr>
                  </w:pPr>
                  <w:r w:rsidRPr="00DB0AC3">
                    <w:rPr>
                      <w:rFonts w:cs="Arial"/>
                      <w:color w:val="000000"/>
                      <w:sz w:val="20"/>
                      <w:lang w:val="ru-RU"/>
                    </w:rPr>
                    <w:t>Дисконтирование кредитов и дебиторской задолженности</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(230 302)</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(149 066)</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lang w:val="ru-RU"/>
                    </w:rPr>
                  </w:pPr>
                  <w:r w:rsidRPr="00DB0AC3">
                    <w:rPr>
                      <w:rFonts w:cs="Arial"/>
                      <w:color w:val="000000"/>
                      <w:sz w:val="20"/>
                      <w:lang w:val="ru-RU"/>
                    </w:rPr>
                    <w:t>Резерв под обесценение прочих активов</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54 754</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(49 451)</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lang w:val="ru-RU"/>
                    </w:rPr>
                  </w:pPr>
                  <w:r w:rsidRPr="00DB0AC3">
                    <w:rPr>
                      <w:rFonts w:cs="Arial"/>
                      <w:color w:val="000000"/>
                      <w:sz w:val="20"/>
                      <w:lang w:val="ru-RU"/>
                    </w:rPr>
                    <w:t>Резерв по обязательствам кредитного характера</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(8 779)</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32688</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rPr>
                  </w:pPr>
                  <w:r w:rsidRPr="00DB0AC3">
                    <w:rPr>
                      <w:rFonts w:cs="Arial"/>
                      <w:color w:val="000000"/>
                      <w:sz w:val="20"/>
                    </w:rPr>
                    <w:t>Переоценка/обесценение</w:t>
                  </w:r>
                  <w:r w:rsidR="00B84D52">
                    <w:rPr>
                      <w:rFonts w:cs="Arial"/>
                      <w:color w:val="000000"/>
                      <w:sz w:val="20"/>
                      <w:lang w:val="ru-RU"/>
                    </w:rPr>
                    <w:t xml:space="preserve"> </w:t>
                  </w:r>
                  <w:r w:rsidRPr="00DB0AC3">
                    <w:rPr>
                      <w:rFonts w:cs="Arial"/>
                      <w:color w:val="000000"/>
                      <w:sz w:val="20"/>
                    </w:rPr>
                    <w:t>активов</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72 587</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(16 507)</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rPr>
                  </w:pPr>
                  <w:r w:rsidRPr="00DB0AC3">
                    <w:rPr>
                      <w:rFonts w:cs="Arial"/>
                      <w:color w:val="000000"/>
                      <w:sz w:val="20"/>
                    </w:rPr>
                    <w:t>Амортизация</w:t>
                  </w:r>
                </w:p>
              </w:tc>
              <w:tc>
                <w:tcPr>
                  <w:tcW w:w="850" w:type="pct"/>
                  <w:tcBorders>
                    <w:top w:val="nil"/>
                    <w:left w:val="nil"/>
                    <w:bottom w:val="nil"/>
                    <w:right w:val="nil"/>
                  </w:tcBorders>
                  <w:shd w:val="clear" w:color="auto" w:fill="auto"/>
                  <w:noWrap/>
                  <w:vAlign w:val="bottom"/>
                  <w:hideMark/>
                </w:tcPr>
                <w:p w:rsidR="00465BE5" w:rsidRPr="00DB0AC3" w:rsidRDefault="00465BE5" w:rsidP="00C16273">
                  <w:pPr>
                    <w:jc w:val="center"/>
                    <w:rPr>
                      <w:rFonts w:cs="Arial"/>
                      <w:color w:val="000000"/>
                      <w:sz w:val="20"/>
                    </w:rPr>
                  </w:pPr>
                  <w:r w:rsidRPr="00DB0AC3">
                    <w:rPr>
                      <w:rFonts w:cs="Arial"/>
                      <w:color w:val="000000"/>
                      <w:sz w:val="20"/>
                    </w:rPr>
                    <w:t>(22 7</w:t>
                  </w:r>
                  <w:r w:rsidR="00C16273" w:rsidRPr="00DB0AC3">
                    <w:rPr>
                      <w:rFonts w:cs="Arial"/>
                      <w:color w:val="000000"/>
                      <w:sz w:val="20"/>
                      <w:lang w:val="ru-RU"/>
                    </w:rPr>
                    <w:t>2</w:t>
                  </w:r>
                  <w:r w:rsidRPr="00DB0AC3">
                    <w:rPr>
                      <w:rFonts w:cs="Arial"/>
                      <w:color w:val="000000"/>
                      <w:sz w:val="20"/>
                    </w:rPr>
                    <w:t>4)</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(10 908)</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894571">
                  <w:pPr>
                    <w:rPr>
                      <w:rFonts w:cs="Arial"/>
                      <w:color w:val="000000"/>
                      <w:sz w:val="20"/>
                    </w:rPr>
                  </w:pPr>
                  <w:r w:rsidRPr="00DB0AC3">
                    <w:rPr>
                      <w:rFonts w:cs="Arial"/>
                      <w:color w:val="000000"/>
                      <w:sz w:val="20"/>
                    </w:rPr>
                    <w:t>П</w:t>
                  </w:r>
                  <w:r w:rsidR="00465BE5" w:rsidRPr="00DB0AC3">
                    <w:rPr>
                      <w:rFonts w:cs="Arial"/>
                      <w:color w:val="000000"/>
                      <w:sz w:val="20"/>
                    </w:rPr>
                    <w:t>рочие</w:t>
                  </w:r>
                  <w:r w:rsidR="00B84D52">
                    <w:rPr>
                      <w:rFonts w:cs="Arial"/>
                      <w:color w:val="000000"/>
                      <w:sz w:val="20"/>
                      <w:lang w:val="ru-RU"/>
                    </w:rPr>
                    <w:t xml:space="preserve"> </w:t>
                  </w:r>
                  <w:r w:rsidR="00465BE5" w:rsidRPr="00DB0AC3">
                    <w:rPr>
                      <w:rFonts w:cs="Arial"/>
                      <w:color w:val="000000"/>
                      <w:sz w:val="20"/>
                    </w:rPr>
                    <w:t>корректировки</w:t>
                  </w:r>
                </w:p>
              </w:tc>
              <w:tc>
                <w:tcPr>
                  <w:tcW w:w="850" w:type="pct"/>
                  <w:tcBorders>
                    <w:top w:val="nil"/>
                    <w:left w:val="nil"/>
                    <w:bottom w:val="nil"/>
                    <w:right w:val="nil"/>
                  </w:tcBorders>
                  <w:shd w:val="clear" w:color="auto" w:fill="auto"/>
                  <w:noWrap/>
                  <w:vAlign w:val="bottom"/>
                  <w:hideMark/>
                </w:tcPr>
                <w:p w:rsidR="00465BE5" w:rsidRPr="006932E4" w:rsidRDefault="00465BE5" w:rsidP="00465BE5">
                  <w:pPr>
                    <w:jc w:val="center"/>
                    <w:rPr>
                      <w:rFonts w:cs="Arial"/>
                      <w:color w:val="000000"/>
                      <w:sz w:val="20"/>
                      <w:lang w:val="ru-RU"/>
                    </w:rPr>
                  </w:pPr>
                  <w:r w:rsidRPr="00DB0AC3">
                    <w:rPr>
                      <w:rFonts w:cs="Arial"/>
                      <w:color w:val="000000"/>
                      <w:sz w:val="20"/>
                    </w:rPr>
                    <w:t>125 96</w:t>
                  </w:r>
                  <w:r w:rsidR="006932E4">
                    <w:rPr>
                      <w:rFonts w:cs="Arial"/>
                      <w:color w:val="000000"/>
                      <w:sz w:val="20"/>
                      <w:lang w:val="ru-RU"/>
                    </w:rPr>
                    <w:t>4</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(8 484)</w:t>
                  </w:r>
                </w:p>
              </w:tc>
            </w:tr>
            <w:tr w:rsidR="00465BE5" w:rsidRPr="00DB0AC3" w:rsidTr="00465BE5">
              <w:trPr>
                <w:trHeight w:val="315"/>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color w:val="000000"/>
                      <w:sz w:val="20"/>
                    </w:rPr>
                  </w:pPr>
                  <w:r w:rsidRPr="00DB0AC3">
                    <w:rPr>
                      <w:rFonts w:cs="Arial"/>
                      <w:color w:val="000000"/>
                      <w:sz w:val="20"/>
                    </w:rPr>
                    <w:t>Начисление</w:t>
                  </w:r>
                  <w:r w:rsidR="00B84D52">
                    <w:rPr>
                      <w:rFonts w:cs="Arial"/>
                      <w:color w:val="000000"/>
                      <w:sz w:val="20"/>
                      <w:lang w:val="ru-RU"/>
                    </w:rPr>
                    <w:t xml:space="preserve"> </w:t>
                  </w:r>
                  <w:r w:rsidRPr="00DB0AC3">
                    <w:rPr>
                      <w:rFonts w:cs="Arial"/>
                      <w:color w:val="000000"/>
                      <w:sz w:val="20"/>
                    </w:rPr>
                    <w:t>расходов</w:t>
                  </w:r>
                </w:p>
              </w:tc>
              <w:tc>
                <w:tcPr>
                  <w:tcW w:w="850" w:type="pct"/>
                  <w:tcBorders>
                    <w:top w:val="nil"/>
                    <w:left w:val="nil"/>
                    <w:bottom w:val="single" w:sz="8" w:space="0" w:color="auto"/>
                    <w:right w:val="nil"/>
                  </w:tcBorders>
                  <w:shd w:val="clear" w:color="auto" w:fill="auto"/>
                  <w:noWrap/>
                  <w:vAlign w:val="bottom"/>
                  <w:hideMark/>
                </w:tcPr>
                <w:p w:rsidR="00465BE5" w:rsidRPr="00DB0AC3" w:rsidRDefault="000975B5" w:rsidP="00465BE5">
                  <w:pPr>
                    <w:jc w:val="center"/>
                    <w:rPr>
                      <w:rFonts w:cs="Arial"/>
                      <w:color w:val="000000"/>
                      <w:sz w:val="20"/>
                      <w:lang w:val="ru-RU"/>
                    </w:rPr>
                  </w:pPr>
                  <w:r w:rsidRPr="00DB0AC3">
                    <w:rPr>
                      <w:rFonts w:cs="Arial"/>
                      <w:color w:val="000000"/>
                      <w:sz w:val="20"/>
                      <w:lang w:val="ru-RU"/>
                    </w:rPr>
                    <w:t>(40 342)</w:t>
                  </w:r>
                </w:p>
              </w:tc>
              <w:tc>
                <w:tcPr>
                  <w:tcW w:w="1048" w:type="pct"/>
                  <w:tcBorders>
                    <w:top w:val="nil"/>
                    <w:left w:val="nil"/>
                    <w:bottom w:val="single" w:sz="8" w:space="0" w:color="auto"/>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6855</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b/>
                      <w:bCs/>
                      <w:color w:val="000000"/>
                      <w:sz w:val="20"/>
                      <w:lang w:val="ru-RU"/>
                    </w:rPr>
                  </w:pPr>
                  <w:r w:rsidRPr="00DB0AC3">
                    <w:rPr>
                      <w:rFonts w:cs="Arial"/>
                      <w:b/>
                      <w:bCs/>
                      <w:color w:val="000000"/>
                      <w:sz w:val="20"/>
                      <w:lang w:val="ru-RU"/>
                    </w:rPr>
                    <w:t>Прибыль по данным Российского бухгалтерского учета</w:t>
                  </w:r>
                </w:p>
              </w:tc>
              <w:tc>
                <w:tcPr>
                  <w:tcW w:w="850"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b/>
                      <w:bCs/>
                      <w:color w:val="000000"/>
                      <w:sz w:val="20"/>
                    </w:rPr>
                  </w:pPr>
                  <w:r w:rsidRPr="00DB0AC3">
                    <w:rPr>
                      <w:rFonts w:cs="Arial"/>
                      <w:b/>
                      <w:bCs/>
                      <w:color w:val="000000"/>
                      <w:sz w:val="20"/>
                    </w:rPr>
                    <w:t>509 523</w:t>
                  </w:r>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b/>
                      <w:bCs/>
                      <w:color w:val="000000"/>
                      <w:sz w:val="20"/>
                    </w:rPr>
                  </w:pPr>
                  <w:r w:rsidRPr="00DB0AC3">
                    <w:rPr>
                      <w:rFonts w:cs="Arial"/>
                      <w:b/>
                      <w:bCs/>
                      <w:color w:val="000000"/>
                      <w:sz w:val="20"/>
                    </w:rPr>
                    <w:t>252 984</w:t>
                  </w:r>
                </w:p>
              </w:tc>
            </w:tr>
            <w:tr w:rsidR="00465BE5" w:rsidRPr="00DB0AC3" w:rsidTr="00465BE5">
              <w:trPr>
                <w:trHeight w:val="900"/>
              </w:trPr>
              <w:tc>
                <w:tcPr>
                  <w:tcW w:w="3102" w:type="pct"/>
                  <w:tcBorders>
                    <w:top w:val="nil"/>
                    <w:left w:val="nil"/>
                    <w:bottom w:val="nil"/>
                    <w:right w:val="nil"/>
                  </w:tcBorders>
                  <w:shd w:val="clear" w:color="auto" w:fill="auto"/>
                  <w:vAlign w:val="bottom"/>
                  <w:hideMark/>
                </w:tcPr>
                <w:p w:rsidR="00465BE5" w:rsidRPr="00DB0AC3" w:rsidRDefault="00465BE5">
                  <w:pPr>
                    <w:rPr>
                      <w:rFonts w:cs="Arial"/>
                      <w:color w:val="000000"/>
                      <w:sz w:val="20"/>
                      <w:lang w:val="ru-RU"/>
                    </w:rPr>
                  </w:pPr>
                  <w:r w:rsidRPr="00DB0AC3">
                    <w:rPr>
                      <w:rFonts w:cs="Arial"/>
                      <w:color w:val="000000"/>
                      <w:sz w:val="20"/>
                      <w:lang w:val="ru-RU"/>
                    </w:rPr>
                    <w:t>Корректировки по статьям</w:t>
                  </w:r>
                  <w:r w:rsidR="00700552" w:rsidRPr="00DB0AC3">
                    <w:rPr>
                      <w:rFonts w:cs="Arial"/>
                      <w:color w:val="000000"/>
                      <w:sz w:val="20"/>
                      <w:lang w:val="ru-RU"/>
                    </w:rPr>
                    <w:t>,</w:t>
                  </w:r>
                  <w:r w:rsidRPr="00DB0AC3">
                    <w:rPr>
                      <w:rFonts w:cs="Arial"/>
                      <w:color w:val="000000"/>
                      <w:sz w:val="20"/>
                      <w:lang w:val="ru-RU"/>
                    </w:rPr>
                    <w:t xml:space="preserve"> не учитываемым для целей налогообложения</w:t>
                  </w:r>
                  <w:r w:rsidR="00700552" w:rsidRPr="00DB0AC3">
                    <w:rPr>
                      <w:rFonts w:cs="Arial"/>
                      <w:color w:val="000000"/>
                      <w:sz w:val="20"/>
                      <w:lang w:val="ru-RU"/>
                    </w:rPr>
                    <w:t>,</w:t>
                  </w:r>
                  <w:r w:rsidRPr="00DB0AC3">
                    <w:rPr>
                      <w:rFonts w:cs="Arial"/>
                      <w:color w:val="000000"/>
                      <w:sz w:val="20"/>
                      <w:lang w:val="ru-RU"/>
                    </w:rPr>
                    <w:t xml:space="preserve"> и налоговые льготы</w:t>
                  </w:r>
                </w:p>
              </w:tc>
              <w:tc>
                <w:tcPr>
                  <w:tcW w:w="850" w:type="pct"/>
                  <w:tcBorders>
                    <w:top w:val="nil"/>
                    <w:left w:val="nil"/>
                    <w:bottom w:val="nil"/>
                    <w:right w:val="nil"/>
                  </w:tcBorders>
                  <w:shd w:val="clear" w:color="auto" w:fill="auto"/>
                  <w:noWrap/>
                  <w:vAlign w:val="bottom"/>
                  <w:hideMark/>
                </w:tcPr>
                <w:p w:rsidR="00465BE5" w:rsidRPr="00DB0AC3" w:rsidRDefault="000975B5" w:rsidP="00465BE5">
                  <w:pPr>
                    <w:jc w:val="center"/>
                    <w:rPr>
                      <w:rFonts w:cs="Arial"/>
                      <w:color w:val="000000"/>
                      <w:sz w:val="20"/>
                      <w:lang w:val="ru-RU"/>
                    </w:rPr>
                  </w:pPr>
                  <w:bookmarkStart w:id="211" w:name="OLE_LINK2"/>
                  <w:r w:rsidRPr="00DB0AC3">
                    <w:rPr>
                      <w:rFonts w:cs="Arial"/>
                      <w:color w:val="000000"/>
                      <w:sz w:val="20"/>
                      <w:lang w:val="ru-RU"/>
                    </w:rPr>
                    <w:t>640 382</w:t>
                  </w:r>
                  <w:bookmarkEnd w:id="211"/>
                </w:p>
              </w:tc>
              <w:tc>
                <w:tcPr>
                  <w:tcW w:w="1048" w:type="pct"/>
                  <w:tcBorders>
                    <w:top w:val="nil"/>
                    <w:left w:val="nil"/>
                    <w:bottom w:val="nil"/>
                    <w:right w:val="nil"/>
                  </w:tcBorders>
                  <w:shd w:val="clear" w:color="auto" w:fill="auto"/>
                  <w:noWrap/>
                  <w:vAlign w:val="bottom"/>
                  <w:hideMark/>
                </w:tcPr>
                <w:p w:rsidR="00465BE5" w:rsidRPr="00DB0AC3" w:rsidRDefault="00465BE5" w:rsidP="00465BE5">
                  <w:pPr>
                    <w:jc w:val="center"/>
                    <w:rPr>
                      <w:rFonts w:cs="Arial"/>
                      <w:color w:val="000000"/>
                      <w:sz w:val="20"/>
                    </w:rPr>
                  </w:pPr>
                  <w:r w:rsidRPr="00DB0AC3">
                    <w:rPr>
                      <w:rFonts w:cs="Arial"/>
                      <w:color w:val="000000"/>
                      <w:sz w:val="20"/>
                    </w:rPr>
                    <w:t>306 751</w:t>
                  </w:r>
                </w:p>
              </w:tc>
            </w:tr>
            <w:tr w:rsidR="00465BE5" w:rsidRPr="00DB0AC3" w:rsidTr="00465BE5">
              <w:trPr>
                <w:trHeight w:val="300"/>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b/>
                      <w:bCs/>
                      <w:color w:val="000000"/>
                      <w:sz w:val="20"/>
                      <w:lang w:val="ru-RU"/>
                    </w:rPr>
                  </w:pPr>
                  <w:r w:rsidRPr="00DB0AC3">
                    <w:rPr>
                      <w:rFonts w:cs="Arial"/>
                      <w:b/>
                      <w:bCs/>
                      <w:color w:val="000000"/>
                      <w:sz w:val="20"/>
                      <w:lang w:val="ru-RU"/>
                    </w:rPr>
                    <w:t>Налоговая база для исчисления налога на прибыль</w:t>
                  </w:r>
                </w:p>
              </w:tc>
              <w:tc>
                <w:tcPr>
                  <w:tcW w:w="850" w:type="pct"/>
                  <w:tcBorders>
                    <w:top w:val="single" w:sz="4" w:space="0" w:color="auto"/>
                    <w:left w:val="nil"/>
                    <w:bottom w:val="nil"/>
                    <w:right w:val="nil"/>
                  </w:tcBorders>
                  <w:shd w:val="clear" w:color="auto" w:fill="auto"/>
                  <w:noWrap/>
                  <w:vAlign w:val="bottom"/>
                  <w:hideMark/>
                </w:tcPr>
                <w:p w:rsidR="00465BE5" w:rsidRPr="00DB0AC3" w:rsidRDefault="000975B5" w:rsidP="00465BE5">
                  <w:pPr>
                    <w:jc w:val="center"/>
                    <w:rPr>
                      <w:rFonts w:cs="Arial"/>
                      <w:b/>
                      <w:bCs/>
                      <w:color w:val="000000"/>
                      <w:sz w:val="20"/>
                      <w:lang w:val="ru-RU"/>
                    </w:rPr>
                  </w:pPr>
                  <w:r w:rsidRPr="00DB0AC3">
                    <w:rPr>
                      <w:rFonts w:cs="Arial"/>
                      <w:b/>
                      <w:bCs/>
                      <w:color w:val="000000"/>
                      <w:sz w:val="20"/>
                      <w:lang w:val="ru-RU"/>
                    </w:rPr>
                    <w:t>1 149 905</w:t>
                  </w:r>
                </w:p>
              </w:tc>
              <w:tc>
                <w:tcPr>
                  <w:tcW w:w="1048" w:type="pct"/>
                  <w:tcBorders>
                    <w:top w:val="single" w:sz="4" w:space="0" w:color="auto"/>
                    <w:left w:val="nil"/>
                    <w:bottom w:val="nil"/>
                    <w:right w:val="nil"/>
                  </w:tcBorders>
                  <w:shd w:val="clear" w:color="auto" w:fill="auto"/>
                  <w:noWrap/>
                  <w:vAlign w:val="bottom"/>
                  <w:hideMark/>
                </w:tcPr>
                <w:p w:rsidR="00465BE5" w:rsidRPr="00DB0AC3" w:rsidRDefault="00465BE5" w:rsidP="00465BE5">
                  <w:pPr>
                    <w:jc w:val="center"/>
                    <w:rPr>
                      <w:rFonts w:cs="Arial"/>
                      <w:b/>
                      <w:bCs/>
                      <w:color w:val="000000"/>
                      <w:sz w:val="20"/>
                    </w:rPr>
                  </w:pPr>
                  <w:r w:rsidRPr="00DB0AC3">
                    <w:rPr>
                      <w:rFonts w:cs="Arial"/>
                      <w:b/>
                      <w:bCs/>
                      <w:color w:val="000000"/>
                      <w:sz w:val="20"/>
                    </w:rPr>
                    <w:t>559 735</w:t>
                  </w:r>
                </w:p>
              </w:tc>
            </w:tr>
            <w:tr w:rsidR="00465BE5" w:rsidRPr="0046554E" w:rsidTr="00465BE5">
              <w:trPr>
                <w:trHeight w:val="315"/>
              </w:trPr>
              <w:tc>
                <w:tcPr>
                  <w:tcW w:w="3102" w:type="pct"/>
                  <w:tcBorders>
                    <w:top w:val="nil"/>
                    <w:left w:val="nil"/>
                    <w:bottom w:val="nil"/>
                    <w:right w:val="nil"/>
                  </w:tcBorders>
                  <w:shd w:val="clear" w:color="auto" w:fill="auto"/>
                  <w:noWrap/>
                  <w:vAlign w:val="bottom"/>
                  <w:hideMark/>
                </w:tcPr>
                <w:p w:rsidR="00465BE5" w:rsidRPr="00DB0AC3" w:rsidRDefault="00465BE5">
                  <w:pPr>
                    <w:rPr>
                      <w:rFonts w:cs="Arial"/>
                      <w:b/>
                      <w:bCs/>
                      <w:color w:val="000000"/>
                      <w:sz w:val="20"/>
                      <w:lang w:val="ru-RU"/>
                    </w:rPr>
                  </w:pPr>
                  <w:r w:rsidRPr="00DB0AC3">
                    <w:rPr>
                      <w:rFonts w:cs="Arial"/>
                      <w:b/>
                      <w:bCs/>
                      <w:color w:val="000000"/>
                      <w:sz w:val="20"/>
                      <w:lang w:val="ru-RU"/>
                    </w:rPr>
                    <w:t>Начисление по уплате налога за отчетный период</w:t>
                  </w:r>
                </w:p>
              </w:tc>
              <w:tc>
                <w:tcPr>
                  <w:tcW w:w="850" w:type="pct"/>
                  <w:tcBorders>
                    <w:top w:val="single" w:sz="4" w:space="0" w:color="auto"/>
                    <w:left w:val="nil"/>
                    <w:bottom w:val="double" w:sz="6" w:space="0" w:color="auto"/>
                    <w:right w:val="nil"/>
                  </w:tcBorders>
                  <w:shd w:val="clear" w:color="auto" w:fill="auto"/>
                  <w:noWrap/>
                  <w:vAlign w:val="bottom"/>
                  <w:hideMark/>
                </w:tcPr>
                <w:p w:rsidR="00465BE5" w:rsidRPr="00DB0AC3" w:rsidRDefault="000975B5" w:rsidP="00465BE5">
                  <w:pPr>
                    <w:jc w:val="center"/>
                    <w:rPr>
                      <w:rFonts w:cs="Arial"/>
                      <w:b/>
                      <w:bCs/>
                      <w:color w:val="000000"/>
                      <w:sz w:val="20"/>
                      <w:lang w:val="ru-RU"/>
                    </w:rPr>
                  </w:pPr>
                  <w:r w:rsidRPr="00DB0AC3">
                    <w:rPr>
                      <w:rFonts w:cs="Arial"/>
                      <w:b/>
                      <w:bCs/>
                      <w:color w:val="000000"/>
                      <w:sz w:val="20"/>
                      <w:lang w:val="ru-RU"/>
                    </w:rPr>
                    <w:t>229 981</w:t>
                  </w:r>
                </w:p>
              </w:tc>
              <w:tc>
                <w:tcPr>
                  <w:tcW w:w="1048" w:type="pct"/>
                  <w:tcBorders>
                    <w:top w:val="single" w:sz="4" w:space="0" w:color="auto"/>
                    <w:left w:val="nil"/>
                    <w:bottom w:val="double" w:sz="6" w:space="0" w:color="auto"/>
                    <w:right w:val="nil"/>
                  </w:tcBorders>
                  <w:shd w:val="clear" w:color="auto" w:fill="auto"/>
                  <w:noWrap/>
                  <w:vAlign w:val="bottom"/>
                  <w:hideMark/>
                </w:tcPr>
                <w:p w:rsidR="00465BE5" w:rsidRPr="00DB0AC3" w:rsidRDefault="00465BE5" w:rsidP="00465BE5">
                  <w:pPr>
                    <w:jc w:val="center"/>
                    <w:rPr>
                      <w:rFonts w:cs="Arial"/>
                      <w:b/>
                      <w:bCs/>
                      <w:color w:val="000000"/>
                      <w:sz w:val="20"/>
                      <w:lang w:val="ru-RU"/>
                    </w:rPr>
                  </w:pPr>
                  <w:r w:rsidRPr="00DB0AC3">
                    <w:rPr>
                      <w:rFonts w:cs="Arial"/>
                      <w:b/>
                      <w:bCs/>
                      <w:color w:val="000000"/>
                      <w:sz w:val="20"/>
                      <w:lang w:val="ru-RU"/>
                    </w:rPr>
                    <w:t>111 947</w:t>
                  </w:r>
                </w:p>
              </w:tc>
            </w:tr>
          </w:tbl>
          <w:p w:rsidR="0021496B" w:rsidRPr="00DB0AC3" w:rsidRDefault="0021496B" w:rsidP="000A19CC">
            <w:pPr>
              <w:rPr>
                <w:rFonts w:cs="Arial"/>
                <w:b/>
                <w:bCs/>
                <w:sz w:val="20"/>
                <w:lang w:val="ru-RU"/>
              </w:rPr>
            </w:pPr>
          </w:p>
          <w:p w:rsidR="0021496B" w:rsidRPr="00DB0AC3" w:rsidRDefault="0021496B" w:rsidP="00A72A3F">
            <w:pPr>
              <w:jc w:val="both"/>
              <w:rPr>
                <w:rFonts w:cs="Arial"/>
                <w:b/>
                <w:bCs/>
                <w:sz w:val="20"/>
                <w:lang w:val="ru-RU"/>
              </w:rPr>
            </w:pPr>
          </w:p>
          <w:p w:rsidR="0021496B" w:rsidRPr="00DB0AC3" w:rsidRDefault="0021496B" w:rsidP="00A72A3F">
            <w:pPr>
              <w:jc w:val="both"/>
              <w:rPr>
                <w:rFonts w:cs="Arial"/>
                <w:color w:val="000000"/>
                <w:sz w:val="20"/>
                <w:lang w:val="ru-RU"/>
              </w:rPr>
            </w:pPr>
            <w:r w:rsidRPr="00DB0AC3">
              <w:rPr>
                <w:rFonts w:cs="Arial"/>
                <w:color w:val="000000"/>
                <w:sz w:val="20"/>
                <w:lang w:val="ru-RU"/>
              </w:rPr>
              <w:t>Различия между МСФО и российским налоговым законодательством приводят к возникновению определенных временных разниц между балансовой стоимостью ряда активов и обязательств в целях составления финансовой отчетности и в целях налогообложения (см. Прим</w:t>
            </w:r>
            <w:r w:rsidR="003606F4">
              <w:rPr>
                <w:rFonts w:cs="Arial"/>
                <w:color w:val="000000"/>
                <w:sz w:val="20"/>
                <w:lang w:val="ru-RU"/>
              </w:rPr>
              <w:t xml:space="preserve">ечание </w:t>
            </w:r>
            <w:r w:rsidRPr="00DB0AC3">
              <w:rPr>
                <w:rFonts w:cs="Arial"/>
                <w:color w:val="000000"/>
                <w:sz w:val="20"/>
                <w:lang w:val="ru-RU"/>
              </w:rPr>
              <w:t>11).</w:t>
            </w:r>
          </w:p>
          <w:p w:rsidR="00A72A3F" w:rsidRPr="00DB0AC3" w:rsidRDefault="00A72A3F" w:rsidP="000A19CC">
            <w:pPr>
              <w:rPr>
                <w:rFonts w:cs="Arial"/>
                <w:color w:val="000000"/>
                <w:sz w:val="20"/>
                <w:lang w:val="ru-RU"/>
              </w:rPr>
            </w:pPr>
          </w:p>
          <w:p w:rsidR="0021496B" w:rsidRPr="00DB0AC3" w:rsidRDefault="0021496B" w:rsidP="003606F4">
            <w:pPr>
              <w:pStyle w:val="210"/>
              <w:shd w:val="clear" w:color="auto" w:fill="auto"/>
              <w:spacing w:line="230" w:lineRule="exact"/>
              <w:ind w:firstLine="0"/>
              <w:jc w:val="both"/>
              <w:rPr>
                <w:b w:val="0"/>
                <w:bCs w:val="0"/>
                <w:color w:val="000000"/>
                <w:sz w:val="20"/>
                <w:szCs w:val="20"/>
              </w:rPr>
            </w:pPr>
            <w:r w:rsidRPr="00DB0AC3">
              <w:rPr>
                <w:b w:val="0"/>
                <w:sz w:val="20"/>
                <w:szCs w:val="20"/>
              </w:rPr>
              <w:t>Прочие значительные налоги уплачиваемые Банком и включенные в состав расходов представлены следующим образом:</w:t>
            </w:r>
          </w:p>
          <w:p w:rsidR="0021496B" w:rsidRPr="00DB0AC3" w:rsidRDefault="0021496B" w:rsidP="000A19CC">
            <w:pPr>
              <w:rPr>
                <w:rFonts w:cs="Arial"/>
                <w:b/>
                <w:bCs/>
                <w:sz w:val="20"/>
                <w:lang w:val="ru-RU"/>
              </w:rPr>
            </w:pPr>
          </w:p>
          <w:tbl>
            <w:tblPr>
              <w:tblW w:w="9680" w:type="dxa"/>
              <w:tblLook w:val="04A0"/>
            </w:tblPr>
            <w:tblGrid>
              <w:gridCol w:w="6537"/>
              <w:gridCol w:w="1368"/>
              <w:gridCol w:w="1388"/>
            </w:tblGrid>
            <w:tr w:rsidR="0021496B" w:rsidRPr="0046554E" w:rsidTr="0021496B">
              <w:trPr>
                <w:trHeight w:val="300"/>
              </w:trPr>
              <w:tc>
                <w:tcPr>
                  <w:tcW w:w="682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p>
              </w:tc>
              <w:tc>
                <w:tcPr>
                  <w:tcW w:w="1420" w:type="dxa"/>
                  <w:tcBorders>
                    <w:top w:val="nil"/>
                    <w:left w:val="nil"/>
                    <w:bottom w:val="single" w:sz="4" w:space="0" w:color="auto"/>
                    <w:right w:val="nil"/>
                  </w:tcBorders>
                  <w:shd w:val="clear" w:color="auto" w:fill="auto"/>
                  <w:noWrap/>
                  <w:vAlign w:val="bottom"/>
                  <w:hideMark/>
                </w:tcPr>
                <w:p w:rsidR="0021496B" w:rsidRPr="00DB0AC3" w:rsidRDefault="0021496B" w:rsidP="00C33E23">
                  <w:pPr>
                    <w:jc w:val="center"/>
                    <w:rPr>
                      <w:rFonts w:cs="Arial"/>
                      <w:b/>
                      <w:bCs/>
                      <w:color w:val="000000"/>
                      <w:sz w:val="20"/>
                      <w:lang w:val="ru-RU"/>
                    </w:rPr>
                  </w:pPr>
                  <w:r w:rsidRPr="00DB0AC3">
                    <w:rPr>
                      <w:rFonts w:cs="Arial"/>
                      <w:b/>
                      <w:bCs/>
                      <w:color w:val="000000"/>
                      <w:sz w:val="20"/>
                      <w:lang w:val="ru-RU"/>
                    </w:rPr>
                    <w:t>2 014</w:t>
                  </w:r>
                </w:p>
              </w:tc>
              <w:tc>
                <w:tcPr>
                  <w:tcW w:w="1440" w:type="dxa"/>
                  <w:tcBorders>
                    <w:top w:val="nil"/>
                    <w:left w:val="nil"/>
                    <w:bottom w:val="single" w:sz="4" w:space="0" w:color="auto"/>
                    <w:right w:val="nil"/>
                  </w:tcBorders>
                  <w:shd w:val="clear" w:color="auto" w:fill="auto"/>
                  <w:noWrap/>
                  <w:vAlign w:val="bottom"/>
                  <w:hideMark/>
                </w:tcPr>
                <w:p w:rsidR="0021496B" w:rsidRPr="00DB0AC3" w:rsidRDefault="0021496B" w:rsidP="00C33E23">
                  <w:pPr>
                    <w:jc w:val="center"/>
                    <w:rPr>
                      <w:rFonts w:cs="Arial"/>
                      <w:b/>
                      <w:bCs/>
                      <w:color w:val="000000"/>
                      <w:sz w:val="20"/>
                      <w:lang w:val="ru-RU"/>
                    </w:rPr>
                  </w:pPr>
                  <w:r w:rsidRPr="00DB0AC3">
                    <w:rPr>
                      <w:rFonts w:cs="Arial"/>
                      <w:b/>
                      <w:bCs/>
                      <w:color w:val="000000"/>
                      <w:sz w:val="20"/>
                      <w:lang w:val="ru-RU"/>
                    </w:rPr>
                    <w:t>2 013</w:t>
                  </w:r>
                </w:p>
              </w:tc>
            </w:tr>
            <w:tr w:rsidR="0021496B" w:rsidRPr="0046554E" w:rsidTr="0021496B">
              <w:trPr>
                <w:trHeight w:val="300"/>
              </w:trPr>
              <w:tc>
                <w:tcPr>
                  <w:tcW w:w="682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r w:rsidRPr="00DB0AC3">
                    <w:rPr>
                      <w:rFonts w:cs="Arial"/>
                      <w:color w:val="000000"/>
                      <w:sz w:val="20"/>
                      <w:lang w:val="ru-RU"/>
                    </w:rPr>
                    <w:t xml:space="preserve">Налог на имущество </w:t>
                  </w:r>
                </w:p>
              </w:tc>
              <w:tc>
                <w:tcPr>
                  <w:tcW w:w="1420" w:type="dxa"/>
                  <w:tcBorders>
                    <w:top w:val="nil"/>
                    <w:left w:val="nil"/>
                    <w:bottom w:val="nil"/>
                    <w:right w:val="nil"/>
                  </w:tcBorders>
                  <w:shd w:val="clear" w:color="auto" w:fill="auto"/>
                  <w:noWrap/>
                  <w:vAlign w:val="bottom"/>
                  <w:hideMark/>
                </w:tcPr>
                <w:p w:rsidR="0021496B" w:rsidRPr="00DB0AC3" w:rsidRDefault="0021496B" w:rsidP="00C33E23">
                  <w:pPr>
                    <w:jc w:val="center"/>
                    <w:rPr>
                      <w:rFonts w:cs="Arial"/>
                      <w:color w:val="000000"/>
                      <w:sz w:val="20"/>
                      <w:lang w:val="ru-RU"/>
                    </w:rPr>
                  </w:pPr>
                  <w:r w:rsidRPr="00DB0AC3">
                    <w:rPr>
                      <w:rFonts w:cs="Arial"/>
                      <w:color w:val="000000"/>
                      <w:sz w:val="20"/>
                      <w:lang w:val="ru-RU"/>
                    </w:rPr>
                    <w:t>35 542</w:t>
                  </w:r>
                </w:p>
              </w:tc>
              <w:tc>
                <w:tcPr>
                  <w:tcW w:w="1440" w:type="dxa"/>
                  <w:tcBorders>
                    <w:top w:val="nil"/>
                    <w:left w:val="nil"/>
                    <w:bottom w:val="nil"/>
                    <w:right w:val="nil"/>
                  </w:tcBorders>
                  <w:shd w:val="clear" w:color="auto" w:fill="auto"/>
                  <w:noWrap/>
                  <w:vAlign w:val="bottom"/>
                  <w:hideMark/>
                </w:tcPr>
                <w:p w:rsidR="0021496B" w:rsidRPr="00DB0AC3" w:rsidRDefault="0021496B" w:rsidP="00C33E23">
                  <w:pPr>
                    <w:jc w:val="center"/>
                    <w:rPr>
                      <w:rFonts w:cs="Arial"/>
                      <w:color w:val="000000"/>
                      <w:sz w:val="20"/>
                      <w:lang w:val="ru-RU"/>
                    </w:rPr>
                  </w:pPr>
                  <w:r w:rsidRPr="00DB0AC3">
                    <w:rPr>
                      <w:rFonts w:cs="Arial"/>
                      <w:color w:val="000000"/>
                      <w:sz w:val="20"/>
                      <w:lang w:val="ru-RU"/>
                    </w:rPr>
                    <w:t>36 745</w:t>
                  </w:r>
                </w:p>
              </w:tc>
            </w:tr>
            <w:tr w:rsidR="0021496B" w:rsidRPr="0046554E" w:rsidTr="0021496B">
              <w:trPr>
                <w:trHeight w:val="300"/>
              </w:trPr>
              <w:tc>
                <w:tcPr>
                  <w:tcW w:w="682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r w:rsidRPr="00DB0AC3">
                    <w:rPr>
                      <w:rFonts w:cs="Arial"/>
                      <w:color w:val="000000"/>
                      <w:sz w:val="20"/>
                      <w:lang w:val="ru-RU"/>
                    </w:rPr>
                    <w:t>Невозмещаемый НДС</w:t>
                  </w:r>
                </w:p>
              </w:tc>
              <w:tc>
                <w:tcPr>
                  <w:tcW w:w="1420" w:type="dxa"/>
                  <w:tcBorders>
                    <w:top w:val="nil"/>
                    <w:left w:val="nil"/>
                    <w:bottom w:val="nil"/>
                    <w:right w:val="nil"/>
                  </w:tcBorders>
                  <w:shd w:val="clear" w:color="auto" w:fill="auto"/>
                  <w:noWrap/>
                  <w:vAlign w:val="bottom"/>
                  <w:hideMark/>
                </w:tcPr>
                <w:p w:rsidR="0021496B" w:rsidRPr="00DB0AC3" w:rsidRDefault="0021496B" w:rsidP="00C33E23">
                  <w:pPr>
                    <w:jc w:val="center"/>
                    <w:rPr>
                      <w:rFonts w:cs="Arial"/>
                      <w:color w:val="000000"/>
                      <w:sz w:val="20"/>
                      <w:lang w:val="ru-RU"/>
                    </w:rPr>
                  </w:pPr>
                  <w:r w:rsidRPr="00DB0AC3">
                    <w:rPr>
                      <w:rFonts w:cs="Arial"/>
                      <w:color w:val="000000"/>
                      <w:sz w:val="20"/>
                      <w:lang w:val="ru-RU"/>
                    </w:rPr>
                    <w:t>16 723</w:t>
                  </w:r>
                </w:p>
              </w:tc>
              <w:tc>
                <w:tcPr>
                  <w:tcW w:w="1440" w:type="dxa"/>
                  <w:tcBorders>
                    <w:top w:val="nil"/>
                    <w:left w:val="nil"/>
                    <w:bottom w:val="nil"/>
                    <w:right w:val="nil"/>
                  </w:tcBorders>
                  <w:shd w:val="clear" w:color="auto" w:fill="auto"/>
                  <w:noWrap/>
                  <w:vAlign w:val="bottom"/>
                  <w:hideMark/>
                </w:tcPr>
                <w:p w:rsidR="0021496B" w:rsidRPr="00DB0AC3" w:rsidRDefault="0021496B" w:rsidP="00C33E23">
                  <w:pPr>
                    <w:jc w:val="center"/>
                    <w:rPr>
                      <w:rFonts w:cs="Arial"/>
                      <w:color w:val="000000"/>
                      <w:sz w:val="20"/>
                      <w:lang w:val="ru-RU"/>
                    </w:rPr>
                  </w:pPr>
                  <w:r w:rsidRPr="00DB0AC3">
                    <w:rPr>
                      <w:rFonts w:cs="Arial"/>
                      <w:color w:val="000000"/>
                      <w:sz w:val="20"/>
                      <w:lang w:val="ru-RU"/>
                    </w:rPr>
                    <w:t>20 933</w:t>
                  </w:r>
                </w:p>
              </w:tc>
            </w:tr>
            <w:tr w:rsidR="0021496B" w:rsidRPr="0046554E" w:rsidTr="0021496B">
              <w:trPr>
                <w:trHeight w:val="300"/>
              </w:trPr>
              <w:tc>
                <w:tcPr>
                  <w:tcW w:w="682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r w:rsidRPr="00DB0AC3">
                    <w:rPr>
                      <w:rFonts w:cs="Arial"/>
                      <w:color w:val="000000"/>
                      <w:sz w:val="20"/>
                      <w:lang w:val="ru-RU"/>
                    </w:rPr>
                    <w:t>Прочие налоги</w:t>
                  </w:r>
                </w:p>
              </w:tc>
              <w:tc>
                <w:tcPr>
                  <w:tcW w:w="1420" w:type="dxa"/>
                  <w:tcBorders>
                    <w:top w:val="nil"/>
                    <w:left w:val="nil"/>
                    <w:bottom w:val="nil"/>
                    <w:right w:val="nil"/>
                  </w:tcBorders>
                  <w:shd w:val="clear" w:color="auto" w:fill="auto"/>
                  <w:noWrap/>
                  <w:vAlign w:val="bottom"/>
                  <w:hideMark/>
                </w:tcPr>
                <w:p w:rsidR="0021496B" w:rsidRPr="00DB0AC3" w:rsidRDefault="0021496B" w:rsidP="00C33E23">
                  <w:pPr>
                    <w:jc w:val="center"/>
                    <w:rPr>
                      <w:rFonts w:cs="Arial"/>
                      <w:color w:val="000000"/>
                      <w:sz w:val="20"/>
                      <w:lang w:val="ru-RU"/>
                    </w:rPr>
                  </w:pPr>
                  <w:r w:rsidRPr="00DB0AC3">
                    <w:rPr>
                      <w:rFonts w:cs="Arial"/>
                      <w:color w:val="000000"/>
                      <w:sz w:val="20"/>
                      <w:lang w:val="ru-RU"/>
                    </w:rPr>
                    <w:t>5 571</w:t>
                  </w:r>
                </w:p>
              </w:tc>
              <w:tc>
                <w:tcPr>
                  <w:tcW w:w="1440" w:type="dxa"/>
                  <w:tcBorders>
                    <w:top w:val="nil"/>
                    <w:left w:val="nil"/>
                    <w:bottom w:val="nil"/>
                    <w:right w:val="nil"/>
                  </w:tcBorders>
                  <w:shd w:val="clear" w:color="auto" w:fill="auto"/>
                  <w:noWrap/>
                  <w:vAlign w:val="bottom"/>
                  <w:hideMark/>
                </w:tcPr>
                <w:p w:rsidR="0021496B" w:rsidRPr="00DB0AC3" w:rsidRDefault="0021496B" w:rsidP="00C33E23">
                  <w:pPr>
                    <w:jc w:val="center"/>
                    <w:rPr>
                      <w:rFonts w:cs="Arial"/>
                      <w:color w:val="000000"/>
                      <w:sz w:val="20"/>
                      <w:lang w:val="ru-RU"/>
                    </w:rPr>
                  </w:pPr>
                  <w:r w:rsidRPr="00DB0AC3">
                    <w:rPr>
                      <w:rFonts w:cs="Arial"/>
                      <w:color w:val="000000"/>
                      <w:sz w:val="20"/>
                      <w:lang w:val="ru-RU"/>
                    </w:rPr>
                    <w:t>1 796</w:t>
                  </w:r>
                </w:p>
              </w:tc>
            </w:tr>
            <w:tr w:rsidR="0021496B" w:rsidRPr="0046554E" w:rsidTr="0021496B">
              <w:trPr>
                <w:trHeight w:val="315"/>
              </w:trPr>
              <w:tc>
                <w:tcPr>
                  <w:tcW w:w="6820" w:type="dxa"/>
                  <w:tcBorders>
                    <w:top w:val="nil"/>
                    <w:left w:val="nil"/>
                    <w:bottom w:val="nil"/>
                    <w:right w:val="nil"/>
                  </w:tcBorders>
                  <w:shd w:val="clear" w:color="auto" w:fill="auto"/>
                  <w:noWrap/>
                  <w:vAlign w:val="bottom"/>
                  <w:hideMark/>
                </w:tcPr>
                <w:p w:rsidR="0021496B" w:rsidRPr="00DB0AC3" w:rsidRDefault="0021496B" w:rsidP="0021496B">
                  <w:pPr>
                    <w:rPr>
                      <w:rFonts w:cs="Arial"/>
                      <w:b/>
                      <w:bCs/>
                      <w:color w:val="000000"/>
                      <w:sz w:val="20"/>
                      <w:lang w:val="ru-RU"/>
                    </w:rPr>
                  </w:pPr>
                  <w:r w:rsidRPr="00DB0AC3">
                    <w:rPr>
                      <w:rFonts w:cs="Arial"/>
                      <w:b/>
                      <w:bCs/>
                      <w:color w:val="000000"/>
                      <w:sz w:val="20"/>
                      <w:lang w:val="ru-RU"/>
                    </w:rPr>
                    <w:t>Итого прочие налоги (Прим.26)</w:t>
                  </w:r>
                </w:p>
              </w:tc>
              <w:tc>
                <w:tcPr>
                  <w:tcW w:w="1420" w:type="dxa"/>
                  <w:tcBorders>
                    <w:top w:val="single" w:sz="4" w:space="0" w:color="auto"/>
                    <w:left w:val="nil"/>
                    <w:bottom w:val="double" w:sz="6" w:space="0" w:color="auto"/>
                    <w:right w:val="nil"/>
                  </w:tcBorders>
                  <w:shd w:val="clear" w:color="auto" w:fill="auto"/>
                  <w:noWrap/>
                  <w:vAlign w:val="bottom"/>
                  <w:hideMark/>
                </w:tcPr>
                <w:p w:rsidR="0021496B" w:rsidRPr="00DB0AC3" w:rsidRDefault="0021496B" w:rsidP="00C33E23">
                  <w:pPr>
                    <w:jc w:val="center"/>
                    <w:rPr>
                      <w:rFonts w:cs="Arial"/>
                      <w:b/>
                      <w:bCs/>
                      <w:color w:val="000000"/>
                      <w:sz w:val="20"/>
                      <w:lang w:val="ru-RU"/>
                    </w:rPr>
                  </w:pPr>
                  <w:r w:rsidRPr="00DB0AC3">
                    <w:rPr>
                      <w:rFonts w:cs="Arial"/>
                      <w:b/>
                      <w:bCs/>
                      <w:color w:val="000000"/>
                      <w:sz w:val="20"/>
                      <w:lang w:val="ru-RU"/>
                    </w:rPr>
                    <w:t>57 836</w:t>
                  </w:r>
                </w:p>
              </w:tc>
              <w:tc>
                <w:tcPr>
                  <w:tcW w:w="1440" w:type="dxa"/>
                  <w:tcBorders>
                    <w:top w:val="single" w:sz="4" w:space="0" w:color="auto"/>
                    <w:left w:val="nil"/>
                    <w:bottom w:val="double" w:sz="6" w:space="0" w:color="auto"/>
                    <w:right w:val="nil"/>
                  </w:tcBorders>
                  <w:shd w:val="clear" w:color="auto" w:fill="auto"/>
                  <w:noWrap/>
                  <w:vAlign w:val="bottom"/>
                  <w:hideMark/>
                </w:tcPr>
                <w:p w:rsidR="0021496B" w:rsidRPr="00DB0AC3" w:rsidRDefault="0021496B" w:rsidP="00C33E23">
                  <w:pPr>
                    <w:jc w:val="center"/>
                    <w:rPr>
                      <w:rFonts w:cs="Arial"/>
                      <w:b/>
                      <w:bCs/>
                      <w:color w:val="000000"/>
                      <w:sz w:val="20"/>
                      <w:lang w:val="ru-RU"/>
                    </w:rPr>
                  </w:pPr>
                  <w:r w:rsidRPr="00DB0AC3">
                    <w:rPr>
                      <w:rFonts w:cs="Arial"/>
                      <w:b/>
                      <w:bCs/>
                      <w:color w:val="000000"/>
                      <w:sz w:val="20"/>
                      <w:lang w:val="ru-RU"/>
                    </w:rPr>
                    <w:t>59 474</w:t>
                  </w:r>
                </w:p>
              </w:tc>
            </w:tr>
            <w:tr w:rsidR="0021496B" w:rsidRPr="0046554E" w:rsidTr="0021496B">
              <w:trPr>
                <w:trHeight w:val="315"/>
              </w:trPr>
              <w:tc>
                <w:tcPr>
                  <w:tcW w:w="682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p>
              </w:tc>
              <w:tc>
                <w:tcPr>
                  <w:tcW w:w="142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p>
              </w:tc>
              <w:tc>
                <w:tcPr>
                  <w:tcW w:w="1440" w:type="dxa"/>
                  <w:tcBorders>
                    <w:top w:val="nil"/>
                    <w:left w:val="nil"/>
                    <w:bottom w:val="nil"/>
                    <w:right w:val="nil"/>
                  </w:tcBorders>
                  <w:shd w:val="clear" w:color="auto" w:fill="auto"/>
                  <w:noWrap/>
                  <w:vAlign w:val="bottom"/>
                  <w:hideMark/>
                </w:tcPr>
                <w:p w:rsidR="0021496B" w:rsidRPr="00DB0AC3" w:rsidRDefault="0021496B" w:rsidP="0021496B">
                  <w:pPr>
                    <w:rPr>
                      <w:rFonts w:cs="Arial"/>
                      <w:color w:val="000000"/>
                      <w:sz w:val="20"/>
                      <w:lang w:val="ru-RU"/>
                    </w:rPr>
                  </w:pPr>
                </w:p>
              </w:tc>
            </w:tr>
          </w:tbl>
          <w:p w:rsidR="0021496B" w:rsidRPr="00DB0AC3" w:rsidRDefault="0021496B" w:rsidP="00A72A3F">
            <w:pPr>
              <w:pStyle w:val="210"/>
              <w:shd w:val="clear" w:color="auto" w:fill="auto"/>
              <w:spacing w:line="230" w:lineRule="exact"/>
              <w:ind w:firstLine="0"/>
              <w:jc w:val="both"/>
              <w:rPr>
                <w:sz w:val="20"/>
                <w:szCs w:val="20"/>
              </w:rPr>
            </w:pPr>
            <w:r w:rsidRPr="00DB0AC3">
              <w:rPr>
                <w:b w:val="0"/>
                <w:sz w:val="20"/>
                <w:szCs w:val="20"/>
              </w:rPr>
              <w:t>Налог на имущество рассчитывается по ставке 2,2% (201</w:t>
            </w:r>
            <w:r w:rsidR="00C33E23" w:rsidRPr="00DB0AC3">
              <w:rPr>
                <w:b w:val="0"/>
                <w:sz w:val="20"/>
                <w:szCs w:val="20"/>
              </w:rPr>
              <w:t>3</w:t>
            </w:r>
            <w:r w:rsidRPr="00DB0AC3">
              <w:rPr>
                <w:b w:val="0"/>
                <w:sz w:val="20"/>
                <w:szCs w:val="20"/>
              </w:rPr>
              <w:t>: 2,2%) на стоимость активов в соответствии с правилами Российского бухгалтерского учета. Большая часть доходов от услуг банковской деятельности не облагается налогом на добавленную стоимость и, соответственно,</w:t>
            </w:r>
            <w:r w:rsidR="00B2704D">
              <w:rPr>
                <w:b w:val="0"/>
                <w:sz w:val="20"/>
                <w:szCs w:val="20"/>
              </w:rPr>
              <w:t xml:space="preserve"> </w:t>
            </w:r>
            <w:r w:rsidRPr="00DB0AC3">
              <w:rPr>
                <w:rStyle w:val="25"/>
                <w:bCs/>
                <w:color w:val="000000"/>
                <w:sz w:val="20"/>
                <w:szCs w:val="20"/>
              </w:rPr>
              <w:lastRenderedPageBreak/>
              <w:t>вхо</w:t>
            </w:r>
            <w:r w:rsidR="00AE59A4">
              <w:rPr>
                <w:rStyle w:val="25"/>
                <w:bCs/>
                <w:color w:val="000000"/>
                <w:sz w:val="20"/>
                <w:szCs w:val="20"/>
              </w:rPr>
              <w:t>д</w:t>
            </w:r>
            <w:r w:rsidR="00A72A3F" w:rsidRPr="00DB0AC3">
              <w:rPr>
                <w:rStyle w:val="25"/>
                <w:bCs/>
                <w:color w:val="000000"/>
                <w:sz w:val="20"/>
                <w:szCs w:val="20"/>
              </w:rPr>
              <w:t>ящий</w:t>
            </w:r>
            <w:r w:rsidRPr="00DB0AC3">
              <w:rPr>
                <w:rStyle w:val="25"/>
                <w:bCs/>
                <w:color w:val="000000"/>
                <w:sz w:val="20"/>
                <w:szCs w:val="20"/>
              </w:rPr>
              <w:t xml:space="preserve"> НДС относится на расходы.</w:t>
            </w:r>
          </w:p>
          <w:p w:rsidR="0021496B" w:rsidRPr="00DB0AC3" w:rsidRDefault="0021496B" w:rsidP="000A19CC">
            <w:pPr>
              <w:rPr>
                <w:rFonts w:cs="Arial"/>
                <w:b/>
                <w:bCs/>
                <w:sz w:val="20"/>
                <w:lang w:val="ru-RU"/>
              </w:rPr>
            </w:pPr>
          </w:p>
          <w:p w:rsidR="0021496B" w:rsidRPr="00DB0AC3" w:rsidRDefault="0021496B" w:rsidP="000A19CC">
            <w:pPr>
              <w:rPr>
                <w:rFonts w:cs="Arial"/>
                <w:b/>
                <w:bCs/>
                <w:sz w:val="20"/>
                <w:lang w:val="ru-RU"/>
              </w:rPr>
            </w:pPr>
          </w:p>
        </w:tc>
        <w:tc>
          <w:tcPr>
            <w:tcW w:w="976" w:type="dxa"/>
            <w:tcBorders>
              <w:left w:val="nil"/>
              <w:bottom w:val="nil"/>
              <w:right w:val="nil"/>
            </w:tcBorders>
            <w:shd w:val="clear" w:color="000000" w:fill="FFFFFF"/>
            <w:vAlign w:val="center"/>
          </w:tcPr>
          <w:p w:rsidR="004B4C42" w:rsidRPr="00DB0AC3" w:rsidRDefault="004B4C42" w:rsidP="009D6A10">
            <w:pPr>
              <w:jc w:val="right"/>
              <w:rPr>
                <w:rFonts w:cs="Arial"/>
                <w:b/>
                <w:bCs/>
                <w:color w:val="000000"/>
                <w:sz w:val="20"/>
                <w:lang w:val="ru-RU"/>
              </w:rPr>
            </w:pPr>
          </w:p>
        </w:tc>
      </w:tr>
    </w:tbl>
    <w:p w:rsidR="006572FF" w:rsidRPr="00DB0AC3" w:rsidRDefault="004952E3" w:rsidP="00B46FF5">
      <w:pPr>
        <w:pStyle w:val="1"/>
        <w:keepNext w:val="0"/>
        <w:widowControl w:val="0"/>
        <w:spacing w:before="0"/>
        <w:rPr>
          <w:rFonts w:cs="Arial"/>
          <w:szCs w:val="24"/>
          <w:lang w:val="ru-RU"/>
        </w:rPr>
      </w:pPr>
      <w:bookmarkStart w:id="212" w:name="_Дивиденды"/>
      <w:bookmarkStart w:id="213" w:name="_Ref113248797"/>
      <w:bookmarkStart w:id="214" w:name="_Ref113248911"/>
      <w:bookmarkStart w:id="215" w:name="_Toc336184063"/>
      <w:bookmarkStart w:id="216" w:name="_Toc338330552"/>
      <w:bookmarkStart w:id="217" w:name="_Toc416086235"/>
      <w:bookmarkStart w:id="218" w:name="_Toc441479816"/>
      <w:bookmarkEnd w:id="212"/>
      <w:r w:rsidRPr="00DB0AC3">
        <w:rPr>
          <w:rFonts w:cs="Arial"/>
          <w:szCs w:val="24"/>
          <w:lang w:val="ru-RU"/>
        </w:rPr>
        <w:lastRenderedPageBreak/>
        <w:t>Дивиденды</w:t>
      </w:r>
      <w:bookmarkEnd w:id="213"/>
      <w:bookmarkEnd w:id="214"/>
      <w:bookmarkEnd w:id="215"/>
      <w:bookmarkEnd w:id="216"/>
      <w:bookmarkEnd w:id="217"/>
      <w:bookmarkEnd w:id="218"/>
    </w:p>
    <w:p w:rsidR="002F3653" w:rsidRPr="00DB0AC3" w:rsidRDefault="002F3653" w:rsidP="002F3653">
      <w:pPr>
        <w:rPr>
          <w:rFonts w:cs="Arial"/>
          <w:szCs w:val="18"/>
          <w:lang w:val="ru-RU"/>
        </w:rPr>
      </w:pPr>
      <w:r w:rsidRPr="00DB0AC3">
        <w:rPr>
          <w:rFonts w:cs="Arial"/>
          <w:szCs w:val="18"/>
          <w:lang w:val="ru-RU"/>
        </w:rPr>
        <w:t>Движение по дивидендам представлено в следующей таблице:</w:t>
      </w:r>
    </w:p>
    <w:tbl>
      <w:tblPr>
        <w:tblW w:w="9898" w:type="dxa"/>
        <w:tblInd w:w="93" w:type="dxa"/>
        <w:tblLayout w:type="fixed"/>
        <w:tblLook w:val="04A0"/>
      </w:tblPr>
      <w:tblGrid>
        <w:gridCol w:w="2374"/>
        <w:gridCol w:w="1469"/>
        <w:gridCol w:w="1405"/>
        <w:gridCol w:w="863"/>
        <w:gridCol w:w="1418"/>
        <w:gridCol w:w="1407"/>
        <w:gridCol w:w="962"/>
      </w:tblGrid>
      <w:tr w:rsidR="002F3653" w:rsidRPr="00DB0AC3" w:rsidTr="008D183B">
        <w:trPr>
          <w:trHeight w:val="300"/>
        </w:trPr>
        <w:tc>
          <w:tcPr>
            <w:tcW w:w="2374" w:type="dxa"/>
            <w:tcBorders>
              <w:top w:val="nil"/>
              <w:left w:val="nil"/>
              <w:bottom w:val="nil"/>
              <w:right w:val="nil"/>
            </w:tcBorders>
            <w:shd w:val="clear" w:color="auto" w:fill="auto"/>
            <w:noWrap/>
            <w:vAlign w:val="bottom"/>
            <w:hideMark/>
          </w:tcPr>
          <w:p w:rsidR="002F3653" w:rsidRPr="00DB0AC3" w:rsidRDefault="002F3653" w:rsidP="002F3653">
            <w:pPr>
              <w:rPr>
                <w:rFonts w:cs="Arial"/>
                <w:color w:val="000000"/>
                <w:szCs w:val="18"/>
                <w:lang w:val="ru-RU"/>
              </w:rPr>
            </w:pPr>
          </w:p>
        </w:tc>
        <w:tc>
          <w:tcPr>
            <w:tcW w:w="3737" w:type="dxa"/>
            <w:gridSpan w:val="3"/>
            <w:tcBorders>
              <w:top w:val="nil"/>
              <w:left w:val="nil"/>
              <w:bottom w:val="single" w:sz="4" w:space="0" w:color="auto"/>
              <w:right w:val="nil"/>
            </w:tcBorders>
            <w:shd w:val="clear" w:color="auto" w:fill="auto"/>
            <w:noWrap/>
            <w:vAlign w:val="bottom"/>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2014</w:t>
            </w:r>
          </w:p>
        </w:tc>
        <w:tc>
          <w:tcPr>
            <w:tcW w:w="3787" w:type="dxa"/>
            <w:gridSpan w:val="3"/>
            <w:tcBorders>
              <w:top w:val="nil"/>
              <w:left w:val="nil"/>
              <w:bottom w:val="single" w:sz="4" w:space="0" w:color="auto"/>
              <w:right w:val="nil"/>
            </w:tcBorders>
            <w:shd w:val="clear" w:color="auto" w:fill="auto"/>
            <w:noWrap/>
            <w:vAlign w:val="bottom"/>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2013</w:t>
            </w:r>
          </w:p>
        </w:tc>
      </w:tr>
      <w:tr w:rsidR="002F3653" w:rsidRPr="00DB0AC3" w:rsidTr="008D183B">
        <w:trPr>
          <w:trHeight w:val="900"/>
        </w:trPr>
        <w:tc>
          <w:tcPr>
            <w:tcW w:w="2374" w:type="dxa"/>
            <w:tcBorders>
              <w:top w:val="nil"/>
              <w:left w:val="nil"/>
              <w:bottom w:val="nil"/>
              <w:right w:val="nil"/>
            </w:tcBorders>
            <w:shd w:val="clear" w:color="auto" w:fill="auto"/>
            <w:noWrap/>
            <w:vAlign w:val="bottom"/>
            <w:hideMark/>
          </w:tcPr>
          <w:p w:rsidR="002F3653" w:rsidRPr="00DB0AC3" w:rsidRDefault="002F3653" w:rsidP="002F3653">
            <w:pPr>
              <w:rPr>
                <w:rFonts w:cs="Arial"/>
                <w:color w:val="000000"/>
                <w:szCs w:val="18"/>
                <w:lang w:val="ru-RU"/>
              </w:rPr>
            </w:pPr>
          </w:p>
        </w:tc>
        <w:tc>
          <w:tcPr>
            <w:tcW w:w="1469" w:type="dxa"/>
            <w:tcBorders>
              <w:top w:val="nil"/>
              <w:left w:val="nil"/>
              <w:bottom w:val="single" w:sz="4" w:space="0" w:color="auto"/>
              <w:right w:val="nil"/>
            </w:tcBorders>
            <w:shd w:val="clear" w:color="auto" w:fill="auto"/>
            <w:vAlign w:val="center"/>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Обыкновен-ные акции</w:t>
            </w:r>
          </w:p>
        </w:tc>
        <w:tc>
          <w:tcPr>
            <w:tcW w:w="1405" w:type="dxa"/>
            <w:tcBorders>
              <w:top w:val="nil"/>
              <w:left w:val="nil"/>
              <w:bottom w:val="single" w:sz="4" w:space="0" w:color="auto"/>
              <w:right w:val="nil"/>
            </w:tcBorders>
            <w:shd w:val="clear" w:color="auto" w:fill="auto"/>
            <w:vAlign w:val="center"/>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Привилеги-рованные акции</w:t>
            </w:r>
          </w:p>
        </w:tc>
        <w:tc>
          <w:tcPr>
            <w:tcW w:w="863" w:type="dxa"/>
            <w:tcBorders>
              <w:top w:val="nil"/>
              <w:left w:val="nil"/>
              <w:bottom w:val="single" w:sz="4" w:space="0" w:color="auto"/>
              <w:right w:val="nil"/>
            </w:tcBorders>
            <w:shd w:val="clear" w:color="auto" w:fill="auto"/>
            <w:vAlign w:val="center"/>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Итого</w:t>
            </w:r>
          </w:p>
        </w:tc>
        <w:tc>
          <w:tcPr>
            <w:tcW w:w="1418" w:type="dxa"/>
            <w:tcBorders>
              <w:top w:val="nil"/>
              <w:left w:val="nil"/>
              <w:bottom w:val="single" w:sz="4" w:space="0" w:color="auto"/>
              <w:right w:val="nil"/>
            </w:tcBorders>
            <w:shd w:val="clear" w:color="auto" w:fill="auto"/>
            <w:vAlign w:val="center"/>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Обыкновен-ные акции</w:t>
            </w:r>
          </w:p>
        </w:tc>
        <w:tc>
          <w:tcPr>
            <w:tcW w:w="1407" w:type="dxa"/>
            <w:tcBorders>
              <w:top w:val="nil"/>
              <w:left w:val="nil"/>
              <w:bottom w:val="single" w:sz="4" w:space="0" w:color="auto"/>
              <w:right w:val="nil"/>
            </w:tcBorders>
            <w:shd w:val="clear" w:color="auto" w:fill="auto"/>
            <w:vAlign w:val="center"/>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Привилеги-</w:t>
            </w:r>
            <w:r w:rsidRPr="00DB0AC3">
              <w:rPr>
                <w:rFonts w:cs="Arial"/>
                <w:b/>
                <w:bCs/>
                <w:color w:val="000000"/>
                <w:szCs w:val="18"/>
                <w:lang w:val="ru-RU"/>
              </w:rPr>
              <w:br/>
              <w:t>рованные акции</w:t>
            </w:r>
          </w:p>
        </w:tc>
        <w:tc>
          <w:tcPr>
            <w:tcW w:w="962" w:type="dxa"/>
            <w:tcBorders>
              <w:top w:val="nil"/>
              <w:left w:val="nil"/>
              <w:bottom w:val="single" w:sz="4" w:space="0" w:color="auto"/>
              <w:right w:val="nil"/>
            </w:tcBorders>
            <w:shd w:val="clear" w:color="auto" w:fill="auto"/>
            <w:vAlign w:val="center"/>
            <w:hideMark/>
          </w:tcPr>
          <w:p w:rsidR="002F3653" w:rsidRPr="00DB0AC3" w:rsidRDefault="002F3653" w:rsidP="002F3653">
            <w:pPr>
              <w:jc w:val="center"/>
              <w:rPr>
                <w:rFonts w:cs="Arial"/>
                <w:b/>
                <w:bCs/>
                <w:color w:val="000000"/>
                <w:szCs w:val="18"/>
                <w:lang w:val="ru-RU"/>
              </w:rPr>
            </w:pPr>
            <w:r w:rsidRPr="00DB0AC3">
              <w:rPr>
                <w:rFonts w:cs="Arial"/>
                <w:b/>
                <w:bCs/>
                <w:color w:val="000000"/>
                <w:szCs w:val="18"/>
                <w:lang w:val="ru-RU"/>
              </w:rPr>
              <w:t>Итого</w:t>
            </w:r>
          </w:p>
        </w:tc>
      </w:tr>
      <w:tr w:rsidR="002F3653" w:rsidRPr="00DB0AC3" w:rsidTr="008D183B">
        <w:trPr>
          <w:trHeight w:val="300"/>
        </w:trPr>
        <w:tc>
          <w:tcPr>
            <w:tcW w:w="2374" w:type="dxa"/>
            <w:tcBorders>
              <w:top w:val="nil"/>
              <w:left w:val="nil"/>
              <w:bottom w:val="nil"/>
              <w:right w:val="nil"/>
            </w:tcBorders>
            <w:shd w:val="clear" w:color="auto" w:fill="auto"/>
            <w:noWrap/>
            <w:vAlign w:val="bottom"/>
            <w:hideMark/>
          </w:tcPr>
          <w:p w:rsidR="002F3653" w:rsidRPr="00DB0AC3" w:rsidRDefault="002F3653" w:rsidP="002F3653">
            <w:pPr>
              <w:rPr>
                <w:rFonts w:cs="Arial"/>
                <w:b/>
                <w:bCs/>
                <w:color w:val="000000"/>
                <w:szCs w:val="18"/>
                <w:lang w:val="ru-RU"/>
              </w:rPr>
            </w:pPr>
            <w:r w:rsidRPr="00DB0AC3">
              <w:rPr>
                <w:rFonts w:cs="Arial"/>
                <w:b/>
                <w:bCs/>
                <w:color w:val="000000"/>
                <w:szCs w:val="18"/>
                <w:lang w:val="ru-RU"/>
              </w:rPr>
              <w:t>К выплате на 1 января</w:t>
            </w:r>
          </w:p>
        </w:tc>
        <w:tc>
          <w:tcPr>
            <w:tcW w:w="1469" w:type="dxa"/>
            <w:tcBorders>
              <w:top w:val="nil"/>
              <w:left w:val="nil"/>
              <w:bottom w:val="nil"/>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398</w:t>
            </w:r>
          </w:p>
        </w:tc>
        <w:tc>
          <w:tcPr>
            <w:tcW w:w="1405" w:type="dxa"/>
            <w:tcBorders>
              <w:top w:val="nil"/>
              <w:left w:val="nil"/>
              <w:bottom w:val="nil"/>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w:t>
            </w:r>
          </w:p>
        </w:tc>
        <w:tc>
          <w:tcPr>
            <w:tcW w:w="863" w:type="dxa"/>
            <w:tcBorders>
              <w:top w:val="nil"/>
              <w:left w:val="nil"/>
              <w:bottom w:val="nil"/>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398</w:t>
            </w:r>
          </w:p>
        </w:tc>
        <w:tc>
          <w:tcPr>
            <w:tcW w:w="1418" w:type="dxa"/>
            <w:tcBorders>
              <w:top w:val="nil"/>
              <w:left w:val="nil"/>
              <w:bottom w:val="nil"/>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476</w:t>
            </w:r>
          </w:p>
        </w:tc>
        <w:tc>
          <w:tcPr>
            <w:tcW w:w="1407" w:type="dxa"/>
            <w:tcBorders>
              <w:top w:val="nil"/>
              <w:left w:val="nil"/>
              <w:bottom w:val="nil"/>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w:t>
            </w:r>
          </w:p>
        </w:tc>
        <w:tc>
          <w:tcPr>
            <w:tcW w:w="962" w:type="dxa"/>
            <w:tcBorders>
              <w:top w:val="nil"/>
              <w:left w:val="nil"/>
              <w:bottom w:val="nil"/>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476</w:t>
            </w:r>
          </w:p>
        </w:tc>
      </w:tr>
      <w:tr w:rsidR="0074518C" w:rsidRPr="00DB0AC3" w:rsidTr="008D183B">
        <w:trPr>
          <w:trHeight w:val="900"/>
        </w:trPr>
        <w:tc>
          <w:tcPr>
            <w:tcW w:w="2374" w:type="dxa"/>
            <w:tcBorders>
              <w:top w:val="nil"/>
              <w:left w:val="nil"/>
              <w:bottom w:val="nil"/>
              <w:right w:val="nil"/>
            </w:tcBorders>
            <w:shd w:val="clear" w:color="auto" w:fill="auto"/>
            <w:vAlign w:val="bottom"/>
            <w:hideMark/>
          </w:tcPr>
          <w:p w:rsidR="0074518C" w:rsidRPr="00DB0AC3" w:rsidRDefault="0074518C" w:rsidP="002F3653">
            <w:pPr>
              <w:rPr>
                <w:rFonts w:cs="Arial"/>
                <w:color w:val="000000"/>
                <w:szCs w:val="18"/>
                <w:lang w:val="ru-RU"/>
              </w:rPr>
            </w:pPr>
            <w:r w:rsidRPr="00DB0AC3">
              <w:rPr>
                <w:rFonts w:cs="Arial"/>
                <w:color w:val="000000"/>
                <w:szCs w:val="18"/>
                <w:lang w:val="ru-RU"/>
              </w:rPr>
              <w:t>Дивиденды, объявленные в течение года</w:t>
            </w:r>
          </w:p>
        </w:tc>
        <w:tc>
          <w:tcPr>
            <w:tcW w:w="1469" w:type="dxa"/>
            <w:tcBorders>
              <w:top w:val="nil"/>
              <w:left w:val="nil"/>
              <w:bottom w:val="nil"/>
              <w:right w:val="nil"/>
            </w:tcBorders>
            <w:shd w:val="clear" w:color="auto" w:fill="auto"/>
            <w:noWrap/>
            <w:vAlign w:val="bottom"/>
            <w:hideMark/>
          </w:tcPr>
          <w:p w:rsidR="0074518C" w:rsidRPr="00DB0AC3" w:rsidRDefault="0074518C" w:rsidP="008D183B">
            <w:pPr>
              <w:jc w:val="right"/>
              <w:rPr>
                <w:rFonts w:cs="Arial"/>
                <w:color w:val="000000"/>
                <w:szCs w:val="18"/>
                <w:lang w:val="ru-RU"/>
              </w:rPr>
            </w:pPr>
            <w:r w:rsidRPr="00DB0AC3">
              <w:rPr>
                <w:rFonts w:cs="Arial"/>
                <w:color w:val="000000"/>
                <w:szCs w:val="18"/>
                <w:lang w:val="ru-RU"/>
              </w:rPr>
              <w:t>-</w:t>
            </w:r>
          </w:p>
        </w:tc>
        <w:tc>
          <w:tcPr>
            <w:tcW w:w="1405" w:type="dxa"/>
            <w:tcBorders>
              <w:top w:val="nil"/>
              <w:left w:val="nil"/>
              <w:bottom w:val="nil"/>
              <w:right w:val="nil"/>
            </w:tcBorders>
            <w:shd w:val="clear" w:color="auto" w:fill="auto"/>
            <w:noWrap/>
            <w:vAlign w:val="bottom"/>
            <w:hideMark/>
          </w:tcPr>
          <w:p w:rsidR="0074518C" w:rsidRPr="00DB0AC3" w:rsidRDefault="00D11229" w:rsidP="008D183B">
            <w:pPr>
              <w:jc w:val="right"/>
              <w:rPr>
                <w:rFonts w:cs="Arial"/>
                <w:color w:val="000000"/>
                <w:szCs w:val="18"/>
                <w:lang w:val="ru-RU"/>
              </w:rPr>
            </w:pPr>
            <w:r w:rsidRPr="00DB0AC3">
              <w:rPr>
                <w:rFonts w:cs="Arial"/>
                <w:color w:val="000000"/>
                <w:szCs w:val="18"/>
                <w:lang w:val="en-US"/>
              </w:rPr>
              <w:t>7</w:t>
            </w:r>
            <w:r w:rsidR="008D183B" w:rsidRPr="00DB0AC3">
              <w:rPr>
                <w:rFonts w:cs="Arial"/>
                <w:color w:val="000000"/>
                <w:szCs w:val="18"/>
                <w:lang w:val="ru-RU"/>
              </w:rPr>
              <w:t> </w:t>
            </w:r>
            <w:r w:rsidRPr="00DB0AC3">
              <w:rPr>
                <w:rFonts w:cs="Arial"/>
                <w:color w:val="000000"/>
                <w:szCs w:val="18"/>
                <w:lang w:val="en-US"/>
              </w:rPr>
              <w:t>300</w:t>
            </w:r>
          </w:p>
        </w:tc>
        <w:tc>
          <w:tcPr>
            <w:tcW w:w="863" w:type="dxa"/>
            <w:tcBorders>
              <w:top w:val="nil"/>
              <w:left w:val="nil"/>
              <w:bottom w:val="nil"/>
              <w:right w:val="nil"/>
            </w:tcBorders>
            <w:shd w:val="clear" w:color="auto" w:fill="auto"/>
            <w:noWrap/>
            <w:vAlign w:val="bottom"/>
            <w:hideMark/>
          </w:tcPr>
          <w:p w:rsidR="0074518C" w:rsidRPr="00DB0AC3" w:rsidRDefault="008D183B" w:rsidP="008D183B">
            <w:pPr>
              <w:jc w:val="right"/>
              <w:rPr>
                <w:rFonts w:cs="Arial"/>
                <w:color w:val="000000"/>
                <w:szCs w:val="18"/>
                <w:lang w:val="ru-RU"/>
              </w:rPr>
            </w:pPr>
            <w:r w:rsidRPr="00DB0AC3">
              <w:rPr>
                <w:rFonts w:cs="Arial"/>
                <w:color w:val="000000"/>
                <w:szCs w:val="18"/>
                <w:lang w:val="en-US"/>
              </w:rPr>
              <w:t>7300</w:t>
            </w:r>
          </w:p>
        </w:tc>
        <w:tc>
          <w:tcPr>
            <w:tcW w:w="1418" w:type="dxa"/>
            <w:tcBorders>
              <w:top w:val="nil"/>
              <w:left w:val="nil"/>
              <w:bottom w:val="nil"/>
              <w:right w:val="nil"/>
            </w:tcBorders>
            <w:shd w:val="clear" w:color="auto" w:fill="auto"/>
            <w:noWrap/>
            <w:vAlign w:val="bottom"/>
            <w:hideMark/>
          </w:tcPr>
          <w:p w:rsidR="0074518C" w:rsidRPr="00DB0AC3" w:rsidRDefault="0074518C" w:rsidP="008D183B">
            <w:pPr>
              <w:jc w:val="right"/>
              <w:rPr>
                <w:rFonts w:cs="Arial"/>
                <w:color w:val="000000"/>
                <w:szCs w:val="18"/>
                <w:lang w:val="ru-RU"/>
              </w:rPr>
            </w:pPr>
            <w:r w:rsidRPr="00DB0AC3">
              <w:rPr>
                <w:rFonts w:cs="Arial"/>
                <w:color w:val="000000"/>
                <w:szCs w:val="18"/>
                <w:lang w:val="ru-RU"/>
              </w:rPr>
              <w:t>90 822</w:t>
            </w:r>
          </w:p>
        </w:tc>
        <w:tc>
          <w:tcPr>
            <w:tcW w:w="1407" w:type="dxa"/>
            <w:tcBorders>
              <w:top w:val="nil"/>
              <w:left w:val="nil"/>
              <w:bottom w:val="nil"/>
              <w:right w:val="nil"/>
            </w:tcBorders>
            <w:shd w:val="clear" w:color="auto" w:fill="auto"/>
            <w:noWrap/>
            <w:vAlign w:val="bottom"/>
            <w:hideMark/>
          </w:tcPr>
          <w:p w:rsidR="0074518C" w:rsidRPr="00DB0AC3" w:rsidRDefault="0074518C" w:rsidP="008D183B">
            <w:pPr>
              <w:jc w:val="right"/>
              <w:rPr>
                <w:rFonts w:cs="Arial"/>
                <w:color w:val="000000"/>
                <w:szCs w:val="18"/>
                <w:lang w:val="ru-RU"/>
              </w:rPr>
            </w:pPr>
            <w:r w:rsidRPr="00DB0AC3">
              <w:rPr>
                <w:rFonts w:cs="Arial"/>
                <w:color w:val="000000"/>
                <w:szCs w:val="18"/>
                <w:lang w:val="ru-RU"/>
              </w:rPr>
              <w:t>7 300</w:t>
            </w:r>
          </w:p>
        </w:tc>
        <w:tc>
          <w:tcPr>
            <w:tcW w:w="962" w:type="dxa"/>
            <w:tcBorders>
              <w:top w:val="nil"/>
              <w:left w:val="nil"/>
              <w:bottom w:val="nil"/>
              <w:right w:val="nil"/>
            </w:tcBorders>
            <w:shd w:val="clear" w:color="auto" w:fill="auto"/>
            <w:noWrap/>
            <w:vAlign w:val="bottom"/>
            <w:hideMark/>
          </w:tcPr>
          <w:p w:rsidR="0074518C" w:rsidRPr="00DB0AC3" w:rsidRDefault="0074518C" w:rsidP="008D183B">
            <w:pPr>
              <w:jc w:val="right"/>
              <w:rPr>
                <w:rFonts w:cs="Arial"/>
                <w:color w:val="000000"/>
                <w:szCs w:val="18"/>
                <w:lang w:val="ru-RU"/>
              </w:rPr>
            </w:pPr>
            <w:r w:rsidRPr="00DB0AC3">
              <w:rPr>
                <w:rFonts w:cs="Arial"/>
                <w:color w:val="000000"/>
                <w:szCs w:val="18"/>
                <w:lang w:val="ru-RU"/>
              </w:rPr>
              <w:t>98 122</w:t>
            </w:r>
          </w:p>
        </w:tc>
      </w:tr>
      <w:tr w:rsidR="002F3653" w:rsidRPr="00DB0AC3" w:rsidTr="008D183B">
        <w:trPr>
          <w:trHeight w:val="900"/>
        </w:trPr>
        <w:tc>
          <w:tcPr>
            <w:tcW w:w="2374" w:type="dxa"/>
            <w:tcBorders>
              <w:top w:val="nil"/>
              <w:left w:val="nil"/>
              <w:bottom w:val="nil"/>
              <w:right w:val="nil"/>
            </w:tcBorders>
            <w:shd w:val="clear" w:color="auto" w:fill="auto"/>
            <w:vAlign w:val="bottom"/>
            <w:hideMark/>
          </w:tcPr>
          <w:p w:rsidR="002F3653" w:rsidRPr="00DB0AC3" w:rsidRDefault="002F3653" w:rsidP="002F3653">
            <w:pPr>
              <w:rPr>
                <w:rFonts w:cs="Arial"/>
                <w:color w:val="000000"/>
                <w:szCs w:val="18"/>
                <w:lang w:val="ru-RU"/>
              </w:rPr>
            </w:pPr>
            <w:r w:rsidRPr="00DB0AC3">
              <w:rPr>
                <w:rFonts w:cs="Arial"/>
                <w:color w:val="000000"/>
                <w:szCs w:val="18"/>
                <w:lang w:val="ru-RU"/>
              </w:rPr>
              <w:t>Дивиденды, выплаченные в течение года</w:t>
            </w:r>
          </w:p>
        </w:tc>
        <w:tc>
          <w:tcPr>
            <w:tcW w:w="1469" w:type="dxa"/>
            <w:tcBorders>
              <w:top w:val="nil"/>
              <w:left w:val="nil"/>
              <w:bottom w:val="single" w:sz="4" w:space="0" w:color="auto"/>
              <w:right w:val="nil"/>
            </w:tcBorders>
            <w:shd w:val="clear" w:color="auto" w:fill="auto"/>
            <w:noWrap/>
            <w:vAlign w:val="bottom"/>
            <w:hideMark/>
          </w:tcPr>
          <w:p w:rsidR="002F3653" w:rsidRPr="00DB0AC3" w:rsidRDefault="002F3653" w:rsidP="008D183B">
            <w:pPr>
              <w:jc w:val="right"/>
              <w:rPr>
                <w:rFonts w:cs="Arial"/>
                <w:color w:val="000000"/>
                <w:szCs w:val="18"/>
                <w:lang w:val="ru-RU"/>
              </w:rPr>
            </w:pPr>
            <w:r w:rsidRPr="00DB0AC3">
              <w:rPr>
                <w:rFonts w:cs="Arial"/>
                <w:color w:val="000000"/>
                <w:szCs w:val="18"/>
                <w:lang w:val="ru-RU"/>
              </w:rPr>
              <w:t>(158)</w:t>
            </w:r>
          </w:p>
        </w:tc>
        <w:tc>
          <w:tcPr>
            <w:tcW w:w="1405" w:type="dxa"/>
            <w:tcBorders>
              <w:top w:val="nil"/>
              <w:left w:val="nil"/>
              <w:bottom w:val="single" w:sz="4" w:space="0" w:color="auto"/>
              <w:right w:val="nil"/>
            </w:tcBorders>
            <w:shd w:val="clear" w:color="auto" w:fill="auto"/>
            <w:noWrap/>
            <w:vAlign w:val="bottom"/>
            <w:hideMark/>
          </w:tcPr>
          <w:p w:rsidR="002F3653" w:rsidRPr="00DB0AC3" w:rsidRDefault="00D11229" w:rsidP="008D183B">
            <w:pPr>
              <w:jc w:val="right"/>
              <w:rPr>
                <w:rFonts w:cs="Arial"/>
                <w:color w:val="000000"/>
                <w:szCs w:val="18"/>
                <w:lang w:val="ru-RU"/>
              </w:rPr>
            </w:pPr>
            <w:r w:rsidRPr="00DB0AC3">
              <w:rPr>
                <w:rFonts w:cs="Arial"/>
                <w:color w:val="000000"/>
                <w:szCs w:val="18"/>
                <w:lang w:val="en-US"/>
              </w:rPr>
              <w:t>(7</w:t>
            </w:r>
            <w:r w:rsidR="008D183B" w:rsidRPr="00DB0AC3">
              <w:rPr>
                <w:rFonts w:cs="Arial"/>
                <w:color w:val="000000"/>
                <w:szCs w:val="18"/>
                <w:lang w:val="ru-RU"/>
              </w:rPr>
              <w:t> </w:t>
            </w:r>
            <w:r w:rsidRPr="00DB0AC3">
              <w:rPr>
                <w:rFonts w:cs="Arial"/>
                <w:color w:val="000000"/>
                <w:szCs w:val="18"/>
                <w:lang w:val="en-US"/>
              </w:rPr>
              <w:t>300)</w:t>
            </w:r>
          </w:p>
        </w:tc>
        <w:tc>
          <w:tcPr>
            <w:tcW w:w="863" w:type="dxa"/>
            <w:tcBorders>
              <w:top w:val="nil"/>
              <w:left w:val="nil"/>
              <w:bottom w:val="single" w:sz="4" w:space="0" w:color="auto"/>
              <w:right w:val="nil"/>
            </w:tcBorders>
            <w:shd w:val="clear" w:color="auto" w:fill="auto"/>
            <w:noWrap/>
            <w:vAlign w:val="bottom"/>
            <w:hideMark/>
          </w:tcPr>
          <w:p w:rsidR="002F3653" w:rsidRPr="00DB0AC3" w:rsidRDefault="007F7FD7" w:rsidP="008D183B">
            <w:pPr>
              <w:jc w:val="right"/>
              <w:rPr>
                <w:rFonts w:cs="Arial"/>
                <w:color w:val="000000"/>
                <w:szCs w:val="18"/>
                <w:lang w:val="ru-RU"/>
              </w:rPr>
            </w:pPr>
            <w:r w:rsidRPr="00DB0AC3">
              <w:rPr>
                <w:rFonts w:cs="Arial"/>
                <w:color w:val="000000"/>
                <w:szCs w:val="18"/>
                <w:lang w:val="ru-RU"/>
              </w:rPr>
              <w:t>(</w:t>
            </w:r>
            <w:r w:rsidR="008D183B" w:rsidRPr="00DB0AC3">
              <w:rPr>
                <w:rFonts w:cs="Arial"/>
                <w:color w:val="000000"/>
                <w:szCs w:val="18"/>
                <w:lang w:val="ru-RU"/>
              </w:rPr>
              <w:t>7 458</w:t>
            </w:r>
            <w:r w:rsidR="002F3653" w:rsidRPr="00DB0AC3">
              <w:rPr>
                <w:rFonts w:cs="Arial"/>
                <w:color w:val="000000"/>
                <w:szCs w:val="18"/>
                <w:lang w:val="ru-RU"/>
              </w:rPr>
              <w:t>)</w:t>
            </w:r>
          </w:p>
        </w:tc>
        <w:tc>
          <w:tcPr>
            <w:tcW w:w="1418" w:type="dxa"/>
            <w:tcBorders>
              <w:top w:val="nil"/>
              <w:left w:val="nil"/>
              <w:bottom w:val="single" w:sz="4" w:space="0" w:color="auto"/>
              <w:right w:val="nil"/>
            </w:tcBorders>
            <w:shd w:val="clear" w:color="auto" w:fill="auto"/>
            <w:noWrap/>
            <w:vAlign w:val="bottom"/>
            <w:hideMark/>
          </w:tcPr>
          <w:p w:rsidR="002F3653" w:rsidRPr="00DB0AC3" w:rsidRDefault="002F3653" w:rsidP="008D183B">
            <w:pPr>
              <w:jc w:val="right"/>
              <w:rPr>
                <w:rFonts w:cs="Arial"/>
                <w:color w:val="000000"/>
                <w:szCs w:val="18"/>
                <w:lang w:val="ru-RU"/>
              </w:rPr>
            </w:pPr>
            <w:r w:rsidRPr="00DB0AC3">
              <w:rPr>
                <w:rFonts w:cs="Arial"/>
                <w:color w:val="000000"/>
                <w:szCs w:val="18"/>
                <w:lang w:val="ru-RU"/>
              </w:rPr>
              <w:t>(90 900)</w:t>
            </w:r>
          </w:p>
        </w:tc>
        <w:tc>
          <w:tcPr>
            <w:tcW w:w="1407" w:type="dxa"/>
            <w:tcBorders>
              <w:top w:val="nil"/>
              <w:left w:val="nil"/>
              <w:bottom w:val="single" w:sz="4" w:space="0" w:color="auto"/>
              <w:right w:val="nil"/>
            </w:tcBorders>
            <w:shd w:val="clear" w:color="auto" w:fill="auto"/>
            <w:noWrap/>
            <w:vAlign w:val="bottom"/>
            <w:hideMark/>
          </w:tcPr>
          <w:p w:rsidR="002F3653" w:rsidRPr="00DB0AC3" w:rsidRDefault="002F3653" w:rsidP="008D183B">
            <w:pPr>
              <w:jc w:val="right"/>
              <w:rPr>
                <w:rFonts w:cs="Arial"/>
                <w:color w:val="000000"/>
                <w:szCs w:val="18"/>
                <w:lang w:val="ru-RU"/>
              </w:rPr>
            </w:pPr>
            <w:r w:rsidRPr="00DB0AC3">
              <w:rPr>
                <w:rFonts w:cs="Arial"/>
                <w:color w:val="000000"/>
                <w:szCs w:val="18"/>
                <w:lang w:val="ru-RU"/>
              </w:rPr>
              <w:t>(7 300)</w:t>
            </w:r>
          </w:p>
        </w:tc>
        <w:tc>
          <w:tcPr>
            <w:tcW w:w="962" w:type="dxa"/>
            <w:tcBorders>
              <w:top w:val="nil"/>
              <w:left w:val="nil"/>
              <w:bottom w:val="single" w:sz="4" w:space="0" w:color="auto"/>
              <w:right w:val="nil"/>
            </w:tcBorders>
            <w:shd w:val="clear" w:color="auto" w:fill="auto"/>
            <w:noWrap/>
            <w:vAlign w:val="bottom"/>
            <w:hideMark/>
          </w:tcPr>
          <w:p w:rsidR="002F3653" w:rsidRPr="00DB0AC3" w:rsidRDefault="002F3653" w:rsidP="008D183B">
            <w:pPr>
              <w:jc w:val="right"/>
              <w:rPr>
                <w:rFonts w:cs="Arial"/>
                <w:color w:val="000000"/>
                <w:szCs w:val="18"/>
                <w:lang w:val="ru-RU"/>
              </w:rPr>
            </w:pPr>
            <w:r w:rsidRPr="00DB0AC3">
              <w:rPr>
                <w:rFonts w:cs="Arial"/>
                <w:color w:val="000000"/>
                <w:szCs w:val="18"/>
                <w:lang w:val="ru-RU"/>
              </w:rPr>
              <w:t>(98 200)</w:t>
            </w:r>
          </w:p>
        </w:tc>
      </w:tr>
      <w:tr w:rsidR="002F3653" w:rsidRPr="00DB0AC3" w:rsidTr="008D183B">
        <w:trPr>
          <w:trHeight w:val="615"/>
        </w:trPr>
        <w:tc>
          <w:tcPr>
            <w:tcW w:w="2374" w:type="dxa"/>
            <w:tcBorders>
              <w:top w:val="nil"/>
              <w:left w:val="nil"/>
              <w:bottom w:val="nil"/>
              <w:right w:val="nil"/>
            </w:tcBorders>
            <w:shd w:val="clear" w:color="auto" w:fill="auto"/>
            <w:vAlign w:val="bottom"/>
            <w:hideMark/>
          </w:tcPr>
          <w:p w:rsidR="002F3653" w:rsidRPr="00DB0AC3" w:rsidRDefault="002F3653" w:rsidP="002F3653">
            <w:pPr>
              <w:rPr>
                <w:rFonts w:cs="Arial"/>
                <w:b/>
                <w:bCs/>
                <w:color w:val="000000"/>
                <w:szCs w:val="18"/>
                <w:lang w:val="ru-RU"/>
              </w:rPr>
            </w:pPr>
            <w:r w:rsidRPr="00DB0AC3">
              <w:rPr>
                <w:rFonts w:cs="Arial"/>
                <w:b/>
                <w:bCs/>
                <w:color w:val="000000"/>
                <w:szCs w:val="18"/>
                <w:lang w:val="ru-RU"/>
              </w:rPr>
              <w:t>К выплате за 31 декабря (Прим.19)</w:t>
            </w:r>
          </w:p>
        </w:tc>
        <w:tc>
          <w:tcPr>
            <w:tcW w:w="1469"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240</w:t>
            </w:r>
          </w:p>
        </w:tc>
        <w:tc>
          <w:tcPr>
            <w:tcW w:w="1405" w:type="dxa"/>
            <w:tcBorders>
              <w:top w:val="nil"/>
              <w:left w:val="nil"/>
              <w:bottom w:val="single" w:sz="4" w:space="0" w:color="auto"/>
              <w:right w:val="nil"/>
            </w:tcBorders>
            <w:shd w:val="clear" w:color="auto" w:fill="auto"/>
            <w:noWrap/>
            <w:vAlign w:val="bottom"/>
            <w:hideMark/>
          </w:tcPr>
          <w:p w:rsidR="002F3653" w:rsidRPr="00DB0AC3" w:rsidRDefault="002F3653" w:rsidP="008D183B">
            <w:pPr>
              <w:jc w:val="right"/>
              <w:rPr>
                <w:rFonts w:cs="Arial"/>
                <w:color w:val="000000"/>
                <w:szCs w:val="18"/>
                <w:lang w:val="ru-RU"/>
              </w:rPr>
            </w:pPr>
            <w:r w:rsidRPr="00DB0AC3">
              <w:rPr>
                <w:rFonts w:cs="Arial"/>
                <w:color w:val="000000"/>
                <w:szCs w:val="18"/>
                <w:lang w:val="ru-RU"/>
              </w:rPr>
              <w:t xml:space="preserve">                -     </w:t>
            </w:r>
          </w:p>
        </w:tc>
        <w:tc>
          <w:tcPr>
            <w:tcW w:w="863"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240</w:t>
            </w:r>
          </w:p>
        </w:tc>
        <w:tc>
          <w:tcPr>
            <w:tcW w:w="1418"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398</w:t>
            </w:r>
          </w:p>
        </w:tc>
        <w:tc>
          <w:tcPr>
            <w:tcW w:w="1407"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w:t>
            </w:r>
          </w:p>
        </w:tc>
        <w:tc>
          <w:tcPr>
            <w:tcW w:w="962"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398</w:t>
            </w:r>
          </w:p>
        </w:tc>
      </w:tr>
      <w:tr w:rsidR="002F3653" w:rsidRPr="00DB0AC3" w:rsidTr="008D183B">
        <w:trPr>
          <w:trHeight w:val="930"/>
        </w:trPr>
        <w:tc>
          <w:tcPr>
            <w:tcW w:w="2374" w:type="dxa"/>
            <w:tcBorders>
              <w:top w:val="nil"/>
              <w:left w:val="nil"/>
              <w:bottom w:val="nil"/>
              <w:right w:val="nil"/>
            </w:tcBorders>
            <w:shd w:val="clear" w:color="auto" w:fill="auto"/>
            <w:vAlign w:val="bottom"/>
            <w:hideMark/>
          </w:tcPr>
          <w:p w:rsidR="002F3653" w:rsidRPr="00DB0AC3" w:rsidRDefault="002F3653" w:rsidP="002F3653">
            <w:pPr>
              <w:rPr>
                <w:rFonts w:cs="Arial"/>
                <w:b/>
                <w:bCs/>
                <w:color w:val="000000"/>
                <w:szCs w:val="18"/>
                <w:lang w:val="ru-RU"/>
              </w:rPr>
            </w:pPr>
            <w:r w:rsidRPr="00DB0AC3">
              <w:rPr>
                <w:rFonts w:cs="Arial"/>
                <w:b/>
                <w:bCs/>
                <w:color w:val="000000"/>
                <w:szCs w:val="18"/>
                <w:lang w:val="ru-RU"/>
              </w:rPr>
              <w:t>Дивиденды на акцию, объявленные в течение года, руб. (не тысячи)</w:t>
            </w:r>
          </w:p>
        </w:tc>
        <w:tc>
          <w:tcPr>
            <w:tcW w:w="1469"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 xml:space="preserve">                    -     </w:t>
            </w:r>
          </w:p>
        </w:tc>
        <w:tc>
          <w:tcPr>
            <w:tcW w:w="1405" w:type="dxa"/>
            <w:tcBorders>
              <w:top w:val="double" w:sz="6" w:space="0" w:color="auto"/>
              <w:left w:val="nil"/>
              <w:bottom w:val="double" w:sz="6" w:space="0" w:color="auto"/>
              <w:right w:val="nil"/>
            </w:tcBorders>
            <w:shd w:val="clear" w:color="auto" w:fill="auto"/>
            <w:noWrap/>
            <w:vAlign w:val="bottom"/>
            <w:hideMark/>
          </w:tcPr>
          <w:p w:rsidR="002F3653" w:rsidRPr="00DB0AC3" w:rsidRDefault="00D11229" w:rsidP="008D183B">
            <w:pPr>
              <w:jc w:val="right"/>
              <w:rPr>
                <w:rFonts w:cs="Arial"/>
                <w:b/>
                <w:bCs/>
                <w:color w:val="000000"/>
                <w:szCs w:val="18"/>
                <w:lang w:val="ru-RU"/>
              </w:rPr>
            </w:pPr>
            <w:r w:rsidRPr="00DB0AC3">
              <w:rPr>
                <w:rFonts w:cs="Arial"/>
                <w:b/>
                <w:bCs/>
                <w:color w:val="000000"/>
                <w:szCs w:val="18"/>
                <w:lang w:val="en-US"/>
              </w:rPr>
              <w:t>10</w:t>
            </w:r>
          </w:p>
        </w:tc>
        <w:tc>
          <w:tcPr>
            <w:tcW w:w="863"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 xml:space="preserve">              -     </w:t>
            </w:r>
          </w:p>
        </w:tc>
        <w:tc>
          <w:tcPr>
            <w:tcW w:w="1418"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0.08</w:t>
            </w:r>
          </w:p>
        </w:tc>
        <w:tc>
          <w:tcPr>
            <w:tcW w:w="1407"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10</w:t>
            </w:r>
          </w:p>
        </w:tc>
        <w:tc>
          <w:tcPr>
            <w:tcW w:w="962" w:type="dxa"/>
            <w:tcBorders>
              <w:top w:val="nil"/>
              <w:left w:val="nil"/>
              <w:bottom w:val="double" w:sz="6" w:space="0" w:color="auto"/>
              <w:right w:val="nil"/>
            </w:tcBorders>
            <w:shd w:val="clear" w:color="auto" w:fill="auto"/>
            <w:noWrap/>
            <w:vAlign w:val="bottom"/>
            <w:hideMark/>
          </w:tcPr>
          <w:p w:rsidR="002F3653" w:rsidRPr="00DB0AC3" w:rsidRDefault="002F3653" w:rsidP="008D183B">
            <w:pPr>
              <w:jc w:val="right"/>
              <w:rPr>
                <w:rFonts w:cs="Arial"/>
                <w:b/>
                <w:bCs/>
                <w:color w:val="000000"/>
                <w:szCs w:val="18"/>
                <w:lang w:val="ru-RU"/>
              </w:rPr>
            </w:pPr>
            <w:r w:rsidRPr="00DB0AC3">
              <w:rPr>
                <w:rFonts w:cs="Arial"/>
                <w:b/>
                <w:bCs/>
                <w:color w:val="000000"/>
                <w:szCs w:val="18"/>
                <w:lang w:val="ru-RU"/>
              </w:rPr>
              <w:t>-</w:t>
            </w:r>
          </w:p>
        </w:tc>
      </w:tr>
    </w:tbl>
    <w:p w:rsidR="002F3653" w:rsidRPr="00DB0AC3" w:rsidRDefault="002F3653" w:rsidP="002F3653">
      <w:pPr>
        <w:rPr>
          <w:rFonts w:cs="Arial"/>
          <w:lang w:val="ru-RU"/>
        </w:rPr>
      </w:pPr>
    </w:p>
    <w:p w:rsidR="00BB4099" w:rsidRPr="00DB0AC3" w:rsidRDefault="00BB4099" w:rsidP="002F3653">
      <w:pPr>
        <w:rPr>
          <w:rFonts w:cs="Arial"/>
          <w:lang w:val="ru-RU"/>
        </w:rPr>
      </w:pPr>
    </w:p>
    <w:p w:rsidR="00BB4099" w:rsidRPr="00DB0AC3" w:rsidRDefault="00BB4099" w:rsidP="002F3653">
      <w:pPr>
        <w:rPr>
          <w:rFonts w:cs="Arial"/>
          <w:lang w:val="ru-RU"/>
        </w:rPr>
      </w:pPr>
    </w:p>
    <w:p w:rsidR="00474B19" w:rsidRPr="00DB0AC3" w:rsidRDefault="00CB412A" w:rsidP="004B4C42">
      <w:pPr>
        <w:pStyle w:val="1"/>
        <w:keepNext w:val="0"/>
        <w:widowControl w:val="0"/>
        <w:spacing w:before="0"/>
        <w:rPr>
          <w:rFonts w:cs="Arial"/>
          <w:lang w:val="ru-RU"/>
        </w:rPr>
      </w:pPr>
      <w:bookmarkStart w:id="219" w:name="_Сегментный_анализ"/>
      <w:bookmarkStart w:id="220" w:name="_Ref383700986"/>
      <w:bookmarkStart w:id="221" w:name="_Toc416086236"/>
      <w:bookmarkStart w:id="222" w:name="_Toc441479817"/>
      <w:bookmarkStart w:id="223" w:name="_Ref113187937"/>
      <w:bookmarkStart w:id="224" w:name="_Ref113188180"/>
      <w:bookmarkStart w:id="225" w:name="_Ref113189450"/>
      <w:bookmarkStart w:id="226" w:name="_Ref113190026"/>
      <w:bookmarkEnd w:id="219"/>
      <w:r w:rsidRPr="00DB0AC3">
        <w:rPr>
          <w:rFonts w:cs="Arial"/>
          <w:lang w:val="ru-RU"/>
        </w:rPr>
        <w:t>Сегментный анализ</w:t>
      </w:r>
      <w:bookmarkEnd w:id="220"/>
      <w:bookmarkEnd w:id="221"/>
      <w:bookmarkEnd w:id="222"/>
    </w:p>
    <w:p w:rsidR="0012601F" w:rsidRPr="00DB0AC3" w:rsidRDefault="0012601F" w:rsidP="00DB0AC3">
      <w:pPr>
        <w:pStyle w:val="210"/>
        <w:shd w:val="clear" w:color="auto" w:fill="auto"/>
        <w:spacing w:line="230" w:lineRule="exact"/>
        <w:ind w:firstLine="0"/>
        <w:jc w:val="both"/>
        <w:rPr>
          <w:b w:val="0"/>
          <w:sz w:val="20"/>
          <w:szCs w:val="20"/>
        </w:rPr>
      </w:pPr>
      <w:r w:rsidRPr="00DB0AC3">
        <w:rPr>
          <w:rStyle w:val="25"/>
          <w:bCs/>
          <w:color w:val="000000"/>
          <w:sz w:val="20"/>
          <w:szCs w:val="20"/>
        </w:rPr>
        <w:t xml:space="preserve">Начиная с 1 января 2010 года, Банк готовит сегментный анализ в соответствии с МСФО </w:t>
      </w:r>
      <w:r w:rsidR="00D137C9" w:rsidRPr="00DB0AC3">
        <w:rPr>
          <w:rStyle w:val="25"/>
          <w:bCs/>
          <w:color w:val="000000"/>
          <w:sz w:val="20"/>
          <w:szCs w:val="20"/>
        </w:rPr>
        <w:t>(</w:t>
      </w:r>
      <w:r w:rsidR="00D137C9" w:rsidRPr="00DB0AC3">
        <w:rPr>
          <w:rStyle w:val="25"/>
          <w:bCs/>
          <w:color w:val="000000"/>
          <w:sz w:val="20"/>
          <w:szCs w:val="20"/>
          <w:lang w:val="en-US"/>
        </w:rPr>
        <w:t>IFRS</w:t>
      </w:r>
      <w:r w:rsidR="00D137C9" w:rsidRPr="00DB0AC3">
        <w:rPr>
          <w:rStyle w:val="25"/>
          <w:bCs/>
          <w:color w:val="000000"/>
          <w:sz w:val="20"/>
          <w:szCs w:val="20"/>
        </w:rPr>
        <w:t>) 8 «Операционные сегменты».</w:t>
      </w:r>
    </w:p>
    <w:p w:rsidR="0012601F" w:rsidRPr="00DB0AC3" w:rsidRDefault="0012601F" w:rsidP="00DB0AC3">
      <w:pPr>
        <w:pStyle w:val="210"/>
        <w:shd w:val="clear" w:color="auto" w:fill="auto"/>
        <w:spacing w:line="230" w:lineRule="exact"/>
        <w:ind w:firstLine="0"/>
        <w:jc w:val="both"/>
        <w:rPr>
          <w:rStyle w:val="25"/>
          <w:bCs/>
          <w:color w:val="000000"/>
          <w:sz w:val="20"/>
          <w:szCs w:val="20"/>
        </w:rPr>
      </w:pPr>
      <w:r w:rsidRPr="00DB0AC3">
        <w:rPr>
          <w:rStyle w:val="25"/>
          <w:bCs/>
          <w:color w:val="000000"/>
          <w:sz w:val="20"/>
          <w:szCs w:val="20"/>
        </w:rPr>
        <w:t xml:space="preserve">Операционные сегменты представляют собой компоненты, вовлеченные в предпринимательскую деятельность, которые получают доходы и несут расходы, и </w:t>
      </w:r>
      <w:r w:rsidR="00D137C9" w:rsidRPr="00DB0AC3">
        <w:rPr>
          <w:rStyle w:val="25"/>
          <w:bCs/>
          <w:color w:val="000000"/>
          <w:sz w:val="20"/>
          <w:szCs w:val="20"/>
        </w:rPr>
        <w:t>чьи операционные результаты регулярно проверяются руководителем, принимающим операционные решения (РПОР), для которого доступна скрытая финансовая информация. РПОР - это человек или группа лиц, в обязанности которых входит распределение ресурсов и оценка эффективности предприятия. Функции РПОР выполняет Председатель Правления Банка.</w:t>
      </w:r>
    </w:p>
    <w:p w:rsidR="0012601F" w:rsidRPr="00DB0AC3" w:rsidRDefault="0012601F" w:rsidP="00DB0AC3">
      <w:pPr>
        <w:pStyle w:val="210"/>
        <w:shd w:val="clear" w:color="auto" w:fill="auto"/>
        <w:spacing w:line="230" w:lineRule="exact"/>
        <w:ind w:firstLine="0"/>
        <w:jc w:val="both"/>
        <w:rPr>
          <w:b w:val="0"/>
          <w:sz w:val="20"/>
          <w:szCs w:val="20"/>
        </w:rPr>
      </w:pPr>
    </w:p>
    <w:p w:rsidR="0012601F" w:rsidRPr="00DB0AC3" w:rsidRDefault="0012601F" w:rsidP="00DB0AC3">
      <w:pPr>
        <w:pStyle w:val="310"/>
        <w:shd w:val="clear" w:color="auto" w:fill="auto"/>
        <w:ind w:firstLine="0"/>
        <w:jc w:val="both"/>
        <w:rPr>
          <w:b w:val="0"/>
        </w:rPr>
      </w:pPr>
      <w:r w:rsidRPr="00A02C17">
        <w:rPr>
          <w:rStyle w:val="34"/>
          <w:b/>
          <w:bCs/>
          <w:i/>
          <w:iCs/>
          <w:color w:val="000000"/>
        </w:rPr>
        <w:t>а)</w:t>
      </w:r>
      <w:r w:rsidRPr="00DB0AC3">
        <w:rPr>
          <w:rStyle w:val="34"/>
          <w:bCs/>
          <w:i/>
          <w:iCs/>
          <w:color w:val="000000"/>
        </w:rPr>
        <w:t xml:space="preserve"> Описание продуктов и услуг, из которых каждый отчетный сегмент получает свои доходы</w:t>
      </w:r>
    </w:p>
    <w:p w:rsidR="0012601F" w:rsidRPr="00DB0AC3" w:rsidRDefault="0012601F" w:rsidP="00DB0AC3">
      <w:pPr>
        <w:pStyle w:val="210"/>
        <w:shd w:val="clear" w:color="auto" w:fill="auto"/>
        <w:spacing w:line="230" w:lineRule="exact"/>
        <w:ind w:firstLine="0"/>
        <w:jc w:val="both"/>
        <w:rPr>
          <w:b w:val="0"/>
          <w:sz w:val="20"/>
          <w:szCs w:val="20"/>
        </w:rPr>
      </w:pPr>
      <w:r w:rsidRPr="00DB0AC3">
        <w:rPr>
          <w:rStyle w:val="25"/>
          <w:bCs/>
          <w:color w:val="000000"/>
          <w:sz w:val="20"/>
          <w:szCs w:val="20"/>
        </w:rPr>
        <w:t>Банк организован на основе трех основных операционных сегментов:</w:t>
      </w:r>
    </w:p>
    <w:p w:rsidR="0012601F" w:rsidRPr="00DB0AC3" w:rsidRDefault="0012601F" w:rsidP="00DB0AC3">
      <w:pPr>
        <w:pStyle w:val="210"/>
        <w:numPr>
          <w:ilvl w:val="0"/>
          <w:numId w:val="33"/>
        </w:numPr>
        <w:shd w:val="clear" w:color="auto" w:fill="auto"/>
        <w:tabs>
          <w:tab w:val="left" w:pos="744"/>
        </w:tabs>
        <w:spacing w:line="230" w:lineRule="exact"/>
        <w:ind w:left="360" w:hanging="360"/>
        <w:jc w:val="both"/>
        <w:rPr>
          <w:b w:val="0"/>
          <w:sz w:val="20"/>
          <w:szCs w:val="20"/>
        </w:rPr>
      </w:pPr>
      <w:r w:rsidRPr="00DB0AC3">
        <w:rPr>
          <w:rStyle w:val="25"/>
          <w:bCs/>
          <w:color w:val="000000"/>
          <w:sz w:val="20"/>
          <w:szCs w:val="20"/>
        </w:rPr>
        <w:t>Розничные банковские услуги - представляют собой банковские услуги физическим лицам, текущие счета физических лиц, депозиты, инвестиционные продукты, услуги по хранению, кредитные и дебетовые карты, потребительские и ипотечные кредиты.</w:t>
      </w:r>
    </w:p>
    <w:p w:rsidR="0012601F" w:rsidRPr="00DB0AC3" w:rsidRDefault="0012601F" w:rsidP="00DB0AC3">
      <w:pPr>
        <w:pStyle w:val="210"/>
        <w:numPr>
          <w:ilvl w:val="0"/>
          <w:numId w:val="33"/>
        </w:numPr>
        <w:shd w:val="clear" w:color="auto" w:fill="auto"/>
        <w:tabs>
          <w:tab w:val="left" w:pos="744"/>
        </w:tabs>
        <w:spacing w:line="230" w:lineRule="exact"/>
        <w:ind w:left="360" w:hanging="360"/>
        <w:jc w:val="both"/>
        <w:rPr>
          <w:b w:val="0"/>
          <w:sz w:val="20"/>
          <w:szCs w:val="20"/>
        </w:rPr>
      </w:pPr>
      <w:r w:rsidRPr="00DB0AC3">
        <w:rPr>
          <w:rStyle w:val="25"/>
          <w:bCs/>
          <w:color w:val="000000"/>
          <w:sz w:val="20"/>
          <w:szCs w:val="20"/>
        </w:rPr>
        <w:t>Обслуживание корпоративных клиентов - текущие счета, депозиты, овердрафты и другие кредитные продукты, а также операции с иностранной валютой.</w:t>
      </w:r>
    </w:p>
    <w:p w:rsidR="0012601F" w:rsidRPr="00DB0AC3" w:rsidRDefault="0012601F" w:rsidP="00DB0AC3">
      <w:pPr>
        <w:pStyle w:val="210"/>
        <w:numPr>
          <w:ilvl w:val="0"/>
          <w:numId w:val="33"/>
        </w:numPr>
        <w:shd w:val="clear" w:color="auto" w:fill="auto"/>
        <w:tabs>
          <w:tab w:val="left" w:pos="744"/>
        </w:tabs>
        <w:spacing w:line="230" w:lineRule="exact"/>
        <w:ind w:left="360" w:hanging="360"/>
        <w:jc w:val="both"/>
        <w:rPr>
          <w:rStyle w:val="25"/>
          <w:bCs/>
          <w:sz w:val="20"/>
          <w:szCs w:val="20"/>
          <w:shd w:val="clear" w:color="auto" w:fill="auto"/>
        </w:rPr>
      </w:pPr>
      <w:r w:rsidRPr="00DB0AC3">
        <w:rPr>
          <w:rStyle w:val="25"/>
          <w:bCs/>
          <w:color w:val="000000"/>
          <w:sz w:val="20"/>
          <w:szCs w:val="20"/>
        </w:rPr>
        <w:t>Инвестиционная деятельность - купля-продажа финансовых инструментов и структурное финансирование.</w:t>
      </w:r>
    </w:p>
    <w:p w:rsidR="0012601F" w:rsidRPr="00DB0AC3" w:rsidRDefault="0012601F" w:rsidP="00DB0AC3">
      <w:pPr>
        <w:pStyle w:val="210"/>
        <w:numPr>
          <w:ilvl w:val="0"/>
          <w:numId w:val="33"/>
        </w:numPr>
        <w:shd w:val="clear" w:color="auto" w:fill="auto"/>
        <w:tabs>
          <w:tab w:val="left" w:pos="744"/>
        </w:tabs>
        <w:spacing w:line="230" w:lineRule="exact"/>
        <w:ind w:left="360" w:hanging="360"/>
        <w:jc w:val="both"/>
        <w:rPr>
          <w:b w:val="0"/>
          <w:sz w:val="20"/>
          <w:szCs w:val="20"/>
        </w:rPr>
      </w:pPr>
    </w:p>
    <w:p w:rsidR="0012601F" w:rsidRPr="00DB0AC3" w:rsidRDefault="0012601F" w:rsidP="00DB0AC3">
      <w:pPr>
        <w:pStyle w:val="310"/>
        <w:numPr>
          <w:ilvl w:val="0"/>
          <w:numId w:val="34"/>
        </w:numPr>
        <w:shd w:val="clear" w:color="auto" w:fill="auto"/>
        <w:tabs>
          <w:tab w:val="left" w:pos="413"/>
        </w:tabs>
        <w:ind w:firstLine="0"/>
        <w:jc w:val="both"/>
        <w:rPr>
          <w:b w:val="0"/>
        </w:rPr>
      </w:pPr>
      <w:r w:rsidRPr="00DB0AC3">
        <w:rPr>
          <w:rStyle w:val="34"/>
          <w:bCs/>
          <w:i/>
          <w:iCs/>
          <w:color w:val="000000"/>
        </w:rPr>
        <w:t>Факторы, управления, используемые для идентификации отчетных сегментов</w:t>
      </w:r>
    </w:p>
    <w:p w:rsidR="0012601F" w:rsidRPr="00DB0AC3" w:rsidRDefault="0012601F" w:rsidP="00DB0AC3">
      <w:pPr>
        <w:pStyle w:val="210"/>
        <w:shd w:val="clear" w:color="auto" w:fill="auto"/>
        <w:spacing w:line="230" w:lineRule="exact"/>
        <w:ind w:firstLine="0"/>
        <w:jc w:val="both"/>
        <w:rPr>
          <w:rStyle w:val="25"/>
          <w:bCs/>
          <w:color w:val="000000"/>
          <w:sz w:val="20"/>
          <w:szCs w:val="20"/>
          <w:lang w:val="en-US"/>
        </w:rPr>
      </w:pPr>
      <w:r w:rsidRPr="00DB0AC3">
        <w:rPr>
          <w:rStyle w:val="25"/>
          <w:bCs/>
          <w:color w:val="000000"/>
          <w:sz w:val="20"/>
          <w:szCs w:val="20"/>
        </w:rPr>
        <w:t>Сегмент финансовой информации рассматривается РПОРом и включает в себя кредиты и авансы клиентам Банка. РПОР получает финансовую информацию из внутренних источников.</w:t>
      </w:r>
    </w:p>
    <w:p w:rsidR="0012601F" w:rsidRPr="00DB0AC3" w:rsidRDefault="0012601F" w:rsidP="00DB0AC3">
      <w:pPr>
        <w:pStyle w:val="210"/>
        <w:shd w:val="clear" w:color="auto" w:fill="auto"/>
        <w:spacing w:line="230" w:lineRule="exact"/>
        <w:ind w:firstLine="0"/>
        <w:jc w:val="both"/>
        <w:rPr>
          <w:b w:val="0"/>
          <w:sz w:val="20"/>
          <w:szCs w:val="20"/>
          <w:lang w:val="en-US"/>
        </w:rPr>
      </w:pPr>
    </w:p>
    <w:p w:rsidR="0012601F" w:rsidRPr="00DB0AC3" w:rsidRDefault="0012601F" w:rsidP="00DB0AC3">
      <w:pPr>
        <w:pStyle w:val="310"/>
        <w:numPr>
          <w:ilvl w:val="0"/>
          <w:numId w:val="34"/>
        </w:numPr>
        <w:shd w:val="clear" w:color="auto" w:fill="auto"/>
        <w:tabs>
          <w:tab w:val="left" w:pos="374"/>
        </w:tabs>
        <w:spacing w:line="200" w:lineRule="exact"/>
        <w:ind w:firstLine="0"/>
        <w:jc w:val="both"/>
        <w:rPr>
          <w:b w:val="0"/>
        </w:rPr>
      </w:pPr>
      <w:r w:rsidRPr="00DB0AC3">
        <w:rPr>
          <w:rStyle w:val="34"/>
          <w:bCs/>
          <w:i/>
          <w:iCs/>
          <w:color w:val="000000"/>
        </w:rPr>
        <w:t>Измерение операционного сегмента прибыли или убытка, активов и обязательств</w:t>
      </w:r>
    </w:p>
    <w:p w:rsidR="0012601F" w:rsidRPr="00DB0AC3" w:rsidRDefault="0012601F" w:rsidP="00DB0AC3">
      <w:pPr>
        <w:pStyle w:val="210"/>
        <w:shd w:val="clear" w:color="auto" w:fill="auto"/>
        <w:spacing w:line="230" w:lineRule="exact"/>
        <w:ind w:firstLine="0"/>
        <w:jc w:val="both"/>
        <w:rPr>
          <w:b w:val="0"/>
          <w:sz w:val="20"/>
          <w:szCs w:val="20"/>
        </w:rPr>
      </w:pPr>
      <w:r w:rsidRPr="00DB0AC3">
        <w:rPr>
          <w:rStyle w:val="25"/>
          <w:bCs/>
          <w:color w:val="000000"/>
          <w:sz w:val="20"/>
          <w:szCs w:val="20"/>
        </w:rPr>
        <w:t>РПОР рассматривает финансовую информацию, подготовленную на основе российских стандартов бухгалтерского учета и скорректированную в соответствии с требованиями внутренней отчетности. Такая финансовая информация отличается от рассчитанной в соответствии с М</w:t>
      </w:r>
      <w:r w:rsidR="00D137C9" w:rsidRPr="00DB0AC3">
        <w:rPr>
          <w:rStyle w:val="25"/>
          <w:bCs/>
          <w:color w:val="000000"/>
          <w:sz w:val="20"/>
          <w:szCs w:val="20"/>
        </w:rPr>
        <w:t xml:space="preserve">еждународными </w:t>
      </w:r>
      <w:r w:rsidR="00D137C9" w:rsidRPr="00DB0AC3">
        <w:rPr>
          <w:rStyle w:val="25"/>
          <w:bCs/>
          <w:color w:val="000000"/>
          <w:sz w:val="20"/>
          <w:szCs w:val="20"/>
        </w:rPr>
        <w:lastRenderedPageBreak/>
        <w:t>Стандартами Финансовой Отчетности в следующих аспектах:</w:t>
      </w:r>
    </w:p>
    <w:p w:rsidR="0012601F" w:rsidRPr="00DB0AC3" w:rsidRDefault="0012601F" w:rsidP="00DB0AC3">
      <w:pPr>
        <w:pStyle w:val="210"/>
        <w:numPr>
          <w:ilvl w:val="0"/>
          <w:numId w:val="36"/>
        </w:numPr>
        <w:shd w:val="clear" w:color="auto" w:fill="auto"/>
        <w:tabs>
          <w:tab w:val="left" w:pos="765"/>
        </w:tabs>
        <w:spacing w:line="230" w:lineRule="exact"/>
        <w:ind w:left="360" w:hanging="360"/>
        <w:jc w:val="both"/>
        <w:rPr>
          <w:b w:val="0"/>
          <w:sz w:val="20"/>
          <w:szCs w:val="20"/>
        </w:rPr>
      </w:pPr>
      <w:r w:rsidRPr="00DB0AC3">
        <w:rPr>
          <w:rStyle w:val="25"/>
          <w:bCs/>
          <w:color w:val="000000"/>
          <w:sz w:val="20"/>
          <w:szCs w:val="20"/>
        </w:rPr>
        <w:t>изменения справедливой стоимости имеющихся в наличии для продажи ценных бумаг, о которых сообщается в сегментах прибыли или убытков, а не в составе прочего совокупного дохода;</w:t>
      </w:r>
    </w:p>
    <w:p w:rsidR="0012601F" w:rsidRPr="00DB0AC3" w:rsidRDefault="0012601F" w:rsidP="00DB0AC3">
      <w:pPr>
        <w:pStyle w:val="210"/>
        <w:numPr>
          <w:ilvl w:val="0"/>
          <w:numId w:val="36"/>
        </w:numPr>
        <w:shd w:val="clear" w:color="auto" w:fill="auto"/>
        <w:tabs>
          <w:tab w:val="left" w:pos="765"/>
        </w:tabs>
        <w:ind w:left="360" w:hanging="360"/>
        <w:jc w:val="both"/>
        <w:rPr>
          <w:b w:val="0"/>
          <w:sz w:val="20"/>
          <w:szCs w:val="20"/>
        </w:rPr>
      </w:pPr>
      <w:r w:rsidRPr="00DB0AC3">
        <w:rPr>
          <w:rStyle w:val="25"/>
          <w:bCs/>
          <w:color w:val="000000"/>
          <w:sz w:val="20"/>
          <w:szCs w:val="20"/>
        </w:rPr>
        <w:t>средства перераспределяются между сегментами по внутренним процентным ставкам, установленным Министерством Финансов, которые определяются на основании рыночной процентной ставки, договорных сроков погашения по кредитам и фактически наблюдаемым сроком погашения клиен</w:t>
      </w:r>
      <w:r w:rsidR="00D137C9" w:rsidRPr="00DB0AC3">
        <w:rPr>
          <w:rStyle w:val="25"/>
          <w:bCs/>
          <w:color w:val="000000"/>
          <w:sz w:val="20"/>
          <w:szCs w:val="20"/>
        </w:rPr>
        <w:t>том остатков по счетам;</w:t>
      </w:r>
    </w:p>
    <w:p w:rsidR="0012601F" w:rsidRPr="00DB0AC3" w:rsidRDefault="0012601F" w:rsidP="00DB0AC3">
      <w:pPr>
        <w:pStyle w:val="210"/>
        <w:numPr>
          <w:ilvl w:val="0"/>
          <w:numId w:val="36"/>
        </w:numPr>
        <w:shd w:val="clear" w:color="auto" w:fill="auto"/>
        <w:tabs>
          <w:tab w:val="left" w:pos="765"/>
        </w:tabs>
        <w:ind w:left="360" w:hanging="360"/>
        <w:jc w:val="both"/>
        <w:rPr>
          <w:b w:val="0"/>
          <w:sz w:val="20"/>
          <w:szCs w:val="20"/>
        </w:rPr>
      </w:pPr>
      <w:r w:rsidRPr="00DB0AC3">
        <w:rPr>
          <w:rStyle w:val="25"/>
          <w:bCs/>
          <w:color w:val="000000"/>
          <w:sz w:val="20"/>
          <w:szCs w:val="20"/>
        </w:rPr>
        <w:t>налог на прибыль не относящийся к сегментам;</w:t>
      </w:r>
    </w:p>
    <w:p w:rsidR="0012601F" w:rsidRPr="00DB0AC3" w:rsidRDefault="0012601F" w:rsidP="00DB0AC3">
      <w:pPr>
        <w:pStyle w:val="210"/>
        <w:numPr>
          <w:ilvl w:val="0"/>
          <w:numId w:val="36"/>
        </w:numPr>
        <w:shd w:val="clear" w:color="auto" w:fill="auto"/>
        <w:tabs>
          <w:tab w:val="left" w:pos="765"/>
        </w:tabs>
        <w:ind w:left="360" w:hanging="360"/>
        <w:jc w:val="both"/>
        <w:rPr>
          <w:b w:val="0"/>
          <w:sz w:val="20"/>
          <w:szCs w:val="20"/>
        </w:rPr>
      </w:pPr>
      <w:r w:rsidRPr="00DB0AC3">
        <w:rPr>
          <w:rStyle w:val="25"/>
          <w:bCs/>
          <w:color w:val="000000"/>
          <w:sz w:val="20"/>
          <w:szCs w:val="20"/>
        </w:rPr>
        <w:t>резервы по кредитам рассчитываются на основе решения управления и доступности информации, а не на основе модели понесенных убытков, описанной в МСФО 39;</w:t>
      </w:r>
    </w:p>
    <w:p w:rsidR="0012601F" w:rsidRPr="00DB0AC3" w:rsidRDefault="0012601F" w:rsidP="00DB0AC3">
      <w:pPr>
        <w:pStyle w:val="210"/>
        <w:numPr>
          <w:ilvl w:val="0"/>
          <w:numId w:val="36"/>
        </w:numPr>
        <w:shd w:val="clear" w:color="auto" w:fill="auto"/>
        <w:tabs>
          <w:tab w:val="left" w:pos="765"/>
        </w:tabs>
        <w:ind w:left="360" w:hanging="360"/>
        <w:jc w:val="both"/>
        <w:rPr>
          <w:b w:val="0"/>
          <w:sz w:val="20"/>
          <w:szCs w:val="20"/>
        </w:rPr>
      </w:pPr>
      <w:r w:rsidRPr="00DB0AC3">
        <w:rPr>
          <w:rStyle w:val="25"/>
          <w:bCs/>
          <w:color w:val="000000"/>
          <w:sz w:val="20"/>
          <w:szCs w:val="20"/>
        </w:rPr>
        <w:t>комиссионные доходы, связанные с к</w:t>
      </w:r>
      <w:r w:rsidR="00D137C9" w:rsidRPr="00DB0AC3">
        <w:rPr>
          <w:rStyle w:val="25"/>
          <w:bCs/>
          <w:color w:val="000000"/>
          <w:sz w:val="20"/>
          <w:szCs w:val="20"/>
        </w:rPr>
        <w:t>редитованием признаются сразу, а не откладываются, используя метод эффективной процентной ставки, а также</w:t>
      </w:r>
    </w:p>
    <w:p w:rsidR="0012601F" w:rsidRPr="00DB0AC3" w:rsidRDefault="0012601F" w:rsidP="00DB0AC3">
      <w:pPr>
        <w:pStyle w:val="210"/>
        <w:numPr>
          <w:ilvl w:val="0"/>
          <w:numId w:val="36"/>
        </w:numPr>
        <w:shd w:val="clear" w:color="auto" w:fill="auto"/>
        <w:tabs>
          <w:tab w:val="left" w:pos="765"/>
        </w:tabs>
        <w:ind w:left="360" w:hanging="360"/>
        <w:jc w:val="both"/>
        <w:rPr>
          <w:b w:val="0"/>
          <w:sz w:val="20"/>
          <w:szCs w:val="20"/>
        </w:rPr>
      </w:pPr>
      <w:r w:rsidRPr="00DB0AC3">
        <w:rPr>
          <w:rStyle w:val="25"/>
          <w:bCs/>
          <w:color w:val="000000"/>
          <w:sz w:val="20"/>
          <w:szCs w:val="20"/>
        </w:rPr>
        <w:t>Банк не признает обязательств по окончании трудовой деятельности работников.</w:t>
      </w:r>
    </w:p>
    <w:p w:rsidR="0012601F" w:rsidRPr="00DB0AC3" w:rsidRDefault="0012601F" w:rsidP="00DB0AC3">
      <w:pPr>
        <w:pStyle w:val="210"/>
        <w:shd w:val="clear" w:color="auto" w:fill="auto"/>
        <w:spacing w:line="230" w:lineRule="exact"/>
        <w:ind w:firstLine="0"/>
        <w:jc w:val="both"/>
        <w:rPr>
          <w:rStyle w:val="25"/>
          <w:bCs/>
          <w:color w:val="000000"/>
          <w:sz w:val="20"/>
          <w:szCs w:val="20"/>
        </w:rPr>
      </w:pPr>
      <w:r w:rsidRPr="00DB0AC3">
        <w:rPr>
          <w:rStyle w:val="25"/>
          <w:bCs/>
          <w:color w:val="000000"/>
          <w:sz w:val="20"/>
          <w:szCs w:val="20"/>
        </w:rPr>
        <w:t>РПОР оценивает результаты деятельности каждого сегмента на основе чистого</w:t>
      </w:r>
      <w:r w:rsidR="00D137C9" w:rsidRPr="00DB0AC3">
        <w:rPr>
          <w:rStyle w:val="25"/>
          <w:bCs/>
          <w:color w:val="000000"/>
          <w:sz w:val="20"/>
          <w:szCs w:val="20"/>
        </w:rPr>
        <w:t xml:space="preserve"> процентного дохода сегмента с целью правильного распределения ресурсов по сегментам.</w:t>
      </w:r>
    </w:p>
    <w:p w:rsidR="0012601F" w:rsidRPr="00DB0AC3" w:rsidRDefault="0012601F" w:rsidP="00DB0AC3">
      <w:pPr>
        <w:pStyle w:val="210"/>
        <w:shd w:val="clear" w:color="auto" w:fill="auto"/>
        <w:spacing w:line="230" w:lineRule="exact"/>
        <w:ind w:firstLine="0"/>
        <w:jc w:val="both"/>
        <w:rPr>
          <w:b w:val="0"/>
          <w:sz w:val="20"/>
          <w:szCs w:val="20"/>
        </w:rPr>
      </w:pPr>
    </w:p>
    <w:p w:rsidR="0012601F" w:rsidRPr="001763A9" w:rsidRDefault="0012601F" w:rsidP="00DB0AC3">
      <w:pPr>
        <w:pStyle w:val="310"/>
        <w:numPr>
          <w:ilvl w:val="0"/>
          <w:numId w:val="34"/>
        </w:numPr>
        <w:shd w:val="clear" w:color="auto" w:fill="auto"/>
        <w:tabs>
          <w:tab w:val="left" w:pos="383"/>
        </w:tabs>
        <w:spacing w:line="200" w:lineRule="exact"/>
        <w:ind w:firstLine="0"/>
        <w:jc w:val="both"/>
        <w:rPr>
          <w:rStyle w:val="34"/>
          <w:bCs/>
          <w:i/>
          <w:iCs/>
          <w:shd w:val="clear" w:color="auto" w:fill="auto"/>
        </w:rPr>
      </w:pPr>
      <w:r w:rsidRPr="00DB0AC3">
        <w:rPr>
          <w:rStyle w:val="34"/>
          <w:bCs/>
          <w:i/>
          <w:iCs/>
          <w:color w:val="000000"/>
        </w:rPr>
        <w:t>Информация об отчетном сегменте прибыли или убытка, активах и обязательствах</w:t>
      </w:r>
    </w:p>
    <w:p w:rsidR="001763A9" w:rsidRPr="00DB0AC3" w:rsidRDefault="001763A9" w:rsidP="001763A9">
      <w:pPr>
        <w:pStyle w:val="310"/>
        <w:shd w:val="clear" w:color="auto" w:fill="auto"/>
        <w:tabs>
          <w:tab w:val="left" w:pos="383"/>
        </w:tabs>
        <w:spacing w:line="200" w:lineRule="exact"/>
        <w:ind w:firstLine="0"/>
        <w:jc w:val="both"/>
        <w:rPr>
          <w:b w:val="0"/>
        </w:rPr>
      </w:pPr>
    </w:p>
    <w:p w:rsidR="0012601F" w:rsidRPr="00DB0AC3" w:rsidRDefault="0012601F" w:rsidP="00DB0AC3">
      <w:pPr>
        <w:jc w:val="both"/>
        <w:rPr>
          <w:rFonts w:cs="Arial"/>
          <w:sz w:val="20"/>
          <w:lang w:val="ru-RU"/>
        </w:rPr>
      </w:pPr>
      <w:r w:rsidRPr="00DB0AC3">
        <w:rPr>
          <w:rFonts w:cs="Arial"/>
          <w:sz w:val="20"/>
          <w:lang w:val="ru-RU"/>
        </w:rPr>
        <w:t>Сегментная информация за год, закончившийся 31 декабря 2014 года:</w:t>
      </w:r>
    </w:p>
    <w:p w:rsidR="0012601F" w:rsidRPr="00DB0AC3" w:rsidRDefault="0012601F" w:rsidP="0009607F">
      <w:pPr>
        <w:rPr>
          <w:rFonts w:cs="Arial"/>
          <w:lang w:val="ru-RU"/>
        </w:rPr>
      </w:pPr>
    </w:p>
    <w:tbl>
      <w:tblPr>
        <w:tblW w:w="9195" w:type="dxa"/>
        <w:tblInd w:w="93" w:type="dxa"/>
        <w:tblLook w:val="04A0"/>
      </w:tblPr>
      <w:tblGrid>
        <w:gridCol w:w="2000"/>
        <w:gridCol w:w="1226"/>
        <w:gridCol w:w="1200"/>
        <w:gridCol w:w="1220"/>
        <w:gridCol w:w="1220"/>
        <w:gridCol w:w="909"/>
        <w:gridCol w:w="1420"/>
      </w:tblGrid>
      <w:tr w:rsidR="00010A9C" w:rsidRPr="00DB0AC3" w:rsidTr="00010A9C">
        <w:trPr>
          <w:trHeight w:val="1140"/>
        </w:trPr>
        <w:tc>
          <w:tcPr>
            <w:tcW w:w="2000" w:type="dxa"/>
            <w:tcBorders>
              <w:top w:val="nil"/>
              <w:left w:val="nil"/>
              <w:bottom w:val="nil"/>
              <w:right w:val="nil"/>
            </w:tcBorders>
            <w:shd w:val="clear" w:color="auto" w:fill="auto"/>
            <w:noWrap/>
            <w:vAlign w:val="bottom"/>
            <w:hideMark/>
          </w:tcPr>
          <w:p w:rsidR="00010A9C" w:rsidRPr="00DB0AC3" w:rsidRDefault="00010A9C" w:rsidP="00010A9C">
            <w:pPr>
              <w:rPr>
                <w:rFonts w:cs="Arial"/>
                <w:color w:val="000000"/>
                <w:szCs w:val="18"/>
                <w:lang w:val="ru-RU"/>
              </w:rPr>
            </w:pPr>
          </w:p>
        </w:tc>
        <w:tc>
          <w:tcPr>
            <w:tcW w:w="1226" w:type="dxa"/>
            <w:tcBorders>
              <w:top w:val="nil"/>
              <w:left w:val="nil"/>
              <w:bottom w:val="single" w:sz="4" w:space="0" w:color="auto"/>
              <w:right w:val="nil"/>
            </w:tcBorders>
            <w:shd w:val="clear" w:color="auto" w:fill="auto"/>
            <w:vAlign w:val="center"/>
            <w:hideMark/>
          </w:tcPr>
          <w:p w:rsidR="00010A9C" w:rsidRPr="00DB0AC3" w:rsidRDefault="00010A9C" w:rsidP="00010A9C">
            <w:pPr>
              <w:jc w:val="center"/>
              <w:rPr>
                <w:rFonts w:cs="Arial"/>
                <w:b/>
                <w:bCs/>
                <w:color w:val="000000"/>
                <w:szCs w:val="18"/>
                <w:lang w:val="ru-RU"/>
              </w:rPr>
            </w:pPr>
            <w:r w:rsidRPr="00DB0AC3">
              <w:rPr>
                <w:rFonts w:cs="Arial"/>
                <w:b/>
                <w:bCs/>
                <w:color w:val="000000"/>
                <w:szCs w:val="18"/>
                <w:lang w:val="ru-RU"/>
              </w:rPr>
              <w:t>Услуги для населения</w:t>
            </w:r>
          </w:p>
        </w:tc>
        <w:tc>
          <w:tcPr>
            <w:tcW w:w="1200"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Cs w:val="18"/>
                <w:lang w:val="ru-RU"/>
              </w:rPr>
            </w:pPr>
            <w:r w:rsidRPr="00DB0AC3">
              <w:rPr>
                <w:rFonts w:cs="Arial"/>
                <w:b/>
                <w:bCs/>
                <w:color w:val="000000"/>
                <w:szCs w:val="18"/>
                <w:lang w:val="ru-RU"/>
              </w:rPr>
              <w:t>Услуги корпора-тивным клиентам</w:t>
            </w:r>
          </w:p>
        </w:tc>
        <w:tc>
          <w:tcPr>
            <w:tcW w:w="1220"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Cs w:val="18"/>
                <w:lang w:val="ru-RU"/>
              </w:rPr>
            </w:pPr>
            <w:r w:rsidRPr="00DB0AC3">
              <w:rPr>
                <w:rFonts w:cs="Arial"/>
                <w:b/>
                <w:bCs/>
                <w:color w:val="000000"/>
                <w:szCs w:val="18"/>
                <w:lang w:val="ru-RU"/>
              </w:rPr>
              <w:t>Инвести-ционные услуги</w:t>
            </w:r>
          </w:p>
        </w:tc>
        <w:tc>
          <w:tcPr>
            <w:tcW w:w="1220"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Cs w:val="18"/>
                <w:lang w:val="ru-RU"/>
              </w:rPr>
            </w:pPr>
            <w:r w:rsidRPr="00DB0AC3">
              <w:rPr>
                <w:rFonts w:cs="Arial"/>
                <w:b/>
                <w:bCs/>
                <w:color w:val="000000"/>
                <w:szCs w:val="18"/>
                <w:lang w:val="ru-RU"/>
              </w:rPr>
              <w:t>Прочие</w:t>
            </w:r>
          </w:p>
        </w:tc>
        <w:tc>
          <w:tcPr>
            <w:tcW w:w="909"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Cs w:val="18"/>
                <w:lang w:val="ru-RU"/>
              </w:rPr>
            </w:pPr>
            <w:r w:rsidRPr="00DB0AC3">
              <w:rPr>
                <w:rFonts w:cs="Arial"/>
                <w:b/>
                <w:bCs/>
                <w:color w:val="000000"/>
                <w:szCs w:val="18"/>
                <w:lang w:val="ru-RU"/>
              </w:rPr>
              <w:t>Исклю-чения</w:t>
            </w:r>
          </w:p>
        </w:tc>
        <w:tc>
          <w:tcPr>
            <w:tcW w:w="1420"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Cs w:val="18"/>
                <w:lang w:val="ru-RU"/>
              </w:rPr>
            </w:pPr>
            <w:r w:rsidRPr="00DB0AC3">
              <w:rPr>
                <w:rFonts w:cs="Arial"/>
                <w:b/>
                <w:bCs/>
                <w:color w:val="000000"/>
                <w:szCs w:val="18"/>
                <w:lang w:val="ru-RU"/>
              </w:rPr>
              <w:t>Итого</w:t>
            </w:r>
          </w:p>
        </w:tc>
      </w:tr>
      <w:tr w:rsidR="00010A9C" w:rsidRPr="00DB0AC3" w:rsidTr="00010A9C">
        <w:trPr>
          <w:trHeight w:val="600"/>
        </w:trPr>
        <w:tc>
          <w:tcPr>
            <w:tcW w:w="2000" w:type="dxa"/>
            <w:tcBorders>
              <w:top w:val="nil"/>
              <w:left w:val="nil"/>
              <w:bottom w:val="nil"/>
              <w:right w:val="nil"/>
            </w:tcBorders>
            <w:shd w:val="clear" w:color="auto" w:fill="auto"/>
            <w:vAlign w:val="center"/>
            <w:hideMark/>
          </w:tcPr>
          <w:p w:rsidR="00010A9C" w:rsidRPr="00DB0AC3" w:rsidRDefault="00010A9C" w:rsidP="00010A9C">
            <w:pPr>
              <w:rPr>
                <w:rFonts w:cs="Arial"/>
                <w:color w:val="000000"/>
                <w:szCs w:val="18"/>
                <w:lang w:val="ru-RU"/>
              </w:rPr>
            </w:pPr>
            <w:r w:rsidRPr="00DB0AC3">
              <w:rPr>
                <w:rFonts w:cs="Arial"/>
                <w:color w:val="000000"/>
                <w:szCs w:val="18"/>
                <w:lang w:val="ru-RU"/>
              </w:rPr>
              <w:t>Прочие отчетные сегментные</w:t>
            </w:r>
            <w:r w:rsidR="00A02C17">
              <w:rPr>
                <w:rFonts w:cs="Arial"/>
                <w:color w:val="000000"/>
                <w:szCs w:val="18"/>
                <w:lang w:val="ru-RU"/>
              </w:rPr>
              <w:t xml:space="preserve"> активы</w:t>
            </w:r>
          </w:p>
        </w:tc>
        <w:tc>
          <w:tcPr>
            <w:tcW w:w="1226"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color w:val="000000"/>
                <w:szCs w:val="18"/>
                <w:lang w:val="ru-RU"/>
              </w:rPr>
            </w:pPr>
            <w:r w:rsidRPr="00DB0AC3">
              <w:rPr>
                <w:rFonts w:cs="Arial"/>
                <w:color w:val="000000"/>
                <w:szCs w:val="18"/>
                <w:lang w:val="ru-RU"/>
              </w:rPr>
              <w:t>992 832</w:t>
            </w:r>
          </w:p>
        </w:tc>
        <w:tc>
          <w:tcPr>
            <w:tcW w:w="120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color w:val="000000"/>
                <w:szCs w:val="18"/>
                <w:lang w:val="ru-RU"/>
              </w:rPr>
            </w:pPr>
            <w:r w:rsidRPr="00DB0AC3">
              <w:rPr>
                <w:rFonts w:cs="Arial"/>
                <w:color w:val="000000"/>
                <w:szCs w:val="18"/>
                <w:lang w:val="ru-RU"/>
              </w:rPr>
              <w:t>39 215 871</w:t>
            </w:r>
          </w:p>
        </w:tc>
        <w:tc>
          <w:tcPr>
            <w:tcW w:w="122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color w:val="000000"/>
                <w:szCs w:val="18"/>
                <w:lang w:val="ru-RU"/>
              </w:rPr>
            </w:pPr>
            <w:r w:rsidRPr="00DB0AC3">
              <w:rPr>
                <w:rFonts w:cs="Arial"/>
                <w:color w:val="000000"/>
                <w:szCs w:val="18"/>
                <w:lang w:val="ru-RU"/>
              </w:rPr>
              <w:t>894 846</w:t>
            </w:r>
          </w:p>
        </w:tc>
        <w:tc>
          <w:tcPr>
            <w:tcW w:w="122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color w:val="000000"/>
                <w:szCs w:val="18"/>
                <w:lang w:val="ru-RU"/>
              </w:rPr>
            </w:pPr>
            <w:r w:rsidRPr="00DB0AC3">
              <w:rPr>
                <w:rFonts w:cs="Arial"/>
                <w:color w:val="000000"/>
                <w:szCs w:val="18"/>
                <w:lang w:val="ru-RU"/>
              </w:rPr>
              <w:t>5 966 214</w:t>
            </w:r>
          </w:p>
        </w:tc>
        <w:tc>
          <w:tcPr>
            <w:tcW w:w="909"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 xml:space="preserve"> - </w:t>
            </w:r>
          </w:p>
        </w:tc>
        <w:tc>
          <w:tcPr>
            <w:tcW w:w="1420" w:type="dxa"/>
            <w:tcBorders>
              <w:top w:val="nil"/>
              <w:left w:val="nil"/>
              <w:bottom w:val="single" w:sz="4" w:space="0" w:color="auto"/>
              <w:right w:val="nil"/>
            </w:tcBorders>
            <w:shd w:val="clear" w:color="auto" w:fill="auto"/>
            <w:noWrap/>
            <w:vAlign w:val="bottom"/>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47 069 763</w:t>
            </w:r>
          </w:p>
        </w:tc>
      </w:tr>
      <w:tr w:rsidR="00010A9C" w:rsidRPr="00DB0AC3" w:rsidTr="00010A9C">
        <w:trPr>
          <w:trHeight w:val="900"/>
        </w:trPr>
        <w:tc>
          <w:tcPr>
            <w:tcW w:w="2000" w:type="dxa"/>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Итого отчетные сегментные активы</w:t>
            </w:r>
          </w:p>
        </w:tc>
        <w:tc>
          <w:tcPr>
            <w:tcW w:w="1226"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992 832</w:t>
            </w:r>
          </w:p>
        </w:tc>
        <w:tc>
          <w:tcPr>
            <w:tcW w:w="120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39 215 871</w:t>
            </w:r>
          </w:p>
        </w:tc>
        <w:tc>
          <w:tcPr>
            <w:tcW w:w="122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894 846</w:t>
            </w:r>
          </w:p>
        </w:tc>
        <w:tc>
          <w:tcPr>
            <w:tcW w:w="122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5 966 214</w:t>
            </w:r>
          </w:p>
        </w:tc>
        <w:tc>
          <w:tcPr>
            <w:tcW w:w="909"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 xml:space="preserve"> - </w:t>
            </w:r>
          </w:p>
        </w:tc>
        <w:tc>
          <w:tcPr>
            <w:tcW w:w="1420" w:type="dxa"/>
            <w:tcBorders>
              <w:top w:val="nil"/>
              <w:left w:val="nil"/>
              <w:bottom w:val="single" w:sz="4" w:space="0" w:color="auto"/>
              <w:right w:val="nil"/>
            </w:tcBorders>
            <w:shd w:val="clear" w:color="auto" w:fill="auto"/>
            <w:noWrap/>
            <w:vAlign w:val="bottom"/>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47 069 763</w:t>
            </w:r>
          </w:p>
        </w:tc>
      </w:tr>
      <w:tr w:rsidR="00010A9C" w:rsidRPr="00DB0AC3" w:rsidTr="00A02C17">
        <w:trPr>
          <w:trHeight w:val="900"/>
        </w:trPr>
        <w:tc>
          <w:tcPr>
            <w:tcW w:w="2000" w:type="dxa"/>
            <w:tcBorders>
              <w:top w:val="nil"/>
              <w:left w:val="nil"/>
              <w:bottom w:val="nil"/>
              <w:right w:val="nil"/>
            </w:tcBorders>
            <w:shd w:val="clear" w:color="auto" w:fill="auto"/>
            <w:vAlign w:val="center"/>
            <w:hideMark/>
          </w:tcPr>
          <w:p w:rsidR="00010A9C" w:rsidRPr="00DB0AC3" w:rsidRDefault="00010A9C" w:rsidP="00010A9C">
            <w:pPr>
              <w:rPr>
                <w:rFonts w:cs="Arial"/>
                <w:color w:val="000000"/>
                <w:szCs w:val="18"/>
                <w:lang w:val="ru-RU"/>
              </w:rPr>
            </w:pPr>
            <w:r w:rsidRPr="00DB0AC3">
              <w:rPr>
                <w:rFonts w:cs="Arial"/>
                <w:color w:val="000000"/>
                <w:szCs w:val="18"/>
                <w:lang w:val="ru-RU"/>
              </w:rPr>
              <w:t>Прочие отчетные сегментные обязательства</w:t>
            </w:r>
          </w:p>
        </w:tc>
        <w:tc>
          <w:tcPr>
            <w:tcW w:w="1226" w:type="dxa"/>
            <w:tcBorders>
              <w:top w:val="nil"/>
              <w:left w:val="nil"/>
              <w:bottom w:val="single" w:sz="4" w:space="0" w:color="auto"/>
              <w:right w:val="nil"/>
            </w:tcBorders>
            <w:shd w:val="clear" w:color="auto" w:fill="auto"/>
            <w:noWrap/>
            <w:vAlign w:val="bottom"/>
            <w:hideMark/>
          </w:tcPr>
          <w:p w:rsidR="00010A9C" w:rsidRPr="00DB0AC3" w:rsidRDefault="00010A9C" w:rsidP="00A02C17">
            <w:pPr>
              <w:jc w:val="right"/>
              <w:rPr>
                <w:rFonts w:cs="Arial"/>
                <w:color w:val="000000"/>
                <w:szCs w:val="18"/>
                <w:lang w:val="ru-RU"/>
              </w:rPr>
            </w:pPr>
            <w:r w:rsidRPr="00DB0AC3">
              <w:rPr>
                <w:rFonts w:cs="Arial"/>
                <w:color w:val="000000"/>
                <w:szCs w:val="18"/>
                <w:lang w:val="ru-RU"/>
              </w:rPr>
              <w:t>17 097 008</w:t>
            </w:r>
          </w:p>
        </w:tc>
        <w:tc>
          <w:tcPr>
            <w:tcW w:w="1200" w:type="dxa"/>
            <w:tcBorders>
              <w:top w:val="nil"/>
              <w:left w:val="nil"/>
              <w:bottom w:val="single" w:sz="4" w:space="0" w:color="auto"/>
              <w:right w:val="nil"/>
            </w:tcBorders>
            <w:shd w:val="clear" w:color="auto" w:fill="auto"/>
            <w:vAlign w:val="bottom"/>
            <w:hideMark/>
          </w:tcPr>
          <w:p w:rsidR="00010A9C" w:rsidRPr="00DB0AC3" w:rsidRDefault="00010A9C" w:rsidP="00A02C17">
            <w:pPr>
              <w:jc w:val="right"/>
              <w:rPr>
                <w:rFonts w:cs="Arial"/>
                <w:color w:val="000000"/>
                <w:szCs w:val="18"/>
                <w:lang w:val="ru-RU"/>
              </w:rPr>
            </w:pPr>
            <w:r w:rsidRPr="00DB0AC3">
              <w:rPr>
                <w:rFonts w:cs="Arial"/>
                <w:color w:val="000000"/>
                <w:szCs w:val="18"/>
                <w:lang w:val="ru-RU"/>
              </w:rPr>
              <w:t>24 586 801</w:t>
            </w:r>
          </w:p>
        </w:tc>
        <w:tc>
          <w:tcPr>
            <w:tcW w:w="1220" w:type="dxa"/>
            <w:tcBorders>
              <w:top w:val="nil"/>
              <w:left w:val="nil"/>
              <w:bottom w:val="single" w:sz="4" w:space="0" w:color="auto"/>
              <w:right w:val="nil"/>
            </w:tcBorders>
            <w:shd w:val="clear" w:color="auto" w:fill="auto"/>
            <w:vAlign w:val="bottom"/>
            <w:hideMark/>
          </w:tcPr>
          <w:p w:rsidR="00010A9C" w:rsidRPr="00DB0AC3" w:rsidRDefault="00010A9C" w:rsidP="00A02C17">
            <w:pPr>
              <w:jc w:val="right"/>
              <w:rPr>
                <w:rFonts w:cs="Arial"/>
                <w:color w:val="000000"/>
                <w:szCs w:val="18"/>
                <w:lang w:val="ru-RU"/>
              </w:rPr>
            </w:pPr>
            <w:r w:rsidRPr="00DB0AC3">
              <w:rPr>
                <w:rFonts w:cs="Arial"/>
                <w:color w:val="000000"/>
                <w:szCs w:val="18"/>
                <w:lang w:val="ru-RU"/>
              </w:rPr>
              <w:t>1 109 651</w:t>
            </w:r>
          </w:p>
        </w:tc>
        <w:tc>
          <w:tcPr>
            <w:tcW w:w="1220" w:type="dxa"/>
            <w:tcBorders>
              <w:top w:val="nil"/>
              <w:left w:val="nil"/>
              <w:bottom w:val="single" w:sz="4" w:space="0" w:color="auto"/>
              <w:right w:val="nil"/>
            </w:tcBorders>
            <w:shd w:val="clear" w:color="auto" w:fill="auto"/>
            <w:noWrap/>
            <w:vAlign w:val="bottom"/>
            <w:hideMark/>
          </w:tcPr>
          <w:p w:rsidR="00010A9C" w:rsidRPr="00DB0AC3" w:rsidRDefault="00010A9C" w:rsidP="00A02C17">
            <w:pPr>
              <w:jc w:val="right"/>
              <w:rPr>
                <w:rFonts w:cs="Arial"/>
                <w:color w:val="000000"/>
                <w:szCs w:val="18"/>
                <w:lang w:val="ru-RU"/>
              </w:rPr>
            </w:pPr>
            <w:r w:rsidRPr="00DB0AC3">
              <w:rPr>
                <w:rFonts w:cs="Arial"/>
                <w:color w:val="000000"/>
                <w:szCs w:val="18"/>
                <w:lang w:val="ru-RU"/>
              </w:rPr>
              <w:t>186 422</w:t>
            </w:r>
          </w:p>
        </w:tc>
        <w:tc>
          <w:tcPr>
            <w:tcW w:w="909" w:type="dxa"/>
            <w:tcBorders>
              <w:top w:val="nil"/>
              <w:left w:val="nil"/>
              <w:bottom w:val="single" w:sz="4" w:space="0" w:color="auto"/>
              <w:right w:val="nil"/>
            </w:tcBorders>
            <w:shd w:val="clear" w:color="auto" w:fill="auto"/>
            <w:noWrap/>
            <w:vAlign w:val="bottom"/>
            <w:hideMark/>
          </w:tcPr>
          <w:p w:rsidR="00010A9C" w:rsidRPr="00DB0AC3" w:rsidRDefault="00010A9C" w:rsidP="00A02C17">
            <w:pPr>
              <w:jc w:val="right"/>
              <w:rPr>
                <w:rFonts w:cs="Arial"/>
                <w:b/>
                <w:bCs/>
                <w:color w:val="000000"/>
                <w:szCs w:val="18"/>
                <w:lang w:val="ru-RU"/>
              </w:rPr>
            </w:pPr>
            <w:r w:rsidRPr="00DB0AC3">
              <w:rPr>
                <w:rFonts w:cs="Arial"/>
                <w:b/>
                <w:bCs/>
                <w:color w:val="000000"/>
                <w:szCs w:val="18"/>
                <w:lang w:val="ru-RU"/>
              </w:rPr>
              <w:t xml:space="preserve"> - </w:t>
            </w:r>
          </w:p>
        </w:tc>
        <w:tc>
          <w:tcPr>
            <w:tcW w:w="1420" w:type="dxa"/>
            <w:tcBorders>
              <w:top w:val="nil"/>
              <w:left w:val="nil"/>
              <w:bottom w:val="single" w:sz="4" w:space="0" w:color="auto"/>
              <w:right w:val="nil"/>
            </w:tcBorders>
            <w:shd w:val="clear" w:color="auto" w:fill="auto"/>
            <w:noWrap/>
            <w:vAlign w:val="bottom"/>
            <w:hideMark/>
          </w:tcPr>
          <w:p w:rsidR="00010A9C" w:rsidRPr="00DB0AC3" w:rsidRDefault="00010A9C" w:rsidP="00A02C17">
            <w:pPr>
              <w:jc w:val="right"/>
              <w:rPr>
                <w:rFonts w:cs="Arial"/>
                <w:b/>
                <w:bCs/>
                <w:color w:val="000000"/>
                <w:szCs w:val="18"/>
                <w:lang w:val="ru-RU"/>
              </w:rPr>
            </w:pPr>
            <w:r w:rsidRPr="00DB0AC3">
              <w:rPr>
                <w:rFonts w:cs="Arial"/>
                <w:b/>
                <w:bCs/>
                <w:color w:val="000000"/>
                <w:szCs w:val="18"/>
                <w:lang w:val="ru-RU"/>
              </w:rPr>
              <w:t>42 979 882</w:t>
            </w:r>
          </w:p>
        </w:tc>
      </w:tr>
      <w:tr w:rsidR="00010A9C" w:rsidRPr="00DB0AC3" w:rsidTr="00010A9C">
        <w:trPr>
          <w:trHeight w:val="900"/>
        </w:trPr>
        <w:tc>
          <w:tcPr>
            <w:tcW w:w="2000" w:type="dxa"/>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Итого отчетные сегментные  обязательства</w:t>
            </w:r>
          </w:p>
        </w:tc>
        <w:tc>
          <w:tcPr>
            <w:tcW w:w="1226"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17 097 008</w:t>
            </w:r>
          </w:p>
        </w:tc>
        <w:tc>
          <w:tcPr>
            <w:tcW w:w="120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24 586 801</w:t>
            </w:r>
          </w:p>
        </w:tc>
        <w:tc>
          <w:tcPr>
            <w:tcW w:w="122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1 109 651</w:t>
            </w:r>
          </w:p>
        </w:tc>
        <w:tc>
          <w:tcPr>
            <w:tcW w:w="1220"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186 422</w:t>
            </w:r>
          </w:p>
        </w:tc>
        <w:tc>
          <w:tcPr>
            <w:tcW w:w="909" w:type="dxa"/>
            <w:tcBorders>
              <w:top w:val="nil"/>
              <w:left w:val="nil"/>
              <w:bottom w:val="single" w:sz="4" w:space="0" w:color="auto"/>
              <w:right w:val="nil"/>
            </w:tcBorders>
            <w:shd w:val="clear" w:color="auto" w:fill="auto"/>
            <w:noWrap/>
            <w:vAlign w:val="center"/>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 xml:space="preserve"> - </w:t>
            </w:r>
          </w:p>
        </w:tc>
        <w:tc>
          <w:tcPr>
            <w:tcW w:w="1420" w:type="dxa"/>
            <w:tcBorders>
              <w:top w:val="nil"/>
              <w:left w:val="nil"/>
              <w:bottom w:val="single" w:sz="4" w:space="0" w:color="auto"/>
              <w:right w:val="nil"/>
            </w:tcBorders>
            <w:shd w:val="clear" w:color="auto" w:fill="auto"/>
            <w:noWrap/>
            <w:vAlign w:val="bottom"/>
            <w:hideMark/>
          </w:tcPr>
          <w:p w:rsidR="00010A9C" w:rsidRPr="00DB0AC3" w:rsidRDefault="00010A9C" w:rsidP="00010A9C">
            <w:pPr>
              <w:jc w:val="right"/>
              <w:rPr>
                <w:rFonts w:cs="Arial"/>
                <w:b/>
                <w:bCs/>
                <w:color w:val="000000"/>
                <w:szCs w:val="18"/>
                <w:lang w:val="ru-RU"/>
              </w:rPr>
            </w:pPr>
            <w:r w:rsidRPr="00DB0AC3">
              <w:rPr>
                <w:rFonts w:cs="Arial"/>
                <w:b/>
                <w:bCs/>
                <w:color w:val="000000"/>
                <w:szCs w:val="18"/>
                <w:lang w:val="ru-RU"/>
              </w:rPr>
              <w:t>42 979 882</w:t>
            </w:r>
          </w:p>
        </w:tc>
      </w:tr>
      <w:tr w:rsidR="00010A9C" w:rsidRPr="00DB0AC3" w:rsidTr="00010A9C">
        <w:trPr>
          <w:trHeight w:val="615"/>
        </w:trPr>
        <w:tc>
          <w:tcPr>
            <w:tcW w:w="2000" w:type="dxa"/>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Cs w:val="18"/>
                <w:lang w:val="ru-RU"/>
              </w:rPr>
            </w:pPr>
            <w:r w:rsidRPr="00DB0AC3">
              <w:rPr>
                <w:rFonts w:eastAsia="Arial" w:cs="Arial"/>
                <w:b/>
                <w:bCs/>
                <w:color w:val="000000"/>
                <w:szCs w:val="18"/>
                <w:lang w:val="ru-RU"/>
              </w:rPr>
              <w:t>Капитальные затраты</w:t>
            </w:r>
          </w:p>
        </w:tc>
        <w:tc>
          <w:tcPr>
            <w:tcW w:w="1226" w:type="dxa"/>
            <w:tcBorders>
              <w:top w:val="nil"/>
              <w:left w:val="nil"/>
              <w:bottom w:val="double" w:sz="6" w:space="0" w:color="auto"/>
              <w:right w:val="nil"/>
            </w:tcBorders>
            <w:shd w:val="clear" w:color="auto" w:fill="auto"/>
            <w:noWrap/>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 xml:space="preserve">                  -     </w:t>
            </w:r>
          </w:p>
        </w:tc>
        <w:tc>
          <w:tcPr>
            <w:tcW w:w="1200" w:type="dxa"/>
            <w:tcBorders>
              <w:top w:val="nil"/>
              <w:left w:val="nil"/>
              <w:bottom w:val="double" w:sz="6" w:space="0" w:color="auto"/>
              <w:right w:val="nil"/>
            </w:tcBorders>
            <w:shd w:val="clear" w:color="auto" w:fill="auto"/>
            <w:noWrap/>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 xml:space="preserve">                  -     </w:t>
            </w:r>
          </w:p>
        </w:tc>
        <w:tc>
          <w:tcPr>
            <w:tcW w:w="1220" w:type="dxa"/>
            <w:tcBorders>
              <w:top w:val="nil"/>
              <w:left w:val="nil"/>
              <w:bottom w:val="double" w:sz="6" w:space="0" w:color="auto"/>
              <w:right w:val="nil"/>
            </w:tcBorders>
            <w:shd w:val="clear" w:color="auto" w:fill="auto"/>
            <w:noWrap/>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 xml:space="preserve">                  -     </w:t>
            </w:r>
          </w:p>
        </w:tc>
        <w:tc>
          <w:tcPr>
            <w:tcW w:w="1220" w:type="dxa"/>
            <w:tcBorders>
              <w:top w:val="nil"/>
              <w:left w:val="nil"/>
              <w:bottom w:val="double" w:sz="6" w:space="0" w:color="auto"/>
              <w:right w:val="nil"/>
            </w:tcBorders>
            <w:shd w:val="clear" w:color="auto" w:fill="auto"/>
            <w:noWrap/>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 xml:space="preserve">                  -     </w:t>
            </w:r>
          </w:p>
        </w:tc>
        <w:tc>
          <w:tcPr>
            <w:tcW w:w="909" w:type="dxa"/>
            <w:tcBorders>
              <w:top w:val="nil"/>
              <w:left w:val="nil"/>
              <w:bottom w:val="double" w:sz="6" w:space="0" w:color="auto"/>
              <w:right w:val="nil"/>
            </w:tcBorders>
            <w:shd w:val="clear" w:color="auto" w:fill="auto"/>
            <w:noWrap/>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 xml:space="preserve">          -     </w:t>
            </w:r>
          </w:p>
        </w:tc>
        <w:tc>
          <w:tcPr>
            <w:tcW w:w="1420" w:type="dxa"/>
            <w:tcBorders>
              <w:top w:val="nil"/>
              <w:left w:val="nil"/>
              <w:bottom w:val="double" w:sz="6" w:space="0" w:color="auto"/>
              <w:right w:val="nil"/>
            </w:tcBorders>
            <w:shd w:val="clear" w:color="auto" w:fill="auto"/>
            <w:noWrap/>
            <w:vAlign w:val="center"/>
            <w:hideMark/>
          </w:tcPr>
          <w:p w:rsidR="00010A9C" w:rsidRPr="00DB0AC3" w:rsidRDefault="00010A9C" w:rsidP="00010A9C">
            <w:pPr>
              <w:rPr>
                <w:rFonts w:cs="Arial"/>
                <w:b/>
                <w:bCs/>
                <w:color w:val="000000"/>
                <w:szCs w:val="18"/>
                <w:lang w:val="ru-RU"/>
              </w:rPr>
            </w:pPr>
            <w:r w:rsidRPr="00DB0AC3">
              <w:rPr>
                <w:rFonts w:cs="Arial"/>
                <w:b/>
                <w:bCs/>
                <w:color w:val="000000"/>
                <w:szCs w:val="18"/>
                <w:lang w:val="ru-RU"/>
              </w:rPr>
              <w:t xml:space="preserve">                       -     </w:t>
            </w:r>
          </w:p>
        </w:tc>
      </w:tr>
    </w:tbl>
    <w:p w:rsidR="001763A9" w:rsidRDefault="001763A9" w:rsidP="00DB0AC3">
      <w:pPr>
        <w:pStyle w:val="210"/>
        <w:shd w:val="clear" w:color="auto" w:fill="auto"/>
        <w:spacing w:line="230" w:lineRule="exact"/>
        <w:ind w:firstLine="0"/>
        <w:jc w:val="both"/>
        <w:rPr>
          <w:rStyle w:val="25"/>
          <w:bCs/>
          <w:color w:val="000000"/>
          <w:sz w:val="20"/>
          <w:szCs w:val="20"/>
        </w:rPr>
      </w:pPr>
    </w:p>
    <w:p w:rsidR="00010A9C" w:rsidRPr="00DB0AC3" w:rsidRDefault="00010A9C" w:rsidP="00DB0AC3">
      <w:pPr>
        <w:pStyle w:val="210"/>
        <w:shd w:val="clear" w:color="auto" w:fill="auto"/>
        <w:spacing w:line="230" w:lineRule="exact"/>
        <w:ind w:firstLine="0"/>
        <w:jc w:val="both"/>
        <w:rPr>
          <w:b w:val="0"/>
          <w:sz w:val="20"/>
          <w:szCs w:val="20"/>
        </w:rPr>
      </w:pPr>
      <w:r w:rsidRPr="00DB0AC3">
        <w:rPr>
          <w:rStyle w:val="25"/>
          <w:bCs/>
          <w:color w:val="000000"/>
          <w:sz w:val="20"/>
          <w:szCs w:val="20"/>
        </w:rPr>
        <w:t>Капитальные затраты представляют собой дополнения к внеоборотным активам, за исключением финансовых инструментов, отложенных налоговых активов, активов по планам вознаграждений по окончании трудовой деятельности, а также прав, возникающих по договорам страхования.</w:t>
      </w: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tbl>
      <w:tblPr>
        <w:tblW w:w="9392" w:type="dxa"/>
        <w:tblInd w:w="93" w:type="dxa"/>
        <w:tblLook w:val="04A0"/>
      </w:tblPr>
      <w:tblGrid>
        <w:gridCol w:w="2283"/>
        <w:gridCol w:w="77"/>
        <w:gridCol w:w="1199"/>
        <w:gridCol w:w="142"/>
        <w:gridCol w:w="1559"/>
        <w:gridCol w:w="1334"/>
        <w:gridCol w:w="1380"/>
        <w:gridCol w:w="1418"/>
      </w:tblGrid>
      <w:tr w:rsidR="00010A9C" w:rsidRPr="00A02C17" w:rsidTr="001763A9">
        <w:trPr>
          <w:trHeight w:val="900"/>
        </w:trPr>
        <w:tc>
          <w:tcPr>
            <w:tcW w:w="2283" w:type="dxa"/>
            <w:tcBorders>
              <w:top w:val="nil"/>
              <w:left w:val="nil"/>
              <w:bottom w:val="nil"/>
              <w:right w:val="nil"/>
            </w:tcBorders>
            <w:shd w:val="clear" w:color="auto" w:fill="auto"/>
            <w:noWrap/>
            <w:vAlign w:val="bottom"/>
            <w:hideMark/>
          </w:tcPr>
          <w:p w:rsidR="00010A9C" w:rsidRPr="00A02C17" w:rsidRDefault="00010A9C" w:rsidP="00010A9C">
            <w:pPr>
              <w:rPr>
                <w:rFonts w:cs="Arial"/>
                <w:color w:val="000000"/>
                <w:sz w:val="20"/>
                <w:lang w:val="ru-RU"/>
              </w:rPr>
            </w:pPr>
          </w:p>
        </w:tc>
        <w:tc>
          <w:tcPr>
            <w:tcW w:w="1276" w:type="dxa"/>
            <w:gridSpan w:val="2"/>
            <w:tcBorders>
              <w:top w:val="nil"/>
              <w:left w:val="nil"/>
              <w:bottom w:val="single" w:sz="4" w:space="0" w:color="auto"/>
              <w:right w:val="nil"/>
            </w:tcBorders>
            <w:shd w:val="clear" w:color="auto" w:fill="auto"/>
            <w:vAlign w:val="center"/>
            <w:hideMark/>
          </w:tcPr>
          <w:p w:rsidR="00010A9C" w:rsidRPr="00A02C17" w:rsidRDefault="00010A9C" w:rsidP="00010A9C">
            <w:pPr>
              <w:jc w:val="center"/>
              <w:rPr>
                <w:rFonts w:cs="Arial"/>
                <w:b/>
                <w:bCs/>
                <w:color w:val="000000"/>
                <w:sz w:val="20"/>
                <w:lang w:val="ru-RU"/>
              </w:rPr>
            </w:pPr>
            <w:r w:rsidRPr="00A02C17">
              <w:rPr>
                <w:rFonts w:cs="Arial"/>
                <w:b/>
                <w:bCs/>
                <w:color w:val="000000"/>
                <w:sz w:val="20"/>
                <w:lang w:val="ru-RU"/>
              </w:rPr>
              <w:t>Услуги для населения</w:t>
            </w:r>
          </w:p>
        </w:tc>
        <w:tc>
          <w:tcPr>
            <w:tcW w:w="1701" w:type="dxa"/>
            <w:gridSpan w:val="2"/>
            <w:tcBorders>
              <w:top w:val="nil"/>
              <w:left w:val="nil"/>
              <w:bottom w:val="single" w:sz="4" w:space="0" w:color="auto"/>
              <w:right w:val="nil"/>
            </w:tcBorders>
            <w:shd w:val="clear" w:color="auto" w:fill="auto"/>
            <w:vAlign w:val="bottom"/>
            <w:hideMark/>
          </w:tcPr>
          <w:p w:rsidR="00010A9C" w:rsidRPr="00A02C17" w:rsidRDefault="00010A9C" w:rsidP="00010A9C">
            <w:pPr>
              <w:jc w:val="center"/>
              <w:rPr>
                <w:rFonts w:cs="Arial"/>
                <w:b/>
                <w:bCs/>
                <w:color w:val="000000"/>
                <w:sz w:val="20"/>
                <w:lang w:val="ru-RU"/>
              </w:rPr>
            </w:pPr>
            <w:r w:rsidRPr="00A02C17">
              <w:rPr>
                <w:rFonts w:cs="Arial"/>
                <w:b/>
                <w:bCs/>
                <w:color w:val="000000"/>
                <w:sz w:val="20"/>
                <w:lang w:val="ru-RU"/>
              </w:rPr>
              <w:t>Услуги корпора-тивным клиентам</w:t>
            </w:r>
          </w:p>
        </w:tc>
        <w:tc>
          <w:tcPr>
            <w:tcW w:w="1334" w:type="dxa"/>
            <w:tcBorders>
              <w:top w:val="nil"/>
              <w:left w:val="nil"/>
              <w:bottom w:val="single" w:sz="4" w:space="0" w:color="auto"/>
              <w:right w:val="nil"/>
            </w:tcBorders>
            <w:shd w:val="clear" w:color="auto" w:fill="auto"/>
            <w:vAlign w:val="bottom"/>
            <w:hideMark/>
          </w:tcPr>
          <w:p w:rsidR="00010A9C" w:rsidRPr="00A02C17" w:rsidRDefault="00010A9C" w:rsidP="00010A9C">
            <w:pPr>
              <w:jc w:val="center"/>
              <w:rPr>
                <w:rFonts w:cs="Arial"/>
                <w:b/>
                <w:bCs/>
                <w:color w:val="000000"/>
                <w:sz w:val="20"/>
                <w:lang w:val="ru-RU"/>
              </w:rPr>
            </w:pPr>
            <w:r w:rsidRPr="00A02C17">
              <w:rPr>
                <w:rFonts w:cs="Arial"/>
                <w:b/>
                <w:bCs/>
                <w:color w:val="000000"/>
                <w:sz w:val="20"/>
                <w:lang w:val="ru-RU"/>
              </w:rPr>
              <w:t>Инвести-ционные услуги</w:t>
            </w:r>
          </w:p>
        </w:tc>
        <w:tc>
          <w:tcPr>
            <w:tcW w:w="1380" w:type="dxa"/>
            <w:tcBorders>
              <w:top w:val="nil"/>
              <w:left w:val="nil"/>
              <w:bottom w:val="single" w:sz="4" w:space="0" w:color="auto"/>
              <w:right w:val="nil"/>
            </w:tcBorders>
            <w:shd w:val="clear" w:color="auto" w:fill="auto"/>
            <w:vAlign w:val="bottom"/>
            <w:hideMark/>
          </w:tcPr>
          <w:p w:rsidR="00010A9C" w:rsidRPr="00A02C17" w:rsidRDefault="00010A9C" w:rsidP="00010A9C">
            <w:pPr>
              <w:jc w:val="center"/>
              <w:rPr>
                <w:rFonts w:cs="Arial"/>
                <w:b/>
                <w:bCs/>
                <w:color w:val="000000"/>
                <w:sz w:val="20"/>
                <w:lang w:val="ru-RU"/>
              </w:rPr>
            </w:pPr>
            <w:r w:rsidRPr="00A02C17">
              <w:rPr>
                <w:rFonts w:cs="Arial"/>
                <w:b/>
                <w:bCs/>
                <w:color w:val="000000"/>
                <w:sz w:val="20"/>
                <w:lang w:val="ru-RU"/>
              </w:rPr>
              <w:t>Прочие</w:t>
            </w:r>
          </w:p>
        </w:tc>
        <w:tc>
          <w:tcPr>
            <w:tcW w:w="1418" w:type="dxa"/>
            <w:tcBorders>
              <w:top w:val="nil"/>
              <w:left w:val="nil"/>
              <w:bottom w:val="single" w:sz="4" w:space="0" w:color="auto"/>
              <w:right w:val="nil"/>
            </w:tcBorders>
            <w:shd w:val="clear" w:color="auto" w:fill="auto"/>
            <w:vAlign w:val="bottom"/>
            <w:hideMark/>
          </w:tcPr>
          <w:p w:rsidR="00010A9C" w:rsidRPr="00A02C17" w:rsidRDefault="00010A9C" w:rsidP="00010A9C">
            <w:pPr>
              <w:jc w:val="center"/>
              <w:rPr>
                <w:rFonts w:cs="Arial"/>
                <w:b/>
                <w:bCs/>
                <w:color w:val="000000"/>
                <w:sz w:val="20"/>
                <w:lang w:val="ru-RU"/>
              </w:rPr>
            </w:pPr>
            <w:r w:rsidRPr="00A02C17">
              <w:rPr>
                <w:rFonts w:cs="Arial"/>
                <w:b/>
                <w:bCs/>
                <w:color w:val="000000"/>
                <w:sz w:val="20"/>
                <w:lang w:val="ru-RU"/>
              </w:rPr>
              <w:t>Итого</w:t>
            </w:r>
          </w:p>
        </w:tc>
      </w:tr>
      <w:tr w:rsidR="00010A9C" w:rsidRPr="00A02C17" w:rsidTr="001763A9">
        <w:trPr>
          <w:trHeight w:val="300"/>
        </w:trPr>
        <w:tc>
          <w:tcPr>
            <w:tcW w:w="2360" w:type="dxa"/>
            <w:gridSpan w:val="2"/>
            <w:tcBorders>
              <w:top w:val="nil"/>
              <w:left w:val="nil"/>
              <w:bottom w:val="nil"/>
              <w:right w:val="nil"/>
            </w:tcBorders>
            <w:shd w:val="clear" w:color="auto" w:fill="auto"/>
            <w:noWrap/>
            <w:vAlign w:val="bottom"/>
            <w:hideMark/>
          </w:tcPr>
          <w:p w:rsidR="00010A9C" w:rsidRPr="00A02C17" w:rsidRDefault="00010A9C" w:rsidP="00010A9C">
            <w:pPr>
              <w:rPr>
                <w:rFonts w:cs="Arial"/>
                <w:color w:val="000000"/>
                <w:sz w:val="20"/>
                <w:lang w:val="ru-RU"/>
              </w:rPr>
            </w:pPr>
          </w:p>
        </w:tc>
        <w:tc>
          <w:tcPr>
            <w:tcW w:w="1341" w:type="dxa"/>
            <w:gridSpan w:val="2"/>
            <w:tcBorders>
              <w:top w:val="nil"/>
              <w:left w:val="nil"/>
              <w:bottom w:val="nil"/>
              <w:right w:val="nil"/>
            </w:tcBorders>
            <w:shd w:val="clear" w:color="auto" w:fill="auto"/>
            <w:noWrap/>
            <w:vAlign w:val="center"/>
            <w:hideMark/>
          </w:tcPr>
          <w:p w:rsidR="00010A9C" w:rsidRPr="00A02C17" w:rsidRDefault="00010A9C" w:rsidP="00010A9C">
            <w:pPr>
              <w:jc w:val="right"/>
              <w:rPr>
                <w:rFonts w:cs="Arial"/>
                <w:color w:val="000000"/>
                <w:sz w:val="20"/>
                <w:lang w:val="ru-RU"/>
              </w:rPr>
            </w:pPr>
          </w:p>
        </w:tc>
        <w:tc>
          <w:tcPr>
            <w:tcW w:w="1559" w:type="dxa"/>
            <w:tcBorders>
              <w:top w:val="nil"/>
              <w:left w:val="nil"/>
              <w:bottom w:val="nil"/>
              <w:right w:val="nil"/>
            </w:tcBorders>
            <w:shd w:val="clear" w:color="auto" w:fill="auto"/>
            <w:vAlign w:val="bottom"/>
            <w:hideMark/>
          </w:tcPr>
          <w:p w:rsidR="00010A9C" w:rsidRPr="00A02C17" w:rsidRDefault="00010A9C" w:rsidP="00010A9C">
            <w:pPr>
              <w:jc w:val="right"/>
              <w:rPr>
                <w:rFonts w:cs="Arial"/>
                <w:color w:val="000000"/>
                <w:sz w:val="20"/>
                <w:lang w:val="ru-RU"/>
              </w:rPr>
            </w:pPr>
          </w:p>
        </w:tc>
        <w:tc>
          <w:tcPr>
            <w:tcW w:w="1334" w:type="dxa"/>
            <w:tcBorders>
              <w:top w:val="nil"/>
              <w:left w:val="nil"/>
              <w:bottom w:val="nil"/>
              <w:right w:val="nil"/>
            </w:tcBorders>
            <w:shd w:val="clear" w:color="auto" w:fill="auto"/>
            <w:vAlign w:val="bottom"/>
            <w:hideMark/>
          </w:tcPr>
          <w:p w:rsidR="00010A9C" w:rsidRPr="00A02C17" w:rsidRDefault="00010A9C" w:rsidP="00010A9C">
            <w:pPr>
              <w:jc w:val="right"/>
              <w:rPr>
                <w:rFonts w:cs="Arial"/>
                <w:color w:val="000000"/>
                <w:sz w:val="20"/>
                <w:lang w:val="ru-RU"/>
              </w:rPr>
            </w:pPr>
          </w:p>
        </w:tc>
        <w:tc>
          <w:tcPr>
            <w:tcW w:w="1380" w:type="dxa"/>
            <w:tcBorders>
              <w:top w:val="nil"/>
              <w:left w:val="nil"/>
              <w:bottom w:val="nil"/>
              <w:right w:val="nil"/>
            </w:tcBorders>
            <w:shd w:val="clear" w:color="auto" w:fill="auto"/>
            <w:noWrap/>
            <w:vAlign w:val="bottom"/>
            <w:hideMark/>
          </w:tcPr>
          <w:p w:rsidR="00010A9C" w:rsidRPr="00A02C17" w:rsidRDefault="00010A9C" w:rsidP="00010A9C">
            <w:pPr>
              <w:jc w:val="right"/>
              <w:rPr>
                <w:rFonts w:cs="Arial"/>
                <w:color w:val="000000"/>
                <w:sz w:val="20"/>
                <w:lang w:val="ru-RU"/>
              </w:rPr>
            </w:pPr>
          </w:p>
        </w:tc>
        <w:tc>
          <w:tcPr>
            <w:tcW w:w="1418" w:type="dxa"/>
            <w:tcBorders>
              <w:top w:val="nil"/>
              <w:left w:val="nil"/>
              <w:bottom w:val="nil"/>
              <w:right w:val="nil"/>
            </w:tcBorders>
            <w:shd w:val="clear" w:color="auto" w:fill="auto"/>
            <w:noWrap/>
            <w:vAlign w:val="bottom"/>
            <w:hideMark/>
          </w:tcPr>
          <w:p w:rsidR="00010A9C" w:rsidRPr="00A02C17" w:rsidRDefault="00010A9C" w:rsidP="00010A9C">
            <w:pPr>
              <w:jc w:val="right"/>
              <w:rPr>
                <w:rFonts w:cs="Arial"/>
                <w:b/>
                <w:bCs/>
                <w:color w:val="000000"/>
                <w:sz w:val="20"/>
                <w:lang w:val="ru-RU"/>
              </w:rPr>
            </w:pPr>
          </w:p>
        </w:tc>
      </w:tr>
      <w:tr w:rsidR="00010A9C" w:rsidRPr="00A02C17" w:rsidTr="001763A9">
        <w:trPr>
          <w:trHeight w:val="3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Внешние доходы</w:t>
            </w:r>
          </w:p>
        </w:tc>
        <w:tc>
          <w:tcPr>
            <w:tcW w:w="1341" w:type="dxa"/>
            <w:gridSpan w:val="2"/>
            <w:tcBorders>
              <w:top w:val="nil"/>
              <w:left w:val="nil"/>
              <w:bottom w:val="nil"/>
              <w:right w:val="nil"/>
            </w:tcBorders>
            <w:shd w:val="clear" w:color="auto" w:fill="auto"/>
            <w:noWrap/>
            <w:vAlign w:val="center"/>
            <w:hideMark/>
          </w:tcPr>
          <w:p w:rsidR="00010A9C" w:rsidRPr="00A02C17" w:rsidRDefault="00010A9C" w:rsidP="00010A9C">
            <w:pPr>
              <w:jc w:val="right"/>
              <w:rPr>
                <w:rFonts w:cs="Arial"/>
                <w:color w:val="000000"/>
                <w:sz w:val="20"/>
                <w:lang w:val="ru-RU"/>
              </w:rPr>
            </w:pPr>
          </w:p>
        </w:tc>
        <w:tc>
          <w:tcPr>
            <w:tcW w:w="1559" w:type="dxa"/>
            <w:tcBorders>
              <w:top w:val="nil"/>
              <w:left w:val="nil"/>
              <w:bottom w:val="nil"/>
              <w:right w:val="nil"/>
            </w:tcBorders>
            <w:shd w:val="clear" w:color="auto" w:fill="auto"/>
            <w:vAlign w:val="bottom"/>
            <w:hideMark/>
          </w:tcPr>
          <w:p w:rsidR="00010A9C" w:rsidRPr="00A02C17" w:rsidRDefault="00010A9C" w:rsidP="00010A9C">
            <w:pPr>
              <w:jc w:val="right"/>
              <w:rPr>
                <w:rFonts w:cs="Arial"/>
                <w:color w:val="000000"/>
                <w:sz w:val="20"/>
                <w:lang w:val="ru-RU"/>
              </w:rPr>
            </w:pPr>
          </w:p>
        </w:tc>
        <w:tc>
          <w:tcPr>
            <w:tcW w:w="1334" w:type="dxa"/>
            <w:tcBorders>
              <w:top w:val="nil"/>
              <w:left w:val="nil"/>
              <w:bottom w:val="nil"/>
              <w:right w:val="nil"/>
            </w:tcBorders>
            <w:shd w:val="clear" w:color="auto" w:fill="auto"/>
            <w:vAlign w:val="bottom"/>
            <w:hideMark/>
          </w:tcPr>
          <w:p w:rsidR="00010A9C" w:rsidRPr="00A02C17" w:rsidRDefault="00010A9C" w:rsidP="00010A9C">
            <w:pPr>
              <w:jc w:val="right"/>
              <w:rPr>
                <w:rFonts w:cs="Arial"/>
                <w:color w:val="000000"/>
                <w:sz w:val="20"/>
                <w:lang w:val="ru-RU"/>
              </w:rPr>
            </w:pPr>
          </w:p>
        </w:tc>
        <w:tc>
          <w:tcPr>
            <w:tcW w:w="1380" w:type="dxa"/>
            <w:tcBorders>
              <w:top w:val="nil"/>
              <w:left w:val="nil"/>
              <w:bottom w:val="nil"/>
              <w:right w:val="nil"/>
            </w:tcBorders>
            <w:shd w:val="clear" w:color="auto" w:fill="auto"/>
            <w:noWrap/>
            <w:vAlign w:val="bottom"/>
            <w:hideMark/>
          </w:tcPr>
          <w:p w:rsidR="00010A9C" w:rsidRPr="00A02C17" w:rsidRDefault="00010A9C" w:rsidP="00010A9C">
            <w:pPr>
              <w:jc w:val="right"/>
              <w:rPr>
                <w:rFonts w:cs="Arial"/>
                <w:color w:val="000000"/>
                <w:sz w:val="20"/>
                <w:lang w:val="ru-RU"/>
              </w:rPr>
            </w:pPr>
          </w:p>
        </w:tc>
        <w:tc>
          <w:tcPr>
            <w:tcW w:w="1418" w:type="dxa"/>
            <w:tcBorders>
              <w:top w:val="nil"/>
              <w:left w:val="nil"/>
              <w:bottom w:val="nil"/>
              <w:right w:val="nil"/>
            </w:tcBorders>
            <w:shd w:val="clear" w:color="auto" w:fill="auto"/>
            <w:noWrap/>
            <w:vAlign w:val="bottom"/>
            <w:hideMark/>
          </w:tcPr>
          <w:p w:rsidR="00010A9C" w:rsidRPr="00A02C17" w:rsidRDefault="00010A9C" w:rsidP="00010A9C">
            <w:pPr>
              <w:jc w:val="right"/>
              <w:rPr>
                <w:rFonts w:cs="Arial"/>
                <w:b/>
                <w:bCs/>
                <w:color w:val="000000"/>
                <w:sz w:val="20"/>
                <w:lang w:val="ru-RU"/>
              </w:rPr>
            </w:pP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Процентные доходы</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162 480</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4 569 392</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45 781</w:t>
            </w: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418"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4 777 653</w:t>
            </w: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bookmarkStart w:id="227" w:name="RANGE!A133"/>
            <w:r w:rsidRPr="00A02C17">
              <w:rPr>
                <w:rFonts w:cs="Arial"/>
                <w:color w:val="000000"/>
                <w:sz w:val="20"/>
                <w:lang w:val="ru-RU"/>
              </w:rPr>
              <w:t>Комиссионные доходы</w:t>
            </w:r>
            <w:bookmarkEnd w:id="227"/>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70 976</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356 477</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418"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427 453</w:t>
            </w:r>
          </w:p>
        </w:tc>
      </w:tr>
      <w:tr w:rsidR="00010A9C" w:rsidRPr="00A02C17" w:rsidTr="001763A9">
        <w:trPr>
          <w:trHeight w:val="9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Прочие операционные доходы</w:t>
            </w:r>
          </w:p>
        </w:tc>
        <w:tc>
          <w:tcPr>
            <w:tcW w:w="1341" w:type="dxa"/>
            <w:gridSpan w:val="2"/>
            <w:tcBorders>
              <w:top w:val="nil"/>
              <w:left w:val="nil"/>
              <w:bottom w:val="single" w:sz="4" w:space="0" w:color="auto"/>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9 751</w:t>
            </w:r>
          </w:p>
        </w:tc>
        <w:tc>
          <w:tcPr>
            <w:tcW w:w="1559" w:type="dxa"/>
            <w:tcBorders>
              <w:top w:val="nil"/>
              <w:left w:val="nil"/>
              <w:bottom w:val="single" w:sz="4" w:space="0" w:color="auto"/>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19 090</w:t>
            </w:r>
          </w:p>
        </w:tc>
        <w:tc>
          <w:tcPr>
            <w:tcW w:w="1334" w:type="dxa"/>
            <w:tcBorders>
              <w:top w:val="nil"/>
              <w:left w:val="nil"/>
              <w:bottom w:val="single" w:sz="4" w:space="0" w:color="auto"/>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3 664</w:t>
            </w:r>
          </w:p>
        </w:tc>
        <w:tc>
          <w:tcPr>
            <w:tcW w:w="1380" w:type="dxa"/>
            <w:tcBorders>
              <w:top w:val="nil"/>
              <w:left w:val="nil"/>
              <w:bottom w:val="single" w:sz="4" w:space="0" w:color="auto"/>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5 630</w:t>
            </w:r>
          </w:p>
        </w:tc>
        <w:tc>
          <w:tcPr>
            <w:tcW w:w="1418" w:type="dxa"/>
            <w:tcBorders>
              <w:top w:val="nil"/>
              <w:left w:val="nil"/>
              <w:bottom w:val="single" w:sz="4" w:space="0" w:color="auto"/>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38 135</w:t>
            </w:r>
          </w:p>
        </w:tc>
      </w:tr>
      <w:tr w:rsidR="00D56E35" w:rsidRPr="00A02C17" w:rsidTr="001763A9">
        <w:trPr>
          <w:trHeight w:val="3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b/>
                <w:bCs/>
                <w:color w:val="000000"/>
                <w:sz w:val="20"/>
                <w:lang w:val="ru-RU"/>
              </w:rPr>
            </w:pPr>
            <w:r w:rsidRPr="00A02C17">
              <w:rPr>
                <w:rFonts w:cs="Arial"/>
                <w:b/>
                <w:bCs/>
                <w:color w:val="000000"/>
                <w:sz w:val="20"/>
                <w:lang w:val="ru-RU"/>
              </w:rPr>
              <w:t>Итого доходы</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243 207</w:t>
            </w:r>
          </w:p>
        </w:tc>
        <w:tc>
          <w:tcPr>
            <w:tcW w:w="1559"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4 944 959</w:t>
            </w:r>
          </w:p>
        </w:tc>
        <w:tc>
          <w:tcPr>
            <w:tcW w:w="1334"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49 445</w:t>
            </w: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5 630</w:t>
            </w:r>
          </w:p>
        </w:tc>
        <w:tc>
          <w:tcPr>
            <w:tcW w:w="1418"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5 243 241</w:t>
            </w:r>
          </w:p>
        </w:tc>
      </w:tr>
      <w:tr w:rsidR="00010A9C" w:rsidRPr="00A02C17" w:rsidTr="001763A9">
        <w:trPr>
          <w:trHeight w:val="3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p>
        </w:tc>
        <w:tc>
          <w:tcPr>
            <w:tcW w:w="1418"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b/>
                <w:bCs/>
                <w:color w:val="000000"/>
                <w:sz w:val="20"/>
                <w:lang w:val="ru-RU"/>
              </w:rPr>
            </w:pP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Процентные расходы</w:t>
            </w:r>
          </w:p>
        </w:tc>
        <w:tc>
          <w:tcPr>
            <w:tcW w:w="1341" w:type="dxa"/>
            <w:gridSpan w:val="2"/>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(1 517 035)</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(1 818 744)</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(145 297)</w:t>
            </w: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(3 481 076)</w:t>
            </w: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Движение резерва под обеспечение</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(641 902)</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(641 902)</w:t>
            </w:r>
          </w:p>
        </w:tc>
      </w:tr>
      <w:tr w:rsidR="00010A9C" w:rsidRPr="00A02C17" w:rsidTr="001763A9">
        <w:trPr>
          <w:trHeight w:val="3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Амортизация</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(70 374)</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(70 374)</w:t>
            </w: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Комиссионные расходы</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(48 018)</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(9 737)</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(57 755)</w:t>
            </w:r>
          </w:p>
        </w:tc>
      </w:tr>
      <w:tr w:rsidR="00010A9C" w:rsidRPr="00A02C17" w:rsidTr="001763A9">
        <w:trPr>
          <w:trHeight w:val="12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Чистый доход по операциям с ценными бумагами</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75 664</w:t>
            </w: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75 664</w:t>
            </w:r>
          </w:p>
        </w:tc>
      </w:tr>
      <w:tr w:rsidR="00010A9C" w:rsidRPr="00A02C17" w:rsidTr="001763A9">
        <w:trPr>
          <w:trHeight w:val="12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Чистый доход от валютно-обменных операций</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46 166</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46 166</w:t>
            </w: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Чистый убыток от курсовой разницы</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63 974</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63 974</w:t>
            </w:r>
          </w:p>
        </w:tc>
      </w:tr>
      <w:tr w:rsidR="00010A9C" w:rsidRPr="00A02C17" w:rsidTr="001763A9">
        <w:trPr>
          <w:trHeight w:val="6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Чистый убыток от выбытия активов</w:t>
            </w:r>
          </w:p>
        </w:tc>
        <w:tc>
          <w:tcPr>
            <w:tcW w:w="1341" w:type="dxa"/>
            <w:gridSpan w:val="2"/>
            <w:tcBorders>
              <w:top w:val="nil"/>
              <w:left w:val="nil"/>
              <w:bottom w:val="nil"/>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(2 024)</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(2 024)</w:t>
            </w:r>
          </w:p>
        </w:tc>
      </w:tr>
      <w:tr w:rsidR="00010A9C" w:rsidRPr="00A02C17" w:rsidTr="001763A9">
        <w:trPr>
          <w:trHeight w:val="1200"/>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color w:val="000000"/>
                <w:sz w:val="20"/>
                <w:lang w:val="ru-RU"/>
              </w:rPr>
            </w:pPr>
            <w:r w:rsidRPr="00A02C17">
              <w:rPr>
                <w:rFonts w:cs="Arial"/>
                <w:color w:val="000000"/>
                <w:sz w:val="20"/>
                <w:lang w:val="ru-RU"/>
              </w:rPr>
              <w:t>Административные и прочие операционные расходы</w:t>
            </w:r>
          </w:p>
        </w:tc>
        <w:tc>
          <w:tcPr>
            <w:tcW w:w="1341" w:type="dxa"/>
            <w:gridSpan w:val="2"/>
            <w:tcBorders>
              <w:top w:val="nil"/>
              <w:left w:val="nil"/>
              <w:bottom w:val="single" w:sz="4" w:space="0" w:color="auto"/>
              <w:right w:val="nil"/>
            </w:tcBorders>
            <w:shd w:val="clear" w:color="auto" w:fill="auto"/>
            <w:noWrap/>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559" w:type="dxa"/>
            <w:tcBorders>
              <w:top w:val="nil"/>
              <w:left w:val="nil"/>
              <w:bottom w:val="single" w:sz="4" w:space="0" w:color="auto"/>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34" w:type="dxa"/>
            <w:tcBorders>
              <w:top w:val="nil"/>
              <w:left w:val="nil"/>
              <w:bottom w:val="single" w:sz="4" w:space="0" w:color="auto"/>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w:t>
            </w:r>
          </w:p>
        </w:tc>
        <w:tc>
          <w:tcPr>
            <w:tcW w:w="1380" w:type="dxa"/>
            <w:tcBorders>
              <w:top w:val="nil"/>
              <w:left w:val="nil"/>
              <w:bottom w:val="nil"/>
              <w:right w:val="nil"/>
            </w:tcBorders>
            <w:shd w:val="clear" w:color="auto" w:fill="auto"/>
            <w:vAlign w:val="bottom"/>
            <w:hideMark/>
          </w:tcPr>
          <w:p w:rsidR="00010A9C" w:rsidRPr="00A02C17" w:rsidRDefault="00010A9C" w:rsidP="001763A9">
            <w:pPr>
              <w:jc w:val="right"/>
              <w:rPr>
                <w:rFonts w:cs="Arial"/>
                <w:color w:val="000000"/>
                <w:sz w:val="20"/>
                <w:lang w:val="ru-RU"/>
              </w:rPr>
            </w:pPr>
            <w:r w:rsidRPr="00A02C17">
              <w:rPr>
                <w:rFonts w:cs="Arial"/>
                <w:color w:val="000000"/>
                <w:sz w:val="20"/>
                <w:lang w:val="ru-RU"/>
              </w:rPr>
              <w:t>(666 391)</w:t>
            </w:r>
          </w:p>
        </w:tc>
        <w:tc>
          <w:tcPr>
            <w:tcW w:w="1418" w:type="dxa"/>
            <w:tcBorders>
              <w:top w:val="nil"/>
              <w:left w:val="nil"/>
              <w:bottom w:val="nil"/>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(666 391)</w:t>
            </w:r>
          </w:p>
        </w:tc>
      </w:tr>
      <w:tr w:rsidR="00010A9C" w:rsidRPr="00A02C17" w:rsidTr="001763A9">
        <w:trPr>
          <w:trHeight w:val="615"/>
        </w:trPr>
        <w:tc>
          <w:tcPr>
            <w:tcW w:w="2360" w:type="dxa"/>
            <w:gridSpan w:val="2"/>
            <w:tcBorders>
              <w:top w:val="nil"/>
              <w:left w:val="nil"/>
              <w:bottom w:val="nil"/>
              <w:right w:val="nil"/>
            </w:tcBorders>
            <w:shd w:val="clear" w:color="auto" w:fill="auto"/>
            <w:vAlign w:val="bottom"/>
            <w:hideMark/>
          </w:tcPr>
          <w:p w:rsidR="00010A9C" w:rsidRPr="00A02C17" w:rsidRDefault="00010A9C" w:rsidP="00010A9C">
            <w:pPr>
              <w:rPr>
                <w:rFonts w:cs="Arial"/>
                <w:b/>
                <w:bCs/>
                <w:color w:val="000000"/>
                <w:sz w:val="20"/>
                <w:lang w:val="ru-RU"/>
              </w:rPr>
            </w:pPr>
            <w:r w:rsidRPr="00A02C17">
              <w:rPr>
                <w:rFonts w:cs="Arial"/>
                <w:b/>
                <w:bCs/>
                <w:color w:val="000000"/>
                <w:sz w:val="20"/>
                <w:lang w:val="ru-RU"/>
              </w:rPr>
              <w:t>Результат по сегментам</w:t>
            </w:r>
          </w:p>
        </w:tc>
        <w:tc>
          <w:tcPr>
            <w:tcW w:w="1341" w:type="dxa"/>
            <w:gridSpan w:val="2"/>
            <w:tcBorders>
              <w:top w:val="nil"/>
              <w:left w:val="nil"/>
              <w:bottom w:val="double" w:sz="6" w:space="0" w:color="auto"/>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(1 273 828)</w:t>
            </w:r>
          </w:p>
        </w:tc>
        <w:tc>
          <w:tcPr>
            <w:tcW w:w="1559" w:type="dxa"/>
            <w:tcBorders>
              <w:top w:val="nil"/>
              <w:left w:val="nil"/>
              <w:bottom w:val="double" w:sz="6" w:space="0" w:color="auto"/>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3 078 197</w:t>
            </w:r>
          </w:p>
        </w:tc>
        <w:tc>
          <w:tcPr>
            <w:tcW w:w="1334" w:type="dxa"/>
            <w:tcBorders>
              <w:top w:val="nil"/>
              <w:left w:val="nil"/>
              <w:bottom w:val="double" w:sz="6" w:space="0" w:color="auto"/>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(20 188)</w:t>
            </w:r>
          </w:p>
        </w:tc>
        <w:tc>
          <w:tcPr>
            <w:tcW w:w="1380" w:type="dxa"/>
            <w:tcBorders>
              <w:top w:val="single" w:sz="4" w:space="0" w:color="auto"/>
              <w:left w:val="nil"/>
              <w:bottom w:val="double" w:sz="6" w:space="0" w:color="auto"/>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(1 274 658)</w:t>
            </w:r>
          </w:p>
        </w:tc>
        <w:tc>
          <w:tcPr>
            <w:tcW w:w="1418" w:type="dxa"/>
            <w:tcBorders>
              <w:top w:val="single" w:sz="4" w:space="0" w:color="auto"/>
              <w:left w:val="nil"/>
              <w:bottom w:val="double" w:sz="6" w:space="0" w:color="auto"/>
              <w:right w:val="nil"/>
            </w:tcBorders>
            <w:shd w:val="clear" w:color="auto" w:fill="auto"/>
            <w:vAlign w:val="bottom"/>
            <w:hideMark/>
          </w:tcPr>
          <w:p w:rsidR="00010A9C" w:rsidRPr="00A02C17" w:rsidRDefault="00010A9C" w:rsidP="001763A9">
            <w:pPr>
              <w:jc w:val="right"/>
              <w:rPr>
                <w:rFonts w:cs="Arial"/>
                <w:b/>
                <w:bCs/>
                <w:color w:val="000000"/>
                <w:sz w:val="20"/>
                <w:lang w:val="ru-RU"/>
              </w:rPr>
            </w:pPr>
            <w:r w:rsidRPr="00A02C17">
              <w:rPr>
                <w:rFonts w:cs="Arial"/>
                <w:b/>
                <w:bCs/>
                <w:color w:val="000000"/>
                <w:sz w:val="20"/>
                <w:lang w:val="ru-RU"/>
              </w:rPr>
              <w:t>509 523</w:t>
            </w:r>
          </w:p>
        </w:tc>
      </w:tr>
    </w:tbl>
    <w:p w:rsidR="00010A9C" w:rsidRPr="00A02C17" w:rsidRDefault="00010A9C" w:rsidP="0009607F">
      <w:pPr>
        <w:rPr>
          <w:rFonts w:cs="Arial"/>
          <w:sz w:val="20"/>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9607F">
      <w:pPr>
        <w:rPr>
          <w:rFonts w:cs="Arial"/>
          <w:lang w:val="ru-RU"/>
        </w:rPr>
      </w:pPr>
    </w:p>
    <w:p w:rsidR="00010A9C" w:rsidRPr="00DB0AC3" w:rsidRDefault="00010A9C" w:rsidP="00010A9C">
      <w:pPr>
        <w:rPr>
          <w:rFonts w:cs="Arial"/>
          <w:sz w:val="20"/>
          <w:lang w:val="ru-RU"/>
        </w:rPr>
      </w:pPr>
      <w:r w:rsidRPr="00DB0AC3">
        <w:rPr>
          <w:rFonts w:cs="Arial"/>
          <w:sz w:val="20"/>
          <w:lang w:val="ru-RU"/>
        </w:rPr>
        <w:t>Сегментная информация за год, закончившийся 31 декабря 2013 года:</w:t>
      </w:r>
    </w:p>
    <w:p w:rsidR="00010A9C" w:rsidRPr="00DB0AC3" w:rsidRDefault="00010A9C" w:rsidP="00010A9C">
      <w:pPr>
        <w:rPr>
          <w:rFonts w:cs="Arial"/>
          <w:lang w:val="ru-RU"/>
        </w:rPr>
      </w:pPr>
    </w:p>
    <w:tbl>
      <w:tblPr>
        <w:tblW w:w="10187" w:type="dxa"/>
        <w:tblInd w:w="93" w:type="dxa"/>
        <w:tblLook w:val="04A0"/>
      </w:tblPr>
      <w:tblGrid>
        <w:gridCol w:w="2360"/>
        <w:gridCol w:w="1270"/>
        <w:gridCol w:w="1347"/>
        <w:gridCol w:w="1422"/>
        <w:gridCol w:w="1220"/>
        <w:gridCol w:w="1185"/>
        <w:gridCol w:w="1383"/>
      </w:tblGrid>
      <w:tr w:rsidR="00010A9C" w:rsidRPr="00DB0AC3" w:rsidTr="003B67AF">
        <w:trPr>
          <w:trHeight w:val="900"/>
        </w:trPr>
        <w:tc>
          <w:tcPr>
            <w:tcW w:w="2360" w:type="dxa"/>
            <w:tcBorders>
              <w:top w:val="nil"/>
              <w:left w:val="nil"/>
              <w:bottom w:val="nil"/>
              <w:right w:val="nil"/>
            </w:tcBorders>
            <w:shd w:val="clear" w:color="auto" w:fill="auto"/>
            <w:noWrap/>
            <w:vAlign w:val="bottom"/>
            <w:hideMark/>
          </w:tcPr>
          <w:p w:rsidR="00010A9C" w:rsidRPr="00DB0AC3" w:rsidRDefault="00010A9C" w:rsidP="00010A9C">
            <w:pPr>
              <w:rPr>
                <w:rFonts w:cs="Arial"/>
                <w:color w:val="000000"/>
                <w:sz w:val="20"/>
                <w:lang w:val="ru-RU"/>
              </w:rPr>
            </w:pPr>
          </w:p>
        </w:tc>
        <w:tc>
          <w:tcPr>
            <w:tcW w:w="1270" w:type="dxa"/>
            <w:tcBorders>
              <w:top w:val="nil"/>
              <w:left w:val="nil"/>
              <w:bottom w:val="single" w:sz="4" w:space="0" w:color="auto"/>
              <w:right w:val="nil"/>
            </w:tcBorders>
            <w:shd w:val="clear" w:color="auto" w:fill="auto"/>
            <w:vAlign w:val="center"/>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Услуги для населения</w:t>
            </w:r>
          </w:p>
        </w:tc>
        <w:tc>
          <w:tcPr>
            <w:tcW w:w="1347"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Услуги корпора-тивным клиентам</w:t>
            </w:r>
          </w:p>
        </w:tc>
        <w:tc>
          <w:tcPr>
            <w:tcW w:w="1422"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Инвести-ционные услуги</w:t>
            </w:r>
          </w:p>
        </w:tc>
        <w:tc>
          <w:tcPr>
            <w:tcW w:w="1220"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Прочие</w:t>
            </w:r>
          </w:p>
        </w:tc>
        <w:tc>
          <w:tcPr>
            <w:tcW w:w="1185"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Исклю-чения</w:t>
            </w:r>
          </w:p>
        </w:tc>
        <w:tc>
          <w:tcPr>
            <w:tcW w:w="1383" w:type="dxa"/>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Итого</w:t>
            </w:r>
          </w:p>
        </w:tc>
      </w:tr>
      <w:tr w:rsidR="00010A9C" w:rsidRPr="00DB0AC3" w:rsidTr="003B67AF">
        <w:trPr>
          <w:trHeight w:val="600"/>
        </w:trPr>
        <w:tc>
          <w:tcPr>
            <w:tcW w:w="2360" w:type="dxa"/>
            <w:tcBorders>
              <w:top w:val="nil"/>
              <w:left w:val="nil"/>
              <w:bottom w:val="nil"/>
              <w:right w:val="nil"/>
            </w:tcBorders>
            <w:shd w:val="clear" w:color="auto" w:fill="auto"/>
            <w:vAlign w:val="center"/>
            <w:hideMark/>
          </w:tcPr>
          <w:p w:rsidR="00010A9C" w:rsidRPr="00DB0AC3" w:rsidRDefault="00010A9C" w:rsidP="00010A9C">
            <w:pPr>
              <w:rPr>
                <w:rFonts w:cs="Arial"/>
                <w:color w:val="000000"/>
                <w:sz w:val="20"/>
                <w:lang w:val="ru-RU"/>
              </w:rPr>
            </w:pPr>
            <w:r w:rsidRPr="00DB0AC3">
              <w:rPr>
                <w:rFonts w:cs="Arial"/>
                <w:color w:val="000000"/>
                <w:sz w:val="20"/>
                <w:lang w:val="ru-RU"/>
              </w:rPr>
              <w:t>Прочие отчетные сегментные</w:t>
            </w:r>
          </w:p>
        </w:tc>
        <w:tc>
          <w:tcPr>
            <w:tcW w:w="127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1 244 668</w:t>
            </w:r>
          </w:p>
        </w:tc>
        <w:tc>
          <w:tcPr>
            <w:tcW w:w="1347" w:type="dxa"/>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35 305 639</w:t>
            </w:r>
          </w:p>
        </w:tc>
        <w:tc>
          <w:tcPr>
            <w:tcW w:w="1422" w:type="dxa"/>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1 322 932</w:t>
            </w:r>
          </w:p>
        </w:tc>
        <w:tc>
          <w:tcPr>
            <w:tcW w:w="122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8 407 005</w:t>
            </w:r>
          </w:p>
        </w:tc>
        <w:tc>
          <w:tcPr>
            <w:tcW w:w="1185"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1383"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46 280 244</w:t>
            </w:r>
          </w:p>
        </w:tc>
      </w:tr>
      <w:tr w:rsidR="00010A9C" w:rsidRPr="00DB0AC3" w:rsidTr="003B67AF">
        <w:trPr>
          <w:trHeight w:val="600"/>
        </w:trPr>
        <w:tc>
          <w:tcPr>
            <w:tcW w:w="2360" w:type="dxa"/>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Итого отчетные сегментные активы</w:t>
            </w:r>
          </w:p>
        </w:tc>
        <w:tc>
          <w:tcPr>
            <w:tcW w:w="127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1 244 668</w:t>
            </w:r>
          </w:p>
        </w:tc>
        <w:tc>
          <w:tcPr>
            <w:tcW w:w="1347"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35 305 639</w:t>
            </w:r>
          </w:p>
        </w:tc>
        <w:tc>
          <w:tcPr>
            <w:tcW w:w="1422"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1 322 932</w:t>
            </w:r>
          </w:p>
        </w:tc>
        <w:tc>
          <w:tcPr>
            <w:tcW w:w="122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8 407 005</w:t>
            </w:r>
          </w:p>
        </w:tc>
        <w:tc>
          <w:tcPr>
            <w:tcW w:w="1185"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w:t>
            </w:r>
          </w:p>
        </w:tc>
        <w:tc>
          <w:tcPr>
            <w:tcW w:w="1383"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46 280 244</w:t>
            </w:r>
          </w:p>
        </w:tc>
      </w:tr>
      <w:tr w:rsidR="00010A9C" w:rsidRPr="00DB0AC3" w:rsidTr="003B67AF">
        <w:trPr>
          <w:trHeight w:val="900"/>
        </w:trPr>
        <w:tc>
          <w:tcPr>
            <w:tcW w:w="2360" w:type="dxa"/>
            <w:tcBorders>
              <w:top w:val="nil"/>
              <w:left w:val="nil"/>
              <w:bottom w:val="nil"/>
              <w:right w:val="nil"/>
            </w:tcBorders>
            <w:shd w:val="clear" w:color="auto" w:fill="auto"/>
            <w:vAlign w:val="center"/>
            <w:hideMark/>
          </w:tcPr>
          <w:p w:rsidR="00010A9C" w:rsidRPr="00DB0AC3" w:rsidRDefault="00010A9C" w:rsidP="00010A9C">
            <w:pPr>
              <w:rPr>
                <w:rFonts w:cs="Arial"/>
                <w:color w:val="000000"/>
                <w:sz w:val="20"/>
                <w:lang w:val="ru-RU"/>
              </w:rPr>
            </w:pPr>
            <w:r w:rsidRPr="00DB0AC3">
              <w:rPr>
                <w:rFonts w:cs="Arial"/>
                <w:color w:val="000000"/>
                <w:sz w:val="20"/>
                <w:lang w:val="ru-RU"/>
              </w:rPr>
              <w:t>Прочие отчетные сегментные обязательства</w:t>
            </w:r>
          </w:p>
        </w:tc>
        <w:tc>
          <w:tcPr>
            <w:tcW w:w="127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19 056 974</w:t>
            </w:r>
          </w:p>
        </w:tc>
        <w:tc>
          <w:tcPr>
            <w:tcW w:w="1347" w:type="dxa"/>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19 926 885</w:t>
            </w:r>
          </w:p>
        </w:tc>
        <w:tc>
          <w:tcPr>
            <w:tcW w:w="1422" w:type="dxa"/>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3 257 579</w:t>
            </w:r>
          </w:p>
        </w:tc>
        <w:tc>
          <w:tcPr>
            <w:tcW w:w="122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190 206</w:t>
            </w:r>
          </w:p>
        </w:tc>
        <w:tc>
          <w:tcPr>
            <w:tcW w:w="1185"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1383"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42 431 644</w:t>
            </w:r>
          </w:p>
        </w:tc>
      </w:tr>
      <w:tr w:rsidR="00010A9C" w:rsidRPr="00DB0AC3" w:rsidTr="003B67AF">
        <w:trPr>
          <w:trHeight w:val="900"/>
        </w:trPr>
        <w:tc>
          <w:tcPr>
            <w:tcW w:w="2360" w:type="dxa"/>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Итого отчетные сегментные  обязательства</w:t>
            </w:r>
          </w:p>
        </w:tc>
        <w:tc>
          <w:tcPr>
            <w:tcW w:w="127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19 056 974</w:t>
            </w:r>
          </w:p>
        </w:tc>
        <w:tc>
          <w:tcPr>
            <w:tcW w:w="1347"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19 926 885</w:t>
            </w:r>
          </w:p>
        </w:tc>
        <w:tc>
          <w:tcPr>
            <w:tcW w:w="1422"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3 257 579</w:t>
            </w:r>
          </w:p>
        </w:tc>
        <w:tc>
          <w:tcPr>
            <w:tcW w:w="1220"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190 206</w:t>
            </w:r>
          </w:p>
        </w:tc>
        <w:tc>
          <w:tcPr>
            <w:tcW w:w="1185"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w:t>
            </w:r>
          </w:p>
        </w:tc>
        <w:tc>
          <w:tcPr>
            <w:tcW w:w="1383" w:type="dxa"/>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42 431 644</w:t>
            </w:r>
          </w:p>
        </w:tc>
      </w:tr>
      <w:tr w:rsidR="00010A9C" w:rsidRPr="00DB0AC3" w:rsidTr="003B67AF">
        <w:trPr>
          <w:trHeight w:val="315"/>
        </w:trPr>
        <w:tc>
          <w:tcPr>
            <w:tcW w:w="2360" w:type="dxa"/>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Капитальные затраты</w:t>
            </w:r>
          </w:p>
        </w:tc>
        <w:tc>
          <w:tcPr>
            <w:tcW w:w="1270" w:type="dxa"/>
            <w:tcBorders>
              <w:top w:val="nil"/>
              <w:left w:val="nil"/>
              <w:bottom w:val="double" w:sz="6"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31 256</w:t>
            </w:r>
          </w:p>
        </w:tc>
        <w:tc>
          <w:tcPr>
            <w:tcW w:w="1347" w:type="dxa"/>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31 256</w:t>
            </w:r>
          </w:p>
        </w:tc>
        <w:tc>
          <w:tcPr>
            <w:tcW w:w="1422" w:type="dxa"/>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31 256</w:t>
            </w:r>
          </w:p>
        </w:tc>
        <w:tc>
          <w:tcPr>
            <w:tcW w:w="1220" w:type="dxa"/>
            <w:tcBorders>
              <w:top w:val="nil"/>
              <w:left w:val="nil"/>
              <w:bottom w:val="double" w:sz="6"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31 256</w:t>
            </w:r>
          </w:p>
        </w:tc>
        <w:tc>
          <w:tcPr>
            <w:tcW w:w="1185" w:type="dxa"/>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(93 768)</w:t>
            </w:r>
          </w:p>
        </w:tc>
        <w:tc>
          <w:tcPr>
            <w:tcW w:w="1383" w:type="dxa"/>
            <w:tcBorders>
              <w:top w:val="nil"/>
              <w:left w:val="nil"/>
              <w:bottom w:val="double" w:sz="6"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31 256</w:t>
            </w:r>
          </w:p>
        </w:tc>
      </w:tr>
    </w:tbl>
    <w:p w:rsidR="00010A9C" w:rsidRPr="00DB0AC3" w:rsidRDefault="00010A9C" w:rsidP="00010A9C">
      <w:pPr>
        <w:rPr>
          <w:rFonts w:cs="Arial"/>
          <w:sz w:val="20"/>
          <w:lang w:val="ru-RU"/>
        </w:rPr>
      </w:pPr>
    </w:p>
    <w:tbl>
      <w:tblPr>
        <w:tblW w:w="5000" w:type="pct"/>
        <w:tblLook w:val="04A0"/>
      </w:tblPr>
      <w:tblGrid>
        <w:gridCol w:w="2771"/>
        <w:gridCol w:w="1441"/>
        <w:gridCol w:w="1409"/>
        <w:gridCol w:w="1432"/>
        <w:gridCol w:w="1432"/>
        <w:gridCol w:w="1338"/>
      </w:tblGrid>
      <w:tr w:rsidR="00D56E35" w:rsidRPr="00DB0AC3" w:rsidTr="00010A9C">
        <w:trPr>
          <w:trHeight w:val="900"/>
        </w:trPr>
        <w:tc>
          <w:tcPr>
            <w:tcW w:w="1410" w:type="pct"/>
            <w:tcBorders>
              <w:top w:val="nil"/>
              <w:left w:val="nil"/>
              <w:bottom w:val="nil"/>
              <w:right w:val="nil"/>
            </w:tcBorders>
            <w:shd w:val="clear" w:color="auto" w:fill="auto"/>
            <w:noWrap/>
            <w:vAlign w:val="bottom"/>
            <w:hideMark/>
          </w:tcPr>
          <w:p w:rsidR="00010A9C" w:rsidRPr="00DB0AC3" w:rsidRDefault="00010A9C" w:rsidP="00010A9C">
            <w:pPr>
              <w:rPr>
                <w:rFonts w:cs="Arial"/>
                <w:color w:val="000000"/>
                <w:sz w:val="20"/>
                <w:lang w:val="ru-RU"/>
              </w:rPr>
            </w:pPr>
          </w:p>
        </w:tc>
        <w:tc>
          <w:tcPr>
            <w:tcW w:w="733" w:type="pct"/>
            <w:tcBorders>
              <w:top w:val="nil"/>
              <w:left w:val="nil"/>
              <w:bottom w:val="single" w:sz="4" w:space="0" w:color="auto"/>
              <w:right w:val="nil"/>
            </w:tcBorders>
            <w:shd w:val="clear" w:color="auto" w:fill="auto"/>
            <w:vAlign w:val="center"/>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Услуги для населения</w:t>
            </w:r>
          </w:p>
        </w:tc>
        <w:tc>
          <w:tcPr>
            <w:tcW w:w="717" w:type="pct"/>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Услуги корпора-тивным клиентам</w:t>
            </w:r>
          </w:p>
        </w:tc>
        <w:tc>
          <w:tcPr>
            <w:tcW w:w="729" w:type="pct"/>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Инвести-ционные услуги</w:t>
            </w:r>
          </w:p>
        </w:tc>
        <w:tc>
          <w:tcPr>
            <w:tcW w:w="729" w:type="pct"/>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Прочие</w:t>
            </w:r>
          </w:p>
        </w:tc>
        <w:tc>
          <w:tcPr>
            <w:tcW w:w="681" w:type="pct"/>
            <w:tcBorders>
              <w:top w:val="nil"/>
              <w:left w:val="nil"/>
              <w:bottom w:val="single" w:sz="4" w:space="0" w:color="auto"/>
              <w:right w:val="nil"/>
            </w:tcBorders>
            <w:shd w:val="clear" w:color="auto" w:fill="auto"/>
            <w:vAlign w:val="bottom"/>
            <w:hideMark/>
          </w:tcPr>
          <w:p w:rsidR="00010A9C" w:rsidRPr="00DB0AC3" w:rsidRDefault="00010A9C" w:rsidP="00010A9C">
            <w:pPr>
              <w:jc w:val="center"/>
              <w:rPr>
                <w:rFonts w:cs="Arial"/>
                <w:b/>
                <w:bCs/>
                <w:color w:val="000000"/>
                <w:sz w:val="20"/>
                <w:lang w:val="ru-RU"/>
              </w:rPr>
            </w:pPr>
            <w:r w:rsidRPr="00DB0AC3">
              <w:rPr>
                <w:rFonts w:cs="Arial"/>
                <w:b/>
                <w:bCs/>
                <w:color w:val="000000"/>
                <w:sz w:val="20"/>
                <w:lang w:val="ru-RU"/>
              </w:rPr>
              <w:t>Итого</w:t>
            </w:r>
          </w:p>
        </w:tc>
      </w:tr>
      <w:tr w:rsidR="00D56E35" w:rsidRPr="00DB0AC3" w:rsidTr="001763A9">
        <w:trPr>
          <w:trHeight w:val="3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Внешние доходы</w:t>
            </w:r>
          </w:p>
        </w:tc>
        <w:tc>
          <w:tcPr>
            <w:tcW w:w="733"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p>
        </w:tc>
        <w:tc>
          <w:tcPr>
            <w:tcW w:w="681"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p>
        </w:tc>
      </w:tr>
      <w:tr w:rsidR="00D56E35" w:rsidRPr="00DB0AC3" w:rsidTr="001763A9">
        <w:trPr>
          <w:trHeight w:val="3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Процентные доходы</w:t>
            </w:r>
          </w:p>
        </w:tc>
        <w:tc>
          <w:tcPr>
            <w:tcW w:w="733"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147 149</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4 082 641</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178 273</w:t>
            </w: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681"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4 408 063</w:t>
            </w:r>
          </w:p>
        </w:tc>
      </w:tr>
      <w:tr w:rsidR="00D56E35" w:rsidRPr="00DB0AC3" w:rsidTr="001763A9">
        <w:trPr>
          <w:trHeight w:val="6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Комиссионные доходы</w:t>
            </w:r>
          </w:p>
        </w:tc>
        <w:tc>
          <w:tcPr>
            <w:tcW w:w="733"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95 750</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285 462</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681"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381 212</w:t>
            </w:r>
          </w:p>
        </w:tc>
      </w:tr>
      <w:tr w:rsidR="00D56E35" w:rsidRPr="00DB0AC3" w:rsidTr="001763A9">
        <w:trPr>
          <w:trHeight w:val="9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Прочие операционные доходы</w:t>
            </w:r>
          </w:p>
        </w:tc>
        <w:tc>
          <w:tcPr>
            <w:tcW w:w="733" w:type="pct"/>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10 280</w:t>
            </w:r>
          </w:p>
        </w:tc>
        <w:tc>
          <w:tcPr>
            <w:tcW w:w="717" w:type="pct"/>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31 435</w:t>
            </w:r>
          </w:p>
        </w:tc>
        <w:tc>
          <w:tcPr>
            <w:tcW w:w="729" w:type="pct"/>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2 075</w:t>
            </w:r>
          </w:p>
        </w:tc>
        <w:tc>
          <w:tcPr>
            <w:tcW w:w="729" w:type="pct"/>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4 674</w:t>
            </w:r>
          </w:p>
        </w:tc>
        <w:tc>
          <w:tcPr>
            <w:tcW w:w="681" w:type="pct"/>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48 464</w:t>
            </w:r>
          </w:p>
        </w:tc>
      </w:tr>
      <w:tr w:rsidR="00D56E35" w:rsidRPr="00DB0AC3" w:rsidTr="001763A9">
        <w:trPr>
          <w:trHeight w:val="3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Итого доходы</w:t>
            </w:r>
          </w:p>
        </w:tc>
        <w:tc>
          <w:tcPr>
            <w:tcW w:w="733"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253 179</w:t>
            </w:r>
          </w:p>
        </w:tc>
        <w:tc>
          <w:tcPr>
            <w:tcW w:w="717"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4 399 538</w:t>
            </w: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180 348</w:t>
            </w: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4 674</w:t>
            </w:r>
          </w:p>
        </w:tc>
        <w:tc>
          <w:tcPr>
            <w:tcW w:w="681"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4 837 739</w:t>
            </w:r>
          </w:p>
        </w:tc>
      </w:tr>
      <w:tr w:rsidR="00D56E35" w:rsidRPr="00DB0AC3" w:rsidTr="001763A9">
        <w:trPr>
          <w:trHeight w:val="3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p>
        </w:tc>
        <w:tc>
          <w:tcPr>
            <w:tcW w:w="733"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p>
        </w:tc>
        <w:tc>
          <w:tcPr>
            <w:tcW w:w="681"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p>
        </w:tc>
      </w:tr>
      <w:tr w:rsidR="00D56E35" w:rsidRPr="00DB0AC3" w:rsidTr="001763A9">
        <w:trPr>
          <w:trHeight w:val="3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Процентные расходы</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(1 600 400)</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(1 289 890)</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(266 614)</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(3 156 904)</w:t>
            </w:r>
          </w:p>
        </w:tc>
      </w:tr>
      <w:tr w:rsidR="00D56E35" w:rsidRPr="00DB0AC3" w:rsidTr="001763A9">
        <w:trPr>
          <w:trHeight w:val="6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Движение резерва под обеспечение</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(484 855)</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(484 855)</w:t>
            </w:r>
          </w:p>
        </w:tc>
      </w:tr>
      <w:tr w:rsidR="00D56E35" w:rsidRPr="00DB0AC3" w:rsidTr="001763A9">
        <w:trPr>
          <w:trHeight w:val="3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Амортизация</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(72 947)</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(72 947)</w:t>
            </w:r>
          </w:p>
        </w:tc>
      </w:tr>
      <w:tr w:rsidR="00D56E35" w:rsidRPr="00DB0AC3" w:rsidTr="001763A9">
        <w:trPr>
          <w:trHeight w:val="6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Комиссионные расходы</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(38 589)</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(11 619)</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(50 208)</w:t>
            </w:r>
          </w:p>
        </w:tc>
      </w:tr>
      <w:tr w:rsidR="00D56E35" w:rsidRPr="00DB0AC3" w:rsidTr="001763A9">
        <w:trPr>
          <w:trHeight w:val="9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Чистый доход по операциям с ценными бумагами</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4 588</w:t>
            </w: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4 588</w:t>
            </w:r>
          </w:p>
        </w:tc>
      </w:tr>
      <w:tr w:rsidR="00D56E35" w:rsidRPr="00DB0AC3" w:rsidTr="001763A9">
        <w:trPr>
          <w:trHeight w:val="9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Чистый доход от валютно-обменных операций</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32 754</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32 754</w:t>
            </w:r>
          </w:p>
        </w:tc>
      </w:tr>
      <w:tr w:rsidR="00D56E35" w:rsidRPr="00DB0AC3" w:rsidTr="001763A9">
        <w:trPr>
          <w:trHeight w:val="6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lastRenderedPageBreak/>
              <w:t>Чистый убыток от курсовой разницы</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(3 006)</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(3 006)</w:t>
            </w:r>
          </w:p>
        </w:tc>
      </w:tr>
      <w:tr w:rsidR="00D56E35" w:rsidRPr="00DB0AC3" w:rsidTr="001763A9">
        <w:trPr>
          <w:trHeight w:val="6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Чистый убыток от выбытия активов</w:t>
            </w:r>
          </w:p>
        </w:tc>
        <w:tc>
          <w:tcPr>
            <w:tcW w:w="733"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nil"/>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(2 571)</w:t>
            </w:r>
          </w:p>
        </w:tc>
        <w:tc>
          <w:tcPr>
            <w:tcW w:w="681" w:type="pct"/>
            <w:tcBorders>
              <w:top w:val="nil"/>
              <w:left w:val="nil"/>
              <w:bottom w:val="nil"/>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(2 571)</w:t>
            </w:r>
          </w:p>
        </w:tc>
      </w:tr>
      <w:tr w:rsidR="00D56E35" w:rsidRPr="00DB0AC3" w:rsidTr="001763A9">
        <w:trPr>
          <w:trHeight w:val="1200"/>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Административные и прочие операционные расходы</w:t>
            </w:r>
          </w:p>
        </w:tc>
        <w:tc>
          <w:tcPr>
            <w:tcW w:w="733" w:type="pct"/>
            <w:tcBorders>
              <w:top w:val="nil"/>
              <w:left w:val="nil"/>
              <w:bottom w:val="single" w:sz="4" w:space="0" w:color="auto"/>
              <w:right w:val="nil"/>
            </w:tcBorders>
            <w:shd w:val="clear" w:color="auto" w:fill="auto"/>
            <w:noWrap/>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17" w:type="pct"/>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w:t>
            </w:r>
          </w:p>
        </w:tc>
        <w:tc>
          <w:tcPr>
            <w:tcW w:w="729" w:type="pct"/>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color w:val="000000"/>
                <w:sz w:val="20"/>
                <w:lang w:val="ru-RU"/>
              </w:rPr>
            </w:pPr>
            <w:r w:rsidRPr="00DB0AC3">
              <w:rPr>
                <w:rFonts w:cs="Arial"/>
                <w:color w:val="000000"/>
                <w:sz w:val="20"/>
                <w:lang w:val="ru-RU"/>
              </w:rPr>
              <w:t>(865 937)</w:t>
            </w:r>
          </w:p>
        </w:tc>
        <w:tc>
          <w:tcPr>
            <w:tcW w:w="681" w:type="pct"/>
            <w:tcBorders>
              <w:top w:val="nil"/>
              <w:left w:val="nil"/>
              <w:bottom w:val="single" w:sz="4"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(865 937)</w:t>
            </w:r>
          </w:p>
        </w:tc>
      </w:tr>
      <w:tr w:rsidR="00D56E35" w:rsidRPr="00DB0AC3" w:rsidTr="001763A9">
        <w:trPr>
          <w:trHeight w:val="615"/>
        </w:trPr>
        <w:tc>
          <w:tcPr>
            <w:tcW w:w="1410" w:type="pct"/>
            <w:tcBorders>
              <w:top w:val="nil"/>
              <w:left w:val="nil"/>
              <w:bottom w:val="nil"/>
              <w:right w:val="nil"/>
            </w:tcBorders>
            <w:shd w:val="clear" w:color="auto" w:fill="auto"/>
            <w:vAlign w:val="center"/>
            <w:hideMark/>
          </w:tcPr>
          <w:p w:rsidR="00010A9C" w:rsidRPr="00DB0AC3" w:rsidRDefault="00010A9C" w:rsidP="00010A9C">
            <w:pPr>
              <w:rPr>
                <w:rFonts w:cs="Arial"/>
                <w:b/>
                <w:bCs/>
                <w:color w:val="000000"/>
                <w:sz w:val="20"/>
                <w:lang w:val="ru-RU"/>
              </w:rPr>
            </w:pPr>
            <w:r w:rsidRPr="00DB0AC3">
              <w:rPr>
                <w:rFonts w:cs="Arial"/>
                <w:b/>
                <w:bCs/>
                <w:color w:val="000000"/>
                <w:sz w:val="20"/>
                <w:lang w:val="ru-RU"/>
              </w:rPr>
              <w:t>Результат по сегментам</w:t>
            </w:r>
          </w:p>
        </w:tc>
        <w:tc>
          <w:tcPr>
            <w:tcW w:w="733" w:type="pct"/>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(1 347 221)</w:t>
            </w:r>
          </w:p>
        </w:tc>
        <w:tc>
          <w:tcPr>
            <w:tcW w:w="717" w:type="pct"/>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3 071 059</w:t>
            </w:r>
          </w:p>
        </w:tc>
        <w:tc>
          <w:tcPr>
            <w:tcW w:w="729" w:type="pct"/>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(81 678)</w:t>
            </w:r>
          </w:p>
        </w:tc>
        <w:tc>
          <w:tcPr>
            <w:tcW w:w="729" w:type="pct"/>
            <w:tcBorders>
              <w:top w:val="nil"/>
              <w:left w:val="nil"/>
              <w:bottom w:val="double" w:sz="6" w:space="0" w:color="auto"/>
              <w:right w:val="nil"/>
            </w:tcBorders>
            <w:shd w:val="clear" w:color="auto" w:fill="auto"/>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(1 403 507)</w:t>
            </w:r>
          </w:p>
        </w:tc>
        <w:tc>
          <w:tcPr>
            <w:tcW w:w="681" w:type="pct"/>
            <w:tcBorders>
              <w:top w:val="nil"/>
              <w:left w:val="nil"/>
              <w:bottom w:val="double" w:sz="6" w:space="0" w:color="auto"/>
              <w:right w:val="nil"/>
            </w:tcBorders>
            <w:shd w:val="clear" w:color="auto" w:fill="auto"/>
            <w:noWrap/>
            <w:vAlign w:val="bottom"/>
            <w:hideMark/>
          </w:tcPr>
          <w:p w:rsidR="00010A9C" w:rsidRPr="00DB0AC3" w:rsidRDefault="00010A9C" w:rsidP="001763A9">
            <w:pPr>
              <w:jc w:val="right"/>
              <w:rPr>
                <w:rFonts w:cs="Arial"/>
                <w:b/>
                <w:bCs/>
                <w:color w:val="000000"/>
                <w:sz w:val="20"/>
                <w:lang w:val="ru-RU"/>
              </w:rPr>
            </w:pPr>
            <w:r w:rsidRPr="00DB0AC3">
              <w:rPr>
                <w:rFonts w:cs="Arial"/>
                <w:b/>
                <w:bCs/>
                <w:color w:val="000000"/>
                <w:sz w:val="20"/>
                <w:lang w:val="ru-RU"/>
              </w:rPr>
              <w:t>238 653</w:t>
            </w:r>
          </w:p>
        </w:tc>
      </w:tr>
    </w:tbl>
    <w:p w:rsidR="00010A9C" w:rsidRPr="00DB0AC3" w:rsidRDefault="00010A9C" w:rsidP="00010A9C">
      <w:pPr>
        <w:rPr>
          <w:rFonts w:cs="Arial"/>
          <w:sz w:val="20"/>
          <w:lang w:val="ru-RU"/>
        </w:rPr>
      </w:pPr>
    </w:p>
    <w:p w:rsidR="0032464E" w:rsidRPr="001763A9" w:rsidRDefault="0032464E" w:rsidP="00954046">
      <w:pPr>
        <w:pStyle w:val="43"/>
        <w:numPr>
          <w:ilvl w:val="0"/>
          <w:numId w:val="34"/>
        </w:numPr>
        <w:shd w:val="clear" w:color="auto" w:fill="auto"/>
        <w:spacing w:line="200" w:lineRule="exact"/>
        <w:rPr>
          <w:rStyle w:val="42"/>
          <w:bCs/>
          <w:i/>
          <w:iCs/>
          <w:color w:val="000000"/>
        </w:rPr>
      </w:pPr>
      <w:r w:rsidRPr="001763A9">
        <w:rPr>
          <w:rStyle w:val="42"/>
          <w:bCs/>
          <w:i/>
          <w:iCs/>
          <w:color w:val="000000"/>
        </w:rPr>
        <w:t>Сверка отчетных сегментной выручки, прибыли или убытка, активов и пассивов</w:t>
      </w:r>
    </w:p>
    <w:tbl>
      <w:tblPr>
        <w:tblW w:w="5000" w:type="pct"/>
        <w:tblLook w:val="04A0"/>
      </w:tblPr>
      <w:tblGrid>
        <w:gridCol w:w="4871"/>
        <w:gridCol w:w="2477"/>
        <w:gridCol w:w="2475"/>
      </w:tblGrid>
      <w:tr w:rsidR="0032464E" w:rsidRPr="00DB0AC3" w:rsidTr="00954046">
        <w:trPr>
          <w:trHeight w:val="300"/>
        </w:trPr>
        <w:tc>
          <w:tcPr>
            <w:tcW w:w="2479" w:type="pct"/>
            <w:tcBorders>
              <w:top w:val="nil"/>
              <w:left w:val="nil"/>
              <w:bottom w:val="nil"/>
              <w:right w:val="nil"/>
            </w:tcBorders>
            <w:shd w:val="clear" w:color="auto" w:fill="auto"/>
            <w:noWrap/>
            <w:vAlign w:val="bottom"/>
            <w:hideMark/>
          </w:tcPr>
          <w:p w:rsidR="0032464E" w:rsidRPr="00DB0AC3" w:rsidRDefault="0032464E" w:rsidP="0032464E">
            <w:pPr>
              <w:rPr>
                <w:rFonts w:cs="Arial"/>
                <w:color w:val="000000"/>
                <w:sz w:val="20"/>
                <w:lang w:val="ru-RU"/>
              </w:rPr>
            </w:pPr>
          </w:p>
        </w:tc>
        <w:tc>
          <w:tcPr>
            <w:tcW w:w="1261" w:type="pct"/>
            <w:tcBorders>
              <w:top w:val="nil"/>
              <w:left w:val="nil"/>
              <w:bottom w:val="single" w:sz="4" w:space="0" w:color="auto"/>
              <w:right w:val="nil"/>
            </w:tcBorders>
            <w:shd w:val="clear" w:color="auto" w:fill="auto"/>
            <w:noWrap/>
            <w:vAlign w:val="bottom"/>
            <w:hideMark/>
          </w:tcPr>
          <w:p w:rsidR="0032464E" w:rsidRPr="00DB0AC3" w:rsidRDefault="0032464E" w:rsidP="0032464E">
            <w:pPr>
              <w:jc w:val="center"/>
              <w:rPr>
                <w:rFonts w:cs="Arial"/>
                <w:b/>
                <w:bCs/>
                <w:color w:val="000000"/>
                <w:sz w:val="20"/>
                <w:lang w:val="ru-RU"/>
              </w:rPr>
            </w:pPr>
            <w:r w:rsidRPr="00DB0AC3">
              <w:rPr>
                <w:rFonts w:cs="Arial"/>
                <w:b/>
                <w:bCs/>
                <w:color w:val="000000"/>
                <w:sz w:val="20"/>
                <w:lang w:val="ru-RU"/>
              </w:rPr>
              <w:t>2 014</w:t>
            </w:r>
          </w:p>
        </w:tc>
        <w:tc>
          <w:tcPr>
            <w:tcW w:w="1261" w:type="pct"/>
            <w:tcBorders>
              <w:top w:val="nil"/>
              <w:left w:val="nil"/>
              <w:bottom w:val="single" w:sz="4" w:space="0" w:color="auto"/>
              <w:right w:val="nil"/>
            </w:tcBorders>
            <w:shd w:val="clear" w:color="auto" w:fill="auto"/>
            <w:noWrap/>
            <w:vAlign w:val="bottom"/>
            <w:hideMark/>
          </w:tcPr>
          <w:p w:rsidR="0032464E" w:rsidRPr="00DB0AC3" w:rsidRDefault="0032464E" w:rsidP="0032464E">
            <w:pPr>
              <w:jc w:val="center"/>
              <w:rPr>
                <w:rFonts w:cs="Arial"/>
                <w:b/>
                <w:bCs/>
                <w:color w:val="000000"/>
                <w:sz w:val="20"/>
                <w:lang w:val="ru-RU"/>
              </w:rPr>
            </w:pPr>
            <w:r w:rsidRPr="00DB0AC3">
              <w:rPr>
                <w:rFonts w:cs="Arial"/>
                <w:b/>
                <w:bCs/>
                <w:color w:val="000000"/>
                <w:sz w:val="20"/>
                <w:lang w:val="ru-RU"/>
              </w:rPr>
              <w:t>2 013</w:t>
            </w:r>
          </w:p>
        </w:tc>
      </w:tr>
      <w:tr w:rsidR="0032464E" w:rsidRPr="00DB0AC3" w:rsidTr="001763A9">
        <w:trPr>
          <w:trHeight w:val="600"/>
        </w:trPr>
        <w:tc>
          <w:tcPr>
            <w:tcW w:w="2479"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Итого доход по отчетным сегментам</w:t>
            </w:r>
          </w:p>
        </w:tc>
        <w:tc>
          <w:tcPr>
            <w:tcW w:w="1261" w:type="pct"/>
            <w:tcBorders>
              <w:top w:val="nil"/>
              <w:left w:val="nil"/>
              <w:bottom w:val="nil"/>
              <w:right w:val="nil"/>
            </w:tcBorders>
            <w:shd w:val="clear" w:color="auto" w:fill="auto"/>
            <w:noWrap/>
            <w:vAlign w:val="bottom"/>
            <w:hideMark/>
          </w:tcPr>
          <w:p w:rsidR="0032464E" w:rsidRPr="00DB0AC3" w:rsidRDefault="0032464E" w:rsidP="001763A9">
            <w:pPr>
              <w:jc w:val="center"/>
              <w:rPr>
                <w:rFonts w:cs="Arial"/>
                <w:b/>
                <w:bCs/>
                <w:color w:val="000000"/>
                <w:sz w:val="20"/>
                <w:lang w:val="ru-RU"/>
              </w:rPr>
            </w:pPr>
            <w:r w:rsidRPr="00DB0AC3">
              <w:rPr>
                <w:rFonts w:cs="Arial"/>
                <w:b/>
                <w:bCs/>
                <w:color w:val="000000"/>
                <w:sz w:val="20"/>
                <w:lang w:val="ru-RU"/>
              </w:rPr>
              <w:t>5 243 241</w:t>
            </w:r>
          </w:p>
        </w:tc>
        <w:tc>
          <w:tcPr>
            <w:tcW w:w="1261" w:type="pct"/>
            <w:tcBorders>
              <w:top w:val="nil"/>
              <w:left w:val="nil"/>
              <w:bottom w:val="nil"/>
              <w:right w:val="nil"/>
            </w:tcBorders>
            <w:shd w:val="clear" w:color="auto" w:fill="auto"/>
            <w:vAlign w:val="bottom"/>
            <w:hideMark/>
          </w:tcPr>
          <w:p w:rsidR="0032464E" w:rsidRPr="00DB0AC3" w:rsidRDefault="0032464E" w:rsidP="001763A9">
            <w:pPr>
              <w:jc w:val="center"/>
              <w:rPr>
                <w:rFonts w:cs="Arial"/>
                <w:b/>
                <w:bCs/>
                <w:color w:val="000000"/>
                <w:sz w:val="20"/>
                <w:lang w:val="ru-RU"/>
              </w:rPr>
            </w:pPr>
            <w:r w:rsidRPr="00DB0AC3">
              <w:rPr>
                <w:rFonts w:cs="Arial"/>
                <w:b/>
                <w:bCs/>
                <w:color w:val="000000"/>
                <w:sz w:val="20"/>
                <w:lang w:val="ru-RU"/>
              </w:rPr>
              <w:t>4 837 739</w:t>
            </w:r>
          </w:p>
        </w:tc>
      </w:tr>
      <w:tr w:rsidR="0032464E" w:rsidRPr="00DB0AC3" w:rsidTr="001763A9">
        <w:trPr>
          <w:trHeight w:val="900"/>
        </w:trPr>
        <w:tc>
          <w:tcPr>
            <w:tcW w:w="2479"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(а) Корректировка балансовой стоимости кредитов</w:t>
            </w:r>
          </w:p>
        </w:tc>
        <w:tc>
          <w:tcPr>
            <w:tcW w:w="1261" w:type="pct"/>
            <w:tcBorders>
              <w:top w:val="nil"/>
              <w:left w:val="nil"/>
              <w:bottom w:val="nil"/>
              <w:right w:val="nil"/>
            </w:tcBorders>
            <w:shd w:val="clear" w:color="auto" w:fill="auto"/>
            <w:noWrap/>
            <w:vAlign w:val="bottom"/>
            <w:hideMark/>
          </w:tcPr>
          <w:p w:rsidR="0032464E" w:rsidRPr="00DB0AC3" w:rsidRDefault="0032464E" w:rsidP="001763A9">
            <w:pPr>
              <w:jc w:val="center"/>
              <w:rPr>
                <w:rFonts w:cs="Arial"/>
                <w:b/>
                <w:bCs/>
                <w:color w:val="000000"/>
                <w:sz w:val="20"/>
                <w:lang w:val="ru-RU"/>
              </w:rPr>
            </w:pPr>
            <w:r w:rsidRPr="00DB0AC3">
              <w:rPr>
                <w:rFonts w:cs="Arial"/>
                <w:color w:val="000000"/>
                <w:sz w:val="20"/>
                <w:lang w:val="ru-RU"/>
              </w:rPr>
              <w:t>224 024</w:t>
            </w:r>
          </w:p>
        </w:tc>
        <w:tc>
          <w:tcPr>
            <w:tcW w:w="1261" w:type="pct"/>
            <w:tcBorders>
              <w:top w:val="nil"/>
              <w:left w:val="nil"/>
              <w:bottom w:val="nil"/>
              <w:right w:val="nil"/>
            </w:tcBorders>
            <w:shd w:val="clear" w:color="auto" w:fill="auto"/>
            <w:vAlign w:val="bottom"/>
            <w:hideMark/>
          </w:tcPr>
          <w:p w:rsidR="0032464E" w:rsidRPr="00DB0AC3" w:rsidRDefault="0032464E" w:rsidP="001763A9">
            <w:pPr>
              <w:jc w:val="center"/>
              <w:rPr>
                <w:rFonts w:cs="Arial"/>
                <w:b/>
                <w:bCs/>
                <w:color w:val="000000"/>
                <w:sz w:val="20"/>
                <w:lang w:val="ru-RU"/>
              </w:rPr>
            </w:pPr>
            <w:r w:rsidRPr="00DB0AC3">
              <w:rPr>
                <w:rFonts w:cs="Arial"/>
                <w:color w:val="000000"/>
                <w:sz w:val="20"/>
                <w:lang w:val="ru-RU"/>
              </w:rPr>
              <w:t>188 587</w:t>
            </w:r>
          </w:p>
        </w:tc>
      </w:tr>
      <w:tr w:rsidR="0032464E" w:rsidRPr="00DB0AC3" w:rsidTr="001763A9">
        <w:trPr>
          <w:trHeight w:val="600"/>
        </w:trPr>
        <w:tc>
          <w:tcPr>
            <w:tcW w:w="2479"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(б) Прочие корректировки</w:t>
            </w:r>
          </w:p>
        </w:tc>
        <w:tc>
          <w:tcPr>
            <w:tcW w:w="1261" w:type="pct"/>
            <w:tcBorders>
              <w:top w:val="nil"/>
              <w:left w:val="nil"/>
              <w:bottom w:val="nil"/>
              <w:right w:val="nil"/>
            </w:tcBorders>
            <w:shd w:val="clear" w:color="auto" w:fill="auto"/>
            <w:vAlign w:val="bottom"/>
            <w:hideMark/>
          </w:tcPr>
          <w:p w:rsidR="0032464E" w:rsidRPr="00DB0AC3" w:rsidRDefault="0032464E" w:rsidP="001763A9">
            <w:pPr>
              <w:jc w:val="center"/>
              <w:rPr>
                <w:rFonts w:cs="Arial"/>
                <w:b/>
                <w:bCs/>
                <w:color w:val="000000"/>
                <w:sz w:val="20"/>
                <w:lang w:val="ru-RU"/>
              </w:rPr>
            </w:pPr>
            <w:r w:rsidRPr="00DB0AC3">
              <w:rPr>
                <w:rFonts w:cs="Arial"/>
                <w:color w:val="000000"/>
                <w:sz w:val="20"/>
                <w:lang w:val="ru-RU"/>
              </w:rPr>
              <w:t>(73 626)</w:t>
            </w:r>
          </w:p>
        </w:tc>
        <w:tc>
          <w:tcPr>
            <w:tcW w:w="1261" w:type="pct"/>
            <w:tcBorders>
              <w:top w:val="nil"/>
              <w:left w:val="nil"/>
              <w:bottom w:val="single" w:sz="4" w:space="0" w:color="auto"/>
              <w:right w:val="nil"/>
            </w:tcBorders>
            <w:shd w:val="clear" w:color="auto" w:fill="auto"/>
            <w:vAlign w:val="bottom"/>
            <w:hideMark/>
          </w:tcPr>
          <w:p w:rsidR="0032464E" w:rsidRPr="00DB0AC3" w:rsidRDefault="0032464E" w:rsidP="001763A9">
            <w:pPr>
              <w:jc w:val="center"/>
              <w:rPr>
                <w:rFonts w:cs="Arial"/>
                <w:b/>
                <w:bCs/>
                <w:color w:val="000000"/>
                <w:sz w:val="20"/>
                <w:lang w:val="ru-RU"/>
              </w:rPr>
            </w:pPr>
            <w:r w:rsidRPr="00DB0AC3">
              <w:rPr>
                <w:rFonts w:cs="Arial"/>
                <w:color w:val="000000"/>
                <w:sz w:val="20"/>
                <w:lang w:val="ru-RU"/>
              </w:rPr>
              <w:t>11 018</w:t>
            </w:r>
          </w:p>
        </w:tc>
      </w:tr>
      <w:tr w:rsidR="0032464E" w:rsidRPr="00DB0AC3" w:rsidTr="001763A9">
        <w:trPr>
          <w:trHeight w:val="315"/>
        </w:trPr>
        <w:tc>
          <w:tcPr>
            <w:tcW w:w="2479"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Итого доход (МСФО)</w:t>
            </w:r>
          </w:p>
        </w:tc>
        <w:tc>
          <w:tcPr>
            <w:tcW w:w="1261" w:type="pct"/>
            <w:tcBorders>
              <w:top w:val="single" w:sz="4" w:space="0" w:color="auto"/>
              <w:left w:val="nil"/>
              <w:bottom w:val="double" w:sz="6" w:space="0" w:color="auto"/>
              <w:right w:val="nil"/>
            </w:tcBorders>
            <w:shd w:val="clear" w:color="auto" w:fill="auto"/>
            <w:vAlign w:val="bottom"/>
            <w:hideMark/>
          </w:tcPr>
          <w:p w:rsidR="0032464E" w:rsidRPr="00DB0AC3" w:rsidRDefault="0032464E" w:rsidP="001763A9">
            <w:pPr>
              <w:jc w:val="center"/>
              <w:rPr>
                <w:rFonts w:cs="Arial"/>
                <w:b/>
                <w:bCs/>
                <w:color w:val="000000"/>
                <w:sz w:val="20"/>
                <w:lang w:val="ru-RU"/>
              </w:rPr>
            </w:pPr>
            <w:r w:rsidRPr="00DB0AC3">
              <w:rPr>
                <w:rFonts w:cs="Arial"/>
                <w:b/>
                <w:bCs/>
                <w:color w:val="000000"/>
                <w:sz w:val="20"/>
                <w:lang w:val="ru-RU"/>
              </w:rPr>
              <w:t>5 393 639</w:t>
            </w:r>
          </w:p>
        </w:tc>
        <w:tc>
          <w:tcPr>
            <w:tcW w:w="1261" w:type="pct"/>
            <w:tcBorders>
              <w:top w:val="nil"/>
              <w:left w:val="nil"/>
              <w:bottom w:val="double" w:sz="6" w:space="0" w:color="auto"/>
              <w:right w:val="nil"/>
            </w:tcBorders>
            <w:shd w:val="clear" w:color="auto" w:fill="auto"/>
            <w:vAlign w:val="bottom"/>
            <w:hideMark/>
          </w:tcPr>
          <w:p w:rsidR="0032464E" w:rsidRPr="00DB0AC3" w:rsidRDefault="0032464E" w:rsidP="001763A9">
            <w:pPr>
              <w:jc w:val="center"/>
              <w:rPr>
                <w:rFonts w:cs="Arial"/>
                <w:b/>
                <w:bCs/>
                <w:color w:val="000000"/>
                <w:sz w:val="20"/>
                <w:lang w:val="ru-RU"/>
              </w:rPr>
            </w:pPr>
            <w:r w:rsidRPr="00DB0AC3">
              <w:rPr>
                <w:rFonts w:cs="Arial"/>
                <w:b/>
                <w:bCs/>
                <w:color w:val="000000"/>
                <w:sz w:val="20"/>
                <w:lang w:val="ru-RU"/>
              </w:rPr>
              <w:t>5 037 344</w:t>
            </w:r>
          </w:p>
        </w:tc>
      </w:tr>
    </w:tbl>
    <w:p w:rsidR="0032464E" w:rsidRPr="00DB0AC3" w:rsidRDefault="0032464E" w:rsidP="0032464E">
      <w:pPr>
        <w:pStyle w:val="43"/>
        <w:shd w:val="clear" w:color="auto" w:fill="auto"/>
        <w:spacing w:line="200" w:lineRule="exact"/>
      </w:pPr>
    </w:p>
    <w:p w:rsidR="0032464E" w:rsidRPr="001763A9" w:rsidRDefault="0032464E" w:rsidP="0032464E">
      <w:pPr>
        <w:pStyle w:val="210"/>
        <w:shd w:val="clear" w:color="auto" w:fill="auto"/>
        <w:spacing w:line="230" w:lineRule="exact"/>
        <w:ind w:firstLine="0"/>
        <w:rPr>
          <w:sz w:val="20"/>
          <w:szCs w:val="20"/>
        </w:rPr>
      </w:pPr>
      <w:r w:rsidRPr="001763A9">
        <w:rPr>
          <w:rStyle w:val="230"/>
          <w:bCs/>
          <w:color w:val="000000"/>
          <w:sz w:val="20"/>
          <w:szCs w:val="20"/>
        </w:rPr>
        <w:t>Общие доходы составляют процентные доходы, комиссионные доходы и прочие операционные доходы</w:t>
      </w:r>
      <w:r w:rsidR="003B67AF">
        <w:rPr>
          <w:rStyle w:val="230"/>
          <w:bCs/>
          <w:color w:val="000000"/>
          <w:sz w:val="20"/>
          <w:szCs w:val="20"/>
        </w:rPr>
        <w:t>:</w:t>
      </w:r>
    </w:p>
    <w:tbl>
      <w:tblPr>
        <w:tblW w:w="5000" w:type="pct"/>
        <w:tblLook w:val="04A0"/>
      </w:tblPr>
      <w:tblGrid>
        <w:gridCol w:w="5138"/>
        <w:gridCol w:w="2540"/>
        <w:gridCol w:w="2145"/>
      </w:tblGrid>
      <w:tr w:rsidR="00D56E35" w:rsidRPr="00DB0AC3" w:rsidTr="0032464E">
        <w:trPr>
          <w:trHeight w:val="300"/>
        </w:trPr>
        <w:tc>
          <w:tcPr>
            <w:tcW w:w="2615" w:type="pct"/>
            <w:tcBorders>
              <w:top w:val="nil"/>
              <w:left w:val="nil"/>
              <w:bottom w:val="nil"/>
              <w:right w:val="nil"/>
            </w:tcBorders>
            <w:shd w:val="clear" w:color="auto" w:fill="auto"/>
            <w:noWrap/>
            <w:vAlign w:val="bottom"/>
            <w:hideMark/>
          </w:tcPr>
          <w:p w:rsidR="0032464E" w:rsidRPr="00DB0AC3" w:rsidRDefault="0032464E" w:rsidP="0032464E">
            <w:pPr>
              <w:rPr>
                <w:rFonts w:cs="Arial"/>
                <w:color w:val="000000"/>
                <w:sz w:val="20"/>
                <w:lang w:val="ru-RU"/>
              </w:rPr>
            </w:pPr>
          </w:p>
        </w:tc>
        <w:tc>
          <w:tcPr>
            <w:tcW w:w="1293" w:type="pct"/>
            <w:tcBorders>
              <w:top w:val="nil"/>
              <w:left w:val="nil"/>
              <w:bottom w:val="single" w:sz="4" w:space="0" w:color="auto"/>
              <w:right w:val="nil"/>
            </w:tcBorders>
            <w:shd w:val="clear" w:color="auto" w:fill="auto"/>
            <w:noWrap/>
            <w:vAlign w:val="bottom"/>
            <w:hideMark/>
          </w:tcPr>
          <w:p w:rsidR="0032464E" w:rsidRPr="00DB0AC3" w:rsidRDefault="0032464E" w:rsidP="0032464E">
            <w:pPr>
              <w:jc w:val="center"/>
              <w:rPr>
                <w:rFonts w:cs="Arial"/>
                <w:b/>
                <w:bCs/>
                <w:color w:val="000000"/>
                <w:sz w:val="20"/>
                <w:lang w:val="ru-RU"/>
              </w:rPr>
            </w:pPr>
            <w:r w:rsidRPr="00DB0AC3">
              <w:rPr>
                <w:rFonts w:cs="Arial"/>
                <w:b/>
                <w:bCs/>
                <w:color w:val="000000"/>
                <w:sz w:val="20"/>
                <w:lang w:val="ru-RU"/>
              </w:rPr>
              <w:t>2 014</w:t>
            </w:r>
          </w:p>
        </w:tc>
        <w:tc>
          <w:tcPr>
            <w:tcW w:w="1092" w:type="pct"/>
            <w:tcBorders>
              <w:top w:val="nil"/>
              <w:left w:val="nil"/>
              <w:bottom w:val="single" w:sz="4" w:space="0" w:color="auto"/>
              <w:right w:val="nil"/>
            </w:tcBorders>
            <w:shd w:val="clear" w:color="auto" w:fill="auto"/>
            <w:noWrap/>
            <w:vAlign w:val="bottom"/>
            <w:hideMark/>
          </w:tcPr>
          <w:p w:rsidR="0032464E" w:rsidRPr="00DB0AC3" w:rsidRDefault="0032464E" w:rsidP="001E0D2F">
            <w:pPr>
              <w:jc w:val="center"/>
              <w:rPr>
                <w:rFonts w:cs="Arial"/>
                <w:b/>
                <w:bCs/>
                <w:color w:val="000000"/>
                <w:sz w:val="20"/>
                <w:lang w:val="ru-RU"/>
              </w:rPr>
            </w:pPr>
            <w:r w:rsidRPr="00DB0AC3">
              <w:rPr>
                <w:rFonts w:cs="Arial"/>
                <w:b/>
                <w:bCs/>
                <w:color w:val="000000"/>
                <w:sz w:val="20"/>
                <w:lang w:val="ru-RU"/>
              </w:rPr>
              <w:t>2 013</w:t>
            </w:r>
          </w:p>
        </w:tc>
      </w:tr>
      <w:tr w:rsidR="00D56E35" w:rsidRPr="00DB0AC3" w:rsidTr="001763A9">
        <w:trPr>
          <w:trHeight w:val="9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Итого отчетный результат по сегментам</w:t>
            </w:r>
          </w:p>
        </w:tc>
        <w:tc>
          <w:tcPr>
            <w:tcW w:w="1293"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b/>
                <w:bCs/>
                <w:color w:val="000000"/>
                <w:sz w:val="20"/>
                <w:lang w:val="ru-RU"/>
              </w:rPr>
              <w:t>509 523</w:t>
            </w:r>
          </w:p>
        </w:tc>
        <w:tc>
          <w:tcPr>
            <w:tcW w:w="1092"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b/>
                <w:bCs/>
                <w:color w:val="000000"/>
                <w:sz w:val="20"/>
                <w:lang w:val="ru-RU"/>
              </w:rPr>
              <w:t>238 653</w:t>
            </w:r>
          </w:p>
        </w:tc>
      </w:tr>
      <w:tr w:rsidR="00D56E35" w:rsidRPr="00DB0AC3" w:rsidTr="001763A9">
        <w:trPr>
          <w:trHeight w:val="900"/>
        </w:trPr>
        <w:tc>
          <w:tcPr>
            <w:tcW w:w="2615" w:type="pct"/>
            <w:tcBorders>
              <w:top w:val="nil"/>
              <w:left w:val="nil"/>
              <w:bottom w:val="nil"/>
              <w:right w:val="nil"/>
            </w:tcBorders>
            <w:shd w:val="clear" w:color="auto" w:fill="auto"/>
            <w:vAlign w:val="bottom"/>
            <w:hideMark/>
          </w:tcPr>
          <w:p w:rsidR="0032464E" w:rsidRPr="00DB0AC3" w:rsidRDefault="0032464E" w:rsidP="003B67AF">
            <w:pPr>
              <w:rPr>
                <w:rFonts w:cs="Arial"/>
                <w:b/>
                <w:bCs/>
                <w:color w:val="000000"/>
                <w:sz w:val="20"/>
                <w:lang w:val="ru-RU"/>
              </w:rPr>
            </w:pPr>
            <w:r w:rsidRPr="00DB0AC3">
              <w:rPr>
                <w:rFonts w:cs="Arial"/>
                <w:b/>
                <w:bCs/>
                <w:color w:val="000000"/>
                <w:sz w:val="20"/>
                <w:lang w:val="ru-RU"/>
              </w:rPr>
              <w:t>Резервы под обесценение кредитов</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(31 692 961)</w:t>
            </w:r>
          </w:p>
        </w:tc>
        <w:tc>
          <w:tcPr>
            <w:tcW w:w="1092"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(507 295)</w:t>
            </w:r>
          </w:p>
        </w:tc>
      </w:tr>
      <w:tr w:rsidR="00D56E35" w:rsidRPr="00DB0AC3" w:rsidTr="001763A9">
        <w:trPr>
          <w:trHeight w:val="6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Балансовая стоимость кредитов клиентов</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224 024</w:t>
            </w:r>
          </w:p>
        </w:tc>
        <w:tc>
          <w:tcPr>
            <w:tcW w:w="1092"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188 587</w:t>
            </w:r>
          </w:p>
        </w:tc>
      </w:tr>
      <w:tr w:rsidR="00D56E35" w:rsidRPr="00DB0AC3" w:rsidTr="001763A9">
        <w:trPr>
          <w:trHeight w:val="12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Дисконтирование кредитов и дебиторской задолженности</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230 302</w:t>
            </w:r>
          </w:p>
        </w:tc>
        <w:tc>
          <w:tcPr>
            <w:tcW w:w="1092"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(53 425)</w:t>
            </w:r>
          </w:p>
        </w:tc>
      </w:tr>
      <w:tr w:rsidR="00D56E35" w:rsidRPr="00DB0AC3" w:rsidTr="001763A9">
        <w:trPr>
          <w:trHeight w:val="6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Резерв по прочим активам</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(50 260)</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49 451</w:t>
            </w:r>
          </w:p>
        </w:tc>
      </w:tr>
      <w:tr w:rsidR="00D56E35" w:rsidRPr="00DB0AC3" w:rsidTr="001763A9">
        <w:trPr>
          <w:trHeight w:val="9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Резерв по обязательствам кредитного характера</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8 779</w:t>
            </w:r>
          </w:p>
        </w:tc>
        <w:tc>
          <w:tcPr>
            <w:tcW w:w="1092"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(32 688)</w:t>
            </w:r>
          </w:p>
        </w:tc>
      </w:tr>
      <w:tr w:rsidR="00D56E35" w:rsidRPr="00DB0AC3" w:rsidTr="001763A9">
        <w:trPr>
          <w:trHeight w:val="9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Резерв под обесценение ценных бумаг</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4 494</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16 507</w:t>
            </w:r>
          </w:p>
        </w:tc>
      </w:tr>
      <w:tr w:rsidR="00D56E35" w:rsidRPr="00DB0AC3" w:rsidTr="001763A9">
        <w:trPr>
          <w:trHeight w:val="99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lastRenderedPageBreak/>
              <w:t>Амортизация основных средств и инвестиционной недвижимости</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22 724</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10 906</w:t>
            </w:r>
          </w:p>
        </w:tc>
      </w:tr>
      <w:tr w:rsidR="00D56E35" w:rsidRPr="00DB0AC3" w:rsidTr="001763A9">
        <w:trPr>
          <w:trHeight w:val="3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Начисление расходов</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40 342</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7 038</w:t>
            </w:r>
          </w:p>
        </w:tc>
      </w:tr>
      <w:tr w:rsidR="00D56E35" w:rsidRPr="00DB0AC3" w:rsidTr="001763A9">
        <w:trPr>
          <w:trHeight w:val="6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Начисление процентных доходов</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w:t>
            </w:r>
          </w:p>
        </w:tc>
      </w:tr>
      <w:tr w:rsidR="00D56E35" w:rsidRPr="00DB0AC3" w:rsidTr="001763A9">
        <w:trPr>
          <w:trHeight w:val="6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Переоценка/(обесценение) активов</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(72 587)</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w:t>
            </w:r>
          </w:p>
        </w:tc>
      </w:tr>
      <w:tr w:rsidR="00D56E35" w:rsidRPr="00DB0AC3" w:rsidTr="001763A9">
        <w:trPr>
          <w:trHeight w:val="600"/>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Прочие корректировки</w:t>
            </w:r>
          </w:p>
        </w:tc>
        <w:tc>
          <w:tcPr>
            <w:tcW w:w="1293" w:type="pct"/>
            <w:tcBorders>
              <w:top w:val="nil"/>
              <w:left w:val="nil"/>
              <w:bottom w:val="nil"/>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(358 975)</w:t>
            </w:r>
          </w:p>
        </w:tc>
        <w:tc>
          <w:tcPr>
            <w:tcW w:w="1092" w:type="pct"/>
            <w:tcBorders>
              <w:top w:val="nil"/>
              <w:left w:val="nil"/>
              <w:bottom w:val="nil"/>
              <w:right w:val="nil"/>
            </w:tcBorders>
            <w:shd w:val="clear" w:color="auto" w:fill="auto"/>
            <w:noWrap/>
            <w:vAlign w:val="bottom"/>
            <w:hideMark/>
          </w:tcPr>
          <w:p w:rsidR="0032464E" w:rsidRPr="00DB0AC3" w:rsidRDefault="0032464E" w:rsidP="00954046">
            <w:pPr>
              <w:jc w:val="center"/>
              <w:rPr>
                <w:rFonts w:cs="Arial"/>
                <w:b/>
                <w:bCs/>
                <w:color w:val="000000"/>
                <w:sz w:val="20"/>
                <w:lang w:val="ru-RU"/>
              </w:rPr>
            </w:pPr>
            <w:r w:rsidRPr="00DB0AC3">
              <w:rPr>
                <w:rFonts w:cs="Arial"/>
                <w:color w:val="000000"/>
                <w:sz w:val="20"/>
                <w:lang w:val="ru-RU"/>
              </w:rPr>
              <w:t>-</w:t>
            </w:r>
          </w:p>
        </w:tc>
      </w:tr>
      <w:tr w:rsidR="00D56E35" w:rsidRPr="00DB0AC3" w:rsidTr="001763A9">
        <w:trPr>
          <w:trHeight w:val="748"/>
        </w:trPr>
        <w:tc>
          <w:tcPr>
            <w:tcW w:w="2615" w:type="pct"/>
            <w:tcBorders>
              <w:top w:val="nil"/>
              <w:left w:val="nil"/>
              <w:bottom w:val="nil"/>
              <w:right w:val="nil"/>
            </w:tcBorders>
            <w:shd w:val="clear" w:color="auto" w:fill="auto"/>
            <w:vAlign w:val="bottom"/>
            <w:hideMark/>
          </w:tcPr>
          <w:p w:rsidR="0032464E" w:rsidRPr="00DB0AC3" w:rsidRDefault="0032464E" w:rsidP="001763A9">
            <w:pPr>
              <w:rPr>
                <w:rFonts w:cs="Arial"/>
                <w:b/>
                <w:bCs/>
                <w:color w:val="000000"/>
                <w:sz w:val="20"/>
                <w:lang w:val="ru-RU"/>
              </w:rPr>
            </w:pPr>
            <w:r w:rsidRPr="00DB0AC3">
              <w:rPr>
                <w:rFonts w:cs="Arial"/>
                <w:b/>
                <w:bCs/>
                <w:color w:val="000000"/>
                <w:sz w:val="20"/>
                <w:lang w:val="ru-RU"/>
              </w:rPr>
              <w:t>Прибыль до налогообложения (МСФО)</w:t>
            </w:r>
          </w:p>
        </w:tc>
        <w:tc>
          <w:tcPr>
            <w:tcW w:w="1293" w:type="pct"/>
            <w:tcBorders>
              <w:top w:val="single" w:sz="4" w:space="0" w:color="auto"/>
              <w:left w:val="nil"/>
              <w:bottom w:val="double" w:sz="6" w:space="0" w:color="auto"/>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b/>
                <w:bCs/>
                <w:color w:val="000000"/>
                <w:sz w:val="20"/>
                <w:lang w:val="ru-RU"/>
              </w:rPr>
              <w:t>(31 134 595)</w:t>
            </w:r>
          </w:p>
        </w:tc>
        <w:tc>
          <w:tcPr>
            <w:tcW w:w="1092" w:type="pct"/>
            <w:tcBorders>
              <w:top w:val="single" w:sz="4" w:space="0" w:color="auto"/>
              <w:left w:val="nil"/>
              <w:bottom w:val="double" w:sz="6" w:space="0" w:color="auto"/>
              <w:right w:val="nil"/>
            </w:tcBorders>
            <w:shd w:val="clear" w:color="auto" w:fill="auto"/>
            <w:vAlign w:val="bottom"/>
            <w:hideMark/>
          </w:tcPr>
          <w:p w:rsidR="0032464E" w:rsidRPr="00DB0AC3" w:rsidRDefault="0032464E" w:rsidP="00954046">
            <w:pPr>
              <w:jc w:val="center"/>
              <w:rPr>
                <w:rFonts w:cs="Arial"/>
                <w:b/>
                <w:bCs/>
                <w:color w:val="000000"/>
                <w:sz w:val="20"/>
                <w:lang w:val="ru-RU"/>
              </w:rPr>
            </w:pPr>
            <w:r w:rsidRPr="00DB0AC3">
              <w:rPr>
                <w:rFonts w:cs="Arial"/>
                <w:b/>
                <w:bCs/>
                <w:color w:val="000000"/>
                <w:sz w:val="20"/>
                <w:lang w:val="ru-RU"/>
              </w:rPr>
              <w:t>(82 266)</w:t>
            </w:r>
          </w:p>
        </w:tc>
      </w:tr>
    </w:tbl>
    <w:p w:rsidR="001763A9" w:rsidRDefault="001763A9" w:rsidP="0009607F">
      <w:pPr>
        <w:rPr>
          <w:rStyle w:val="230"/>
          <w:b w:val="0"/>
          <w:bCs w:val="0"/>
          <w:color w:val="000000"/>
          <w:sz w:val="20"/>
          <w:szCs w:val="20"/>
          <w:lang w:val="ru-RU"/>
        </w:rPr>
      </w:pPr>
    </w:p>
    <w:p w:rsidR="00010A9C" w:rsidRPr="00DB0AC3" w:rsidRDefault="00651CD9" w:rsidP="0009607F">
      <w:pPr>
        <w:rPr>
          <w:rStyle w:val="230"/>
          <w:b w:val="0"/>
          <w:bCs w:val="0"/>
          <w:color w:val="000000"/>
          <w:sz w:val="20"/>
          <w:szCs w:val="20"/>
          <w:lang w:val="ru-RU"/>
        </w:rPr>
      </w:pPr>
      <w:r w:rsidRPr="00DB0AC3">
        <w:rPr>
          <w:rStyle w:val="230"/>
          <w:b w:val="0"/>
          <w:bCs w:val="0"/>
          <w:color w:val="000000"/>
          <w:sz w:val="20"/>
          <w:szCs w:val="20"/>
        </w:rPr>
        <w:t>Отчетные</w:t>
      </w:r>
      <w:r w:rsidR="00B84D52">
        <w:rPr>
          <w:rStyle w:val="230"/>
          <w:b w:val="0"/>
          <w:bCs w:val="0"/>
          <w:color w:val="000000"/>
          <w:sz w:val="20"/>
          <w:szCs w:val="20"/>
          <w:lang w:val="ru-RU"/>
        </w:rPr>
        <w:t xml:space="preserve"> </w:t>
      </w:r>
      <w:r w:rsidRPr="00DB0AC3">
        <w:rPr>
          <w:rStyle w:val="230"/>
          <w:b w:val="0"/>
          <w:bCs w:val="0"/>
          <w:color w:val="000000"/>
          <w:sz w:val="20"/>
          <w:szCs w:val="20"/>
        </w:rPr>
        <w:t>сегментные</w:t>
      </w:r>
      <w:r w:rsidR="00B84D52">
        <w:rPr>
          <w:rStyle w:val="230"/>
          <w:b w:val="0"/>
          <w:bCs w:val="0"/>
          <w:color w:val="000000"/>
          <w:sz w:val="20"/>
          <w:szCs w:val="20"/>
          <w:lang w:val="ru-RU"/>
        </w:rPr>
        <w:t xml:space="preserve"> </w:t>
      </w:r>
      <w:r w:rsidRPr="00DB0AC3">
        <w:rPr>
          <w:rStyle w:val="230"/>
          <w:b w:val="0"/>
          <w:bCs w:val="0"/>
          <w:color w:val="000000"/>
          <w:sz w:val="20"/>
          <w:szCs w:val="20"/>
        </w:rPr>
        <w:t>активы</w:t>
      </w:r>
      <w:r w:rsidR="00B84D52">
        <w:rPr>
          <w:rStyle w:val="230"/>
          <w:b w:val="0"/>
          <w:bCs w:val="0"/>
          <w:color w:val="000000"/>
          <w:sz w:val="20"/>
          <w:szCs w:val="20"/>
          <w:lang w:val="ru-RU"/>
        </w:rPr>
        <w:t xml:space="preserve"> </w:t>
      </w:r>
      <w:r w:rsidRPr="00DB0AC3">
        <w:rPr>
          <w:rStyle w:val="230"/>
          <w:b w:val="0"/>
          <w:bCs w:val="0"/>
          <w:color w:val="000000"/>
          <w:sz w:val="20"/>
          <w:szCs w:val="20"/>
        </w:rPr>
        <w:t>составляют:</w:t>
      </w:r>
    </w:p>
    <w:tbl>
      <w:tblPr>
        <w:tblW w:w="5000" w:type="pct"/>
        <w:tblLook w:val="04A0"/>
      </w:tblPr>
      <w:tblGrid>
        <w:gridCol w:w="4654"/>
        <w:gridCol w:w="2802"/>
        <w:gridCol w:w="2367"/>
      </w:tblGrid>
      <w:tr w:rsidR="00651CD9" w:rsidRPr="00DB0AC3" w:rsidTr="00954046">
        <w:trPr>
          <w:trHeight w:val="300"/>
        </w:trPr>
        <w:tc>
          <w:tcPr>
            <w:tcW w:w="2369" w:type="pct"/>
            <w:tcBorders>
              <w:top w:val="nil"/>
              <w:left w:val="nil"/>
              <w:bottom w:val="nil"/>
              <w:right w:val="nil"/>
            </w:tcBorders>
            <w:shd w:val="clear" w:color="auto" w:fill="auto"/>
            <w:noWrap/>
            <w:vAlign w:val="bottom"/>
            <w:hideMark/>
          </w:tcPr>
          <w:p w:rsidR="00651CD9" w:rsidRPr="00DB0AC3" w:rsidRDefault="00651CD9" w:rsidP="00651CD9">
            <w:pPr>
              <w:rPr>
                <w:rFonts w:cs="Arial"/>
                <w:color w:val="000000"/>
                <w:sz w:val="20"/>
                <w:lang w:val="ru-RU"/>
              </w:rPr>
            </w:pPr>
          </w:p>
        </w:tc>
        <w:tc>
          <w:tcPr>
            <w:tcW w:w="1426" w:type="pct"/>
            <w:tcBorders>
              <w:top w:val="nil"/>
              <w:left w:val="nil"/>
              <w:bottom w:val="single" w:sz="4" w:space="0" w:color="auto"/>
              <w:right w:val="nil"/>
            </w:tcBorders>
            <w:shd w:val="clear" w:color="auto" w:fill="auto"/>
            <w:noWrap/>
            <w:vAlign w:val="bottom"/>
            <w:hideMark/>
          </w:tcPr>
          <w:p w:rsidR="00651CD9" w:rsidRPr="00DB0AC3" w:rsidRDefault="00651CD9" w:rsidP="00651CD9">
            <w:pPr>
              <w:jc w:val="center"/>
              <w:rPr>
                <w:rFonts w:cs="Arial"/>
                <w:b/>
                <w:bCs/>
                <w:color w:val="000000"/>
                <w:sz w:val="20"/>
                <w:lang w:val="ru-RU"/>
              </w:rPr>
            </w:pPr>
            <w:r w:rsidRPr="00DB0AC3">
              <w:rPr>
                <w:rFonts w:cs="Arial"/>
                <w:b/>
                <w:bCs/>
                <w:color w:val="000000"/>
                <w:sz w:val="20"/>
                <w:lang w:val="ru-RU"/>
              </w:rPr>
              <w:t>2 014</w:t>
            </w:r>
          </w:p>
        </w:tc>
        <w:tc>
          <w:tcPr>
            <w:tcW w:w="1205" w:type="pct"/>
            <w:tcBorders>
              <w:top w:val="nil"/>
              <w:left w:val="nil"/>
              <w:bottom w:val="single" w:sz="4" w:space="0" w:color="auto"/>
              <w:right w:val="nil"/>
            </w:tcBorders>
            <w:shd w:val="clear" w:color="auto" w:fill="auto"/>
            <w:noWrap/>
            <w:vAlign w:val="bottom"/>
            <w:hideMark/>
          </w:tcPr>
          <w:p w:rsidR="00651CD9" w:rsidRPr="00DB0AC3" w:rsidRDefault="00651CD9" w:rsidP="00651CD9">
            <w:pPr>
              <w:jc w:val="center"/>
              <w:rPr>
                <w:rFonts w:cs="Arial"/>
                <w:b/>
                <w:bCs/>
                <w:color w:val="000000"/>
                <w:sz w:val="20"/>
                <w:lang w:val="ru-RU"/>
              </w:rPr>
            </w:pPr>
            <w:r w:rsidRPr="00DB0AC3">
              <w:rPr>
                <w:rFonts w:cs="Arial"/>
                <w:b/>
                <w:bCs/>
                <w:color w:val="000000"/>
                <w:sz w:val="20"/>
                <w:lang w:val="ru-RU"/>
              </w:rPr>
              <w:t>2 013</w:t>
            </w:r>
          </w:p>
        </w:tc>
      </w:tr>
      <w:tr w:rsidR="00651CD9" w:rsidRPr="00DB0AC3" w:rsidTr="001763A9">
        <w:trPr>
          <w:trHeight w:val="600"/>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Итого отчетные сегментные активы</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47 069 763</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46 280 244</w:t>
            </w:r>
          </w:p>
        </w:tc>
      </w:tr>
      <w:tr w:rsidR="00651CD9" w:rsidRPr="00DB0AC3" w:rsidTr="001763A9">
        <w:trPr>
          <w:trHeight w:val="600"/>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(а) Отложенный налоговый актив</w:t>
            </w:r>
          </w:p>
        </w:tc>
        <w:tc>
          <w:tcPr>
            <w:tcW w:w="1426" w:type="pct"/>
            <w:tcBorders>
              <w:top w:val="nil"/>
              <w:left w:val="nil"/>
              <w:bottom w:val="nil"/>
              <w:right w:val="nil"/>
            </w:tcBorders>
            <w:shd w:val="clear" w:color="auto" w:fill="auto"/>
            <w:noWrap/>
            <w:vAlign w:val="bottom"/>
            <w:hideMark/>
          </w:tcPr>
          <w:p w:rsidR="00651CD9" w:rsidRPr="00DB0AC3" w:rsidRDefault="00651CD9">
            <w:pPr>
              <w:jc w:val="center"/>
              <w:rPr>
                <w:rFonts w:cs="Arial"/>
                <w:b/>
                <w:bCs/>
                <w:color w:val="000000"/>
                <w:sz w:val="20"/>
                <w:lang w:val="ru-RU"/>
              </w:rPr>
            </w:pPr>
            <w:r w:rsidRPr="00DB0AC3">
              <w:rPr>
                <w:rFonts w:cs="Arial"/>
                <w:color w:val="000000"/>
                <w:sz w:val="20"/>
                <w:lang w:val="ru-RU"/>
              </w:rPr>
              <w:t>-</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35 799</w:t>
            </w:r>
          </w:p>
        </w:tc>
      </w:tr>
      <w:tr w:rsidR="00651CD9" w:rsidRPr="00DB0AC3" w:rsidTr="001763A9">
        <w:trPr>
          <w:trHeight w:val="1096"/>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(b) Основные средства и нематериальные активы</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76 484</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47 119</w:t>
            </w:r>
          </w:p>
        </w:tc>
      </w:tr>
      <w:tr w:rsidR="00651CD9" w:rsidRPr="00DB0AC3" w:rsidTr="001763A9">
        <w:trPr>
          <w:trHeight w:val="900"/>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(с) Резервы по обесценение кредитов</w:t>
            </w:r>
          </w:p>
        </w:tc>
        <w:tc>
          <w:tcPr>
            <w:tcW w:w="1426" w:type="pct"/>
            <w:tcBorders>
              <w:top w:val="nil"/>
              <w:left w:val="nil"/>
              <w:bottom w:val="nil"/>
              <w:right w:val="nil"/>
            </w:tcBorders>
            <w:shd w:val="clear" w:color="auto" w:fill="auto"/>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(34 163 772)</w:t>
            </w:r>
          </w:p>
        </w:tc>
        <w:tc>
          <w:tcPr>
            <w:tcW w:w="1205" w:type="pct"/>
            <w:tcBorders>
              <w:top w:val="nil"/>
              <w:left w:val="nil"/>
              <w:bottom w:val="nil"/>
              <w:right w:val="nil"/>
            </w:tcBorders>
            <w:shd w:val="clear" w:color="auto" w:fill="auto"/>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(63 887)</w:t>
            </w:r>
          </w:p>
        </w:tc>
      </w:tr>
      <w:tr w:rsidR="00651CD9" w:rsidRPr="00DB0AC3" w:rsidTr="001763A9">
        <w:trPr>
          <w:trHeight w:val="900"/>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(d) Балансовая стоимость кредитов клиентам</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224 024</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188 587</w:t>
            </w:r>
          </w:p>
        </w:tc>
      </w:tr>
      <w:tr w:rsidR="00651CD9" w:rsidRPr="00DB0AC3" w:rsidTr="001763A9">
        <w:trPr>
          <w:trHeight w:val="600"/>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(е) Прочие корректировки</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2 382 718</w:t>
            </w:r>
          </w:p>
        </w:tc>
        <w:tc>
          <w:tcPr>
            <w:tcW w:w="1205" w:type="pct"/>
            <w:tcBorders>
              <w:top w:val="nil"/>
              <w:left w:val="nil"/>
              <w:bottom w:val="single" w:sz="4" w:space="0" w:color="auto"/>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20 169</w:t>
            </w:r>
          </w:p>
        </w:tc>
      </w:tr>
      <w:tr w:rsidR="00651CD9" w:rsidRPr="00DB0AC3" w:rsidTr="001763A9">
        <w:trPr>
          <w:trHeight w:val="315"/>
        </w:trPr>
        <w:tc>
          <w:tcPr>
            <w:tcW w:w="2369" w:type="pct"/>
            <w:tcBorders>
              <w:top w:val="nil"/>
              <w:left w:val="nil"/>
              <w:bottom w:val="nil"/>
              <w:right w:val="nil"/>
            </w:tcBorders>
            <w:shd w:val="clear" w:color="auto" w:fill="auto"/>
            <w:vAlign w:val="bottom"/>
            <w:hideMark/>
          </w:tcPr>
          <w:p w:rsidR="00651CD9" w:rsidRPr="00DB0AC3" w:rsidRDefault="00651CD9" w:rsidP="001763A9">
            <w:pPr>
              <w:rPr>
                <w:rFonts w:cs="Arial"/>
                <w:b/>
                <w:bCs/>
                <w:color w:val="000000"/>
                <w:sz w:val="20"/>
                <w:lang w:val="ru-RU"/>
              </w:rPr>
            </w:pPr>
            <w:r w:rsidRPr="00DB0AC3">
              <w:rPr>
                <w:rFonts w:cs="Arial"/>
                <w:b/>
                <w:bCs/>
                <w:color w:val="000000"/>
                <w:sz w:val="20"/>
                <w:lang w:val="ru-RU"/>
              </w:rPr>
              <w:t>Итого активы (МСФО)</w:t>
            </w:r>
          </w:p>
        </w:tc>
        <w:tc>
          <w:tcPr>
            <w:tcW w:w="1426" w:type="pct"/>
            <w:tcBorders>
              <w:top w:val="single" w:sz="4" w:space="0" w:color="auto"/>
              <w:left w:val="nil"/>
              <w:bottom w:val="double" w:sz="6" w:space="0" w:color="auto"/>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15 589 217</w:t>
            </w:r>
          </w:p>
        </w:tc>
        <w:tc>
          <w:tcPr>
            <w:tcW w:w="1205" w:type="pct"/>
            <w:tcBorders>
              <w:top w:val="nil"/>
              <w:left w:val="nil"/>
              <w:bottom w:val="double" w:sz="6" w:space="0" w:color="auto"/>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46 508 031</w:t>
            </w:r>
          </w:p>
        </w:tc>
      </w:tr>
    </w:tbl>
    <w:p w:rsidR="001763A9" w:rsidRDefault="001763A9" w:rsidP="0009607F">
      <w:pPr>
        <w:rPr>
          <w:rStyle w:val="230"/>
          <w:b w:val="0"/>
          <w:bCs w:val="0"/>
          <w:color w:val="000000"/>
          <w:sz w:val="20"/>
          <w:szCs w:val="20"/>
          <w:lang w:val="ru-RU"/>
        </w:rPr>
      </w:pPr>
    </w:p>
    <w:p w:rsidR="00651CD9" w:rsidRPr="00DB0AC3" w:rsidRDefault="00651CD9" w:rsidP="0009607F">
      <w:pPr>
        <w:rPr>
          <w:rStyle w:val="230"/>
          <w:b w:val="0"/>
          <w:bCs w:val="0"/>
          <w:color w:val="000000"/>
          <w:sz w:val="20"/>
          <w:szCs w:val="20"/>
          <w:lang w:val="ru-RU"/>
        </w:rPr>
      </w:pPr>
      <w:r w:rsidRPr="00DB0AC3">
        <w:rPr>
          <w:rStyle w:val="230"/>
          <w:b w:val="0"/>
          <w:bCs w:val="0"/>
          <w:color w:val="000000"/>
          <w:sz w:val="20"/>
          <w:szCs w:val="20"/>
        </w:rPr>
        <w:t>Отчетные</w:t>
      </w:r>
      <w:r w:rsidR="00B84D52">
        <w:rPr>
          <w:rStyle w:val="230"/>
          <w:b w:val="0"/>
          <w:bCs w:val="0"/>
          <w:color w:val="000000"/>
          <w:sz w:val="20"/>
          <w:szCs w:val="20"/>
          <w:lang w:val="ru-RU"/>
        </w:rPr>
        <w:t xml:space="preserve"> </w:t>
      </w:r>
      <w:r w:rsidRPr="00DB0AC3">
        <w:rPr>
          <w:rStyle w:val="230"/>
          <w:b w:val="0"/>
          <w:bCs w:val="0"/>
          <w:color w:val="000000"/>
          <w:sz w:val="20"/>
          <w:szCs w:val="20"/>
        </w:rPr>
        <w:t>сегментные</w:t>
      </w:r>
      <w:r w:rsidR="00B84D52">
        <w:rPr>
          <w:rStyle w:val="230"/>
          <w:b w:val="0"/>
          <w:bCs w:val="0"/>
          <w:color w:val="000000"/>
          <w:sz w:val="20"/>
          <w:szCs w:val="20"/>
          <w:lang w:val="ru-RU"/>
        </w:rPr>
        <w:t xml:space="preserve"> </w:t>
      </w:r>
      <w:r w:rsidRPr="00DB0AC3">
        <w:rPr>
          <w:rStyle w:val="230"/>
          <w:b w:val="0"/>
          <w:bCs w:val="0"/>
          <w:color w:val="000000"/>
          <w:sz w:val="20"/>
          <w:szCs w:val="20"/>
        </w:rPr>
        <w:t>обязательства</w:t>
      </w:r>
      <w:r w:rsidR="00B84D52">
        <w:rPr>
          <w:rStyle w:val="230"/>
          <w:b w:val="0"/>
          <w:bCs w:val="0"/>
          <w:color w:val="000000"/>
          <w:sz w:val="20"/>
          <w:szCs w:val="20"/>
          <w:lang w:val="ru-RU"/>
        </w:rPr>
        <w:t xml:space="preserve"> </w:t>
      </w:r>
      <w:r w:rsidRPr="00DB0AC3">
        <w:rPr>
          <w:rStyle w:val="230"/>
          <w:b w:val="0"/>
          <w:bCs w:val="0"/>
          <w:color w:val="000000"/>
          <w:sz w:val="20"/>
          <w:szCs w:val="20"/>
        </w:rPr>
        <w:t>составляют:</w:t>
      </w:r>
    </w:p>
    <w:tbl>
      <w:tblPr>
        <w:tblW w:w="5000" w:type="pct"/>
        <w:tblLook w:val="04A0"/>
      </w:tblPr>
      <w:tblGrid>
        <w:gridCol w:w="4654"/>
        <w:gridCol w:w="2802"/>
        <w:gridCol w:w="2367"/>
      </w:tblGrid>
      <w:tr w:rsidR="00651CD9" w:rsidRPr="00DB0AC3" w:rsidTr="00954046">
        <w:trPr>
          <w:trHeight w:val="300"/>
        </w:trPr>
        <w:tc>
          <w:tcPr>
            <w:tcW w:w="2369" w:type="pct"/>
            <w:tcBorders>
              <w:top w:val="nil"/>
              <w:left w:val="nil"/>
              <w:bottom w:val="nil"/>
              <w:right w:val="nil"/>
            </w:tcBorders>
            <w:shd w:val="clear" w:color="auto" w:fill="auto"/>
            <w:noWrap/>
            <w:vAlign w:val="bottom"/>
            <w:hideMark/>
          </w:tcPr>
          <w:p w:rsidR="00651CD9" w:rsidRPr="00DB0AC3" w:rsidRDefault="00651CD9" w:rsidP="00651CD9">
            <w:pPr>
              <w:rPr>
                <w:rFonts w:cs="Arial"/>
                <w:color w:val="000000"/>
                <w:sz w:val="20"/>
                <w:lang w:val="ru-RU"/>
              </w:rPr>
            </w:pPr>
          </w:p>
        </w:tc>
        <w:tc>
          <w:tcPr>
            <w:tcW w:w="1426" w:type="pct"/>
            <w:tcBorders>
              <w:top w:val="nil"/>
              <w:left w:val="nil"/>
              <w:bottom w:val="single" w:sz="4" w:space="0" w:color="auto"/>
              <w:right w:val="nil"/>
            </w:tcBorders>
            <w:shd w:val="clear" w:color="auto" w:fill="auto"/>
            <w:noWrap/>
            <w:vAlign w:val="bottom"/>
            <w:hideMark/>
          </w:tcPr>
          <w:p w:rsidR="00651CD9" w:rsidRPr="00DB0AC3" w:rsidRDefault="00651CD9" w:rsidP="00651CD9">
            <w:pPr>
              <w:jc w:val="center"/>
              <w:rPr>
                <w:rFonts w:cs="Arial"/>
                <w:b/>
                <w:bCs/>
                <w:color w:val="000000"/>
                <w:sz w:val="20"/>
                <w:lang w:val="ru-RU"/>
              </w:rPr>
            </w:pPr>
            <w:r w:rsidRPr="00DB0AC3">
              <w:rPr>
                <w:rFonts w:cs="Arial"/>
                <w:b/>
                <w:bCs/>
                <w:color w:val="000000"/>
                <w:sz w:val="20"/>
                <w:lang w:val="ru-RU"/>
              </w:rPr>
              <w:t>2 014</w:t>
            </w:r>
          </w:p>
        </w:tc>
        <w:tc>
          <w:tcPr>
            <w:tcW w:w="1205" w:type="pct"/>
            <w:tcBorders>
              <w:top w:val="nil"/>
              <w:left w:val="nil"/>
              <w:bottom w:val="single" w:sz="4" w:space="0" w:color="auto"/>
              <w:right w:val="nil"/>
            </w:tcBorders>
            <w:shd w:val="clear" w:color="auto" w:fill="auto"/>
            <w:noWrap/>
            <w:vAlign w:val="bottom"/>
            <w:hideMark/>
          </w:tcPr>
          <w:p w:rsidR="00651CD9" w:rsidRPr="00DB0AC3" w:rsidRDefault="00651CD9" w:rsidP="008D05B8">
            <w:pPr>
              <w:jc w:val="center"/>
              <w:rPr>
                <w:rFonts w:cs="Arial"/>
                <w:b/>
                <w:bCs/>
                <w:color w:val="000000"/>
                <w:sz w:val="20"/>
                <w:lang w:val="ru-RU"/>
              </w:rPr>
            </w:pPr>
            <w:r w:rsidRPr="00DB0AC3">
              <w:rPr>
                <w:rFonts w:cs="Arial"/>
                <w:b/>
                <w:bCs/>
                <w:color w:val="000000"/>
                <w:sz w:val="20"/>
                <w:lang w:val="ru-RU"/>
              </w:rPr>
              <w:t>2 013</w:t>
            </w:r>
          </w:p>
        </w:tc>
      </w:tr>
      <w:tr w:rsidR="00651CD9" w:rsidRPr="00DB0AC3" w:rsidTr="002956C0">
        <w:trPr>
          <w:trHeight w:val="900"/>
        </w:trPr>
        <w:tc>
          <w:tcPr>
            <w:tcW w:w="2369" w:type="pct"/>
            <w:tcBorders>
              <w:top w:val="nil"/>
              <w:left w:val="nil"/>
              <w:bottom w:val="nil"/>
              <w:right w:val="nil"/>
            </w:tcBorders>
            <w:shd w:val="clear" w:color="auto" w:fill="auto"/>
            <w:vAlign w:val="bottom"/>
            <w:hideMark/>
          </w:tcPr>
          <w:p w:rsidR="00651CD9" w:rsidRPr="00DB0AC3" w:rsidRDefault="00651CD9" w:rsidP="002956C0">
            <w:pPr>
              <w:rPr>
                <w:rFonts w:cs="Arial"/>
                <w:b/>
                <w:bCs/>
                <w:color w:val="000000"/>
                <w:sz w:val="20"/>
                <w:lang w:val="ru-RU"/>
              </w:rPr>
            </w:pPr>
            <w:r w:rsidRPr="00DB0AC3">
              <w:rPr>
                <w:rFonts w:cs="Arial"/>
                <w:b/>
                <w:bCs/>
                <w:color w:val="000000"/>
                <w:sz w:val="20"/>
                <w:lang w:val="ru-RU"/>
              </w:rPr>
              <w:t>Итого отчетные сегментные обязательства</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42 979 882</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42 431 644</w:t>
            </w:r>
          </w:p>
        </w:tc>
      </w:tr>
      <w:tr w:rsidR="00651CD9" w:rsidRPr="00DB0AC3" w:rsidTr="002956C0">
        <w:trPr>
          <w:trHeight w:val="900"/>
        </w:trPr>
        <w:tc>
          <w:tcPr>
            <w:tcW w:w="2369" w:type="pct"/>
            <w:tcBorders>
              <w:top w:val="nil"/>
              <w:left w:val="nil"/>
              <w:bottom w:val="nil"/>
              <w:right w:val="nil"/>
            </w:tcBorders>
            <w:shd w:val="clear" w:color="auto" w:fill="auto"/>
            <w:vAlign w:val="bottom"/>
            <w:hideMark/>
          </w:tcPr>
          <w:p w:rsidR="00651CD9" w:rsidRPr="00DB0AC3" w:rsidRDefault="00651CD9" w:rsidP="002956C0">
            <w:pPr>
              <w:rPr>
                <w:rFonts w:cs="Arial"/>
                <w:b/>
                <w:bCs/>
                <w:color w:val="000000"/>
                <w:sz w:val="20"/>
                <w:lang w:val="ru-RU"/>
              </w:rPr>
            </w:pPr>
            <w:r w:rsidRPr="00DB0AC3">
              <w:rPr>
                <w:rFonts w:cs="Arial"/>
                <w:b/>
                <w:bCs/>
                <w:color w:val="000000"/>
                <w:sz w:val="20"/>
                <w:lang w:val="ru-RU"/>
              </w:rPr>
              <w:t>(а) Резерв по обязательствам кредитного характера</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46 604</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109271</w:t>
            </w:r>
          </w:p>
        </w:tc>
      </w:tr>
      <w:tr w:rsidR="00651CD9" w:rsidRPr="00DB0AC3" w:rsidTr="002956C0">
        <w:trPr>
          <w:trHeight w:val="793"/>
        </w:trPr>
        <w:tc>
          <w:tcPr>
            <w:tcW w:w="2369" w:type="pct"/>
            <w:tcBorders>
              <w:top w:val="nil"/>
              <w:left w:val="nil"/>
              <w:bottom w:val="nil"/>
              <w:right w:val="nil"/>
            </w:tcBorders>
            <w:shd w:val="clear" w:color="auto" w:fill="auto"/>
            <w:vAlign w:val="bottom"/>
            <w:hideMark/>
          </w:tcPr>
          <w:p w:rsidR="00651CD9" w:rsidRPr="00DB0AC3" w:rsidRDefault="00651CD9" w:rsidP="002956C0">
            <w:pPr>
              <w:rPr>
                <w:rFonts w:cs="Arial"/>
                <w:b/>
                <w:bCs/>
                <w:color w:val="000000"/>
                <w:sz w:val="20"/>
                <w:lang w:val="ru-RU"/>
              </w:rPr>
            </w:pPr>
            <w:r w:rsidRPr="00DB0AC3">
              <w:rPr>
                <w:rFonts w:cs="Arial"/>
                <w:b/>
                <w:bCs/>
                <w:color w:val="000000"/>
                <w:sz w:val="20"/>
                <w:lang w:val="ru-RU"/>
              </w:rPr>
              <w:t>(b) Отложенное налоговое обязательство</w:t>
            </w:r>
          </w:p>
        </w:tc>
        <w:tc>
          <w:tcPr>
            <w:tcW w:w="1426"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w:t>
            </w:r>
          </w:p>
        </w:tc>
        <w:tc>
          <w:tcPr>
            <w:tcW w:w="1205" w:type="pct"/>
            <w:tcBorders>
              <w:top w:val="nil"/>
              <w:left w:val="nil"/>
              <w:bottom w:val="nil"/>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w:t>
            </w:r>
          </w:p>
        </w:tc>
      </w:tr>
      <w:tr w:rsidR="00651CD9" w:rsidRPr="00DB0AC3" w:rsidTr="002956C0">
        <w:trPr>
          <w:trHeight w:val="900"/>
        </w:trPr>
        <w:tc>
          <w:tcPr>
            <w:tcW w:w="2369" w:type="pct"/>
            <w:tcBorders>
              <w:top w:val="nil"/>
              <w:left w:val="nil"/>
              <w:bottom w:val="nil"/>
              <w:right w:val="nil"/>
            </w:tcBorders>
            <w:shd w:val="clear" w:color="auto" w:fill="auto"/>
            <w:vAlign w:val="bottom"/>
            <w:hideMark/>
          </w:tcPr>
          <w:p w:rsidR="00651CD9" w:rsidRPr="00DB0AC3" w:rsidRDefault="00651CD9" w:rsidP="002956C0">
            <w:pPr>
              <w:rPr>
                <w:rFonts w:cs="Arial"/>
                <w:b/>
                <w:bCs/>
                <w:color w:val="000000"/>
                <w:sz w:val="20"/>
                <w:lang w:val="ru-RU"/>
              </w:rPr>
            </w:pPr>
            <w:r w:rsidRPr="00DB0AC3">
              <w:rPr>
                <w:rFonts w:cs="Arial"/>
                <w:b/>
                <w:bCs/>
                <w:color w:val="000000"/>
                <w:sz w:val="20"/>
                <w:lang w:val="ru-RU"/>
              </w:rPr>
              <w:lastRenderedPageBreak/>
              <w:t>(с) Резервы по неиспользованным отпускам</w:t>
            </w:r>
          </w:p>
        </w:tc>
        <w:tc>
          <w:tcPr>
            <w:tcW w:w="1426" w:type="pct"/>
            <w:tcBorders>
              <w:top w:val="nil"/>
              <w:left w:val="nil"/>
              <w:bottom w:val="nil"/>
              <w:right w:val="nil"/>
            </w:tcBorders>
            <w:shd w:val="clear" w:color="auto" w:fill="auto"/>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23 019</w:t>
            </w:r>
          </w:p>
        </w:tc>
        <w:tc>
          <w:tcPr>
            <w:tcW w:w="1205" w:type="pct"/>
            <w:tcBorders>
              <w:top w:val="nil"/>
              <w:left w:val="nil"/>
              <w:bottom w:val="nil"/>
              <w:right w:val="nil"/>
            </w:tcBorders>
            <w:shd w:val="clear" w:color="auto" w:fill="auto"/>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(19 002)</w:t>
            </w:r>
          </w:p>
        </w:tc>
      </w:tr>
      <w:tr w:rsidR="00651CD9" w:rsidRPr="00DB0AC3" w:rsidTr="002956C0">
        <w:trPr>
          <w:trHeight w:val="600"/>
        </w:trPr>
        <w:tc>
          <w:tcPr>
            <w:tcW w:w="2369" w:type="pct"/>
            <w:tcBorders>
              <w:top w:val="nil"/>
              <w:left w:val="nil"/>
              <w:bottom w:val="nil"/>
              <w:right w:val="nil"/>
            </w:tcBorders>
            <w:shd w:val="clear" w:color="auto" w:fill="auto"/>
            <w:vAlign w:val="bottom"/>
            <w:hideMark/>
          </w:tcPr>
          <w:p w:rsidR="00651CD9" w:rsidRPr="00DB0AC3" w:rsidRDefault="00651CD9" w:rsidP="002956C0">
            <w:pPr>
              <w:rPr>
                <w:rFonts w:cs="Arial"/>
                <w:b/>
                <w:bCs/>
                <w:color w:val="000000"/>
                <w:sz w:val="20"/>
                <w:lang w:val="ru-RU"/>
              </w:rPr>
            </w:pPr>
            <w:r w:rsidRPr="00DB0AC3">
              <w:rPr>
                <w:rFonts w:cs="Arial"/>
                <w:b/>
                <w:bCs/>
                <w:color w:val="000000"/>
                <w:sz w:val="20"/>
                <w:lang w:val="ru-RU"/>
              </w:rPr>
              <w:t>(d)Прочие корректировки</w:t>
            </w:r>
          </w:p>
        </w:tc>
        <w:tc>
          <w:tcPr>
            <w:tcW w:w="1426" w:type="pct"/>
            <w:tcBorders>
              <w:top w:val="nil"/>
              <w:left w:val="nil"/>
              <w:bottom w:val="nil"/>
              <w:right w:val="nil"/>
            </w:tcBorders>
            <w:shd w:val="clear" w:color="auto" w:fill="auto"/>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(35 859)</w:t>
            </w:r>
          </w:p>
        </w:tc>
        <w:tc>
          <w:tcPr>
            <w:tcW w:w="1205" w:type="pct"/>
            <w:tcBorders>
              <w:top w:val="nil"/>
              <w:left w:val="nil"/>
              <w:bottom w:val="nil"/>
              <w:right w:val="nil"/>
            </w:tcBorders>
            <w:shd w:val="clear" w:color="auto" w:fill="auto"/>
            <w:vAlign w:val="bottom"/>
            <w:hideMark/>
          </w:tcPr>
          <w:p w:rsidR="00651CD9" w:rsidRPr="00DB0AC3" w:rsidRDefault="00651CD9" w:rsidP="00954046">
            <w:pPr>
              <w:jc w:val="center"/>
              <w:rPr>
                <w:rFonts w:cs="Arial"/>
                <w:b/>
                <w:bCs/>
                <w:color w:val="000000"/>
                <w:sz w:val="20"/>
                <w:lang w:val="ru-RU"/>
              </w:rPr>
            </w:pPr>
            <w:r w:rsidRPr="00DB0AC3">
              <w:rPr>
                <w:rFonts w:cs="Arial"/>
                <w:color w:val="000000"/>
                <w:sz w:val="20"/>
                <w:lang w:val="ru-RU"/>
              </w:rPr>
              <w:t>(79 198)</w:t>
            </w:r>
          </w:p>
        </w:tc>
      </w:tr>
      <w:tr w:rsidR="00651CD9" w:rsidRPr="00DB0AC3" w:rsidTr="002956C0">
        <w:trPr>
          <w:trHeight w:val="615"/>
        </w:trPr>
        <w:tc>
          <w:tcPr>
            <w:tcW w:w="2369" w:type="pct"/>
            <w:tcBorders>
              <w:top w:val="nil"/>
              <w:left w:val="nil"/>
              <w:bottom w:val="nil"/>
              <w:right w:val="nil"/>
            </w:tcBorders>
            <w:shd w:val="clear" w:color="auto" w:fill="auto"/>
            <w:vAlign w:val="bottom"/>
            <w:hideMark/>
          </w:tcPr>
          <w:p w:rsidR="00651CD9" w:rsidRPr="00DB0AC3" w:rsidRDefault="00651CD9" w:rsidP="002956C0">
            <w:pPr>
              <w:rPr>
                <w:rFonts w:cs="Arial"/>
                <w:b/>
                <w:bCs/>
                <w:color w:val="000000"/>
                <w:sz w:val="20"/>
                <w:lang w:val="ru-RU"/>
              </w:rPr>
            </w:pPr>
            <w:r w:rsidRPr="00DB0AC3">
              <w:rPr>
                <w:rFonts w:cs="Arial"/>
                <w:b/>
                <w:bCs/>
                <w:color w:val="000000"/>
                <w:sz w:val="20"/>
                <w:lang w:val="ru-RU"/>
              </w:rPr>
              <w:t>Итого обязательства (МСФО)</w:t>
            </w:r>
          </w:p>
        </w:tc>
        <w:tc>
          <w:tcPr>
            <w:tcW w:w="1426" w:type="pct"/>
            <w:tcBorders>
              <w:top w:val="single" w:sz="4" w:space="0" w:color="auto"/>
              <w:left w:val="nil"/>
              <w:bottom w:val="double" w:sz="6" w:space="0" w:color="auto"/>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43 013 646</w:t>
            </w:r>
          </w:p>
        </w:tc>
        <w:tc>
          <w:tcPr>
            <w:tcW w:w="1205" w:type="pct"/>
            <w:tcBorders>
              <w:top w:val="single" w:sz="4" w:space="0" w:color="auto"/>
              <w:left w:val="nil"/>
              <w:bottom w:val="double" w:sz="6" w:space="0" w:color="auto"/>
              <w:right w:val="nil"/>
            </w:tcBorders>
            <w:shd w:val="clear" w:color="auto" w:fill="auto"/>
            <w:noWrap/>
            <w:vAlign w:val="bottom"/>
            <w:hideMark/>
          </w:tcPr>
          <w:p w:rsidR="00651CD9" w:rsidRPr="00DB0AC3" w:rsidRDefault="00651CD9" w:rsidP="00954046">
            <w:pPr>
              <w:jc w:val="center"/>
              <w:rPr>
                <w:rFonts w:cs="Arial"/>
                <w:b/>
                <w:bCs/>
                <w:color w:val="000000"/>
                <w:sz w:val="20"/>
                <w:lang w:val="ru-RU"/>
              </w:rPr>
            </w:pPr>
            <w:r w:rsidRPr="00DB0AC3">
              <w:rPr>
                <w:rFonts w:cs="Arial"/>
                <w:b/>
                <w:bCs/>
                <w:color w:val="000000"/>
                <w:sz w:val="20"/>
                <w:lang w:val="ru-RU"/>
              </w:rPr>
              <w:t>42 442 715</w:t>
            </w:r>
          </w:p>
        </w:tc>
      </w:tr>
    </w:tbl>
    <w:p w:rsidR="00651CD9" w:rsidRPr="00DB0AC3" w:rsidRDefault="00651CD9" w:rsidP="0009607F">
      <w:pPr>
        <w:rPr>
          <w:rFonts w:cs="Arial"/>
          <w:sz w:val="20"/>
          <w:lang w:val="ru-RU"/>
        </w:rPr>
      </w:pPr>
    </w:p>
    <w:p w:rsidR="005C1ECD" w:rsidRPr="00DB0AC3" w:rsidRDefault="00D56E35" w:rsidP="008D05B8">
      <w:pPr>
        <w:pStyle w:val="210"/>
        <w:shd w:val="clear" w:color="auto" w:fill="auto"/>
        <w:spacing w:line="180" w:lineRule="exact"/>
        <w:ind w:firstLine="0"/>
        <w:rPr>
          <w:rStyle w:val="25"/>
          <w:b/>
          <w:bCs/>
          <w:color w:val="000000"/>
          <w:sz w:val="20"/>
          <w:szCs w:val="20"/>
        </w:rPr>
        <w:sectPr w:rsidR="005C1ECD" w:rsidRPr="00DB0AC3" w:rsidSect="00DD4550">
          <w:headerReference w:type="even" r:id="rId22"/>
          <w:headerReference w:type="default" r:id="rId23"/>
          <w:footerReference w:type="even" r:id="rId24"/>
          <w:footerReference w:type="default" r:id="rId25"/>
          <w:headerReference w:type="first" r:id="rId26"/>
          <w:footerReference w:type="first" r:id="rId27"/>
          <w:pgSz w:w="11909" w:h="16840"/>
          <w:pgMar w:top="851" w:right="862" w:bottom="1334" w:left="1440" w:header="426" w:footer="510" w:gutter="0"/>
          <w:cols w:space="720"/>
          <w:noEndnote/>
          <w:titlePg/>
          <w:docGrid w:linePitch="360"/>
        </w:sectPr>
      </w:pPr>
      <w:r w:rsidRPr="00DB0AC3">
        <w:rPr>
          <w:rStyle w:val="25"/>
          <w:b/>
          <w:bCs/>
          <w:color w:val="000000"/>
          <w:sz w:val="20"/>
          <w:szCs w:val="20"/>
        </w:rPr>
        <w:br w:type="page"/>
      </w:r>
    </w:p>
    <w:p w:rsidR="00D56E35" w:rsidRPr="00DB0AC3" w:rsidRDefault="00D56E35" w:rsidP="008D05B8">
      <w:pPr>
        <w:pStyle w:val="210"/>
        <w:shd w:val="clear" w:color="auto" w:fill="auto"/>
        <w:spacing w:line="180" w:lineRule="exact"/>
        <w:ind w:firstLine="0"/>
        <w:rPr>
          <w:rStyle w:val="25"/>
          <w:b/>
          <w:bCs/>
          <w:color w:val="000000"/>
          <w:sz w:val="20"/>
          <w:szCs w:val="20"/>
        </w:rPr>
      </w:pPr>
    </w:p>
    <w:p w:rsidR="00A57BC0" w:rsidRPr="00DB0AC3" w:rsidRDefault="00A57BC0" w:rsidP="008D05B8">
      <w:pPr>
        <w:pStyle w:val="210"/>
        <w:shd w:val="clear" w:color="auto" w:fill="auto"/>
        <w:spacing w:line="180" w:lineRule="exact"/>
        <w:ind w:firstLine="0"/>
        <w:rPr>
          <w:rStyle w:val="25"/>
          <w:b/>
          <w:bCs/>
          <w:color w:val="000000"/>
          <w:sz w:val="20"/>
          <w:szCs w:val="20"/>
          <w:lang w:val="en-US"/>
        </w:rPr>
      </w:pPr>
    </w:p>
    <w:p w:rsidR="008D05B8" w:rsidRPr="002956C0" w:rsidRDefault="008D05B8" w:rsidP="008D05B8">
      <w:pPr>
        <w:pStyle w:val="210"/>
        <w:shd w:val="clear" w:color="auto" w:fill="auto"/>
        <w:spacing w:line="180" w:lineRule="exact"/>
        <w:ind w:firstLine="0"/>
        <w:rPr>
          <w:sz w:val="20"/>
          <w:szCs w:val="20"/>
        </w:rPr>
      </w:pPr>
      <w:r w:rsidRPr="002956C0">
        <w:rPr>
          <w:rStyle w:val="25"/>
          <w:bCs/>
          <w:color w:val="000000"/>
          <w:sz w:val="20"/>
          <w:szCs w:val="20"/>
        </w:rPr>
        <w:t>Сверка прочих существенных позиций доходов или расходов за год, закончившийся 31 декабря 2014 года:</w:t>
      </w:r>
    </w:p>
    <w:tbl>
      <w:tblPr>
        <w:tblW w:w="5270" w:type="pct"/>
        <w:tblLayout w:type="fixed"/>
        <w:tblLook w:val="04A0"/>
      </w:tblPr>
      <w:tblGrid>
        <w:gridCol w:w="2236"/>
        <w:gridCol w:w="1425"/>
        <w:gridCol w:w="1166"/>
        <w:gridCol w:w="1666"/>
        <w:gridCol w:w="1166"/>
        <w:gridCol w:w="1118"/>
        <w:gridCol w:w="331"/>
        <w:gridCol w:w="1241"/>
        <w:gridCol w:w="1880"/>
        <w:gridCol w:w="1133"/>
        <w:gridCol w:w="1702"/>
      </w:tblGrid>
      <w:tr w:rsidR="002956C0" w:rsidRPr="00DB0AC3" w:rsidTr="002956C0">
        <w:trPr>
          <w:trHeight w:val="1200"/>
        </w:trPr>
        <w:tc>
          <w:tcPr>
            <w:tcW w:w="742" w:type="pct"/>
            <w:tcBorders>
              <w:top w:val="nil"/>
              <w:left w:val="nil"/>
              <w:bottom w:val="nil"/>
              <w:right w:val="nil"/>
            </w:tcBorders>
            <w:shd w:val="clear" w:color="auto" w:fill="auto"/>
            <w:noWrap/>
            <w:vAlign w:val="bottom"/>
            <w:hideMark/>
          </w:tcPr>
          <w:p w:rsidR="008D05B8" w:rsidRPr="002956C0" w:rsidRDefault="008D05B8" w:rsidP="008D05B8">
            <w:pPr>
              <w:rPr>
                <w:rFonts w:cs="Arial"/>
                <w:color w:val="000000"/>
                <w:szCs w:val="18"/>
                <w:lang w:val="ru-RU"/>
              </w:rPr>
            </w:pPr>
          </w:p>
        </w:tc>
        <w:tc>
          <w:tcPr>
            <w:tcW w:w="473"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Итого по отчетным сегментам</w:t>
            </w:r>
          </w:p>
        </w:tc>
        <w:tc>
          <w:tcPr>
            <w:tcW w:w="387"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Резерв по кредитам клиентам</w:t>
            </w:r>
          </w:p>
        </w:tc>
        <w:tc>
          <w:tcPr>
            <w:tcW w:w="553"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Корректировка стоимости финансовых активов</w:t>
            </w:r>
          </w:p>
        </w:tc>
        <w:tc>
          <w:tcPr>
            <w:tcW w:w="387"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Резерв по прочим активам</w:t>
            </w:r>
          </w:p>
        </w:tc>
        <w:tc>
          <w:tcPr>
            <w:tcW w:w="481" w:type="pct"/>
            <w:gridSpan w:val="2"/>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Резерв по неисполь-зованным отпускам</w:t>
            </w:r>
          </w:p>
        </w:tc>
        <w:tc>
          <w:tcPr>
            <w:tcW w:w="412"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Износ</w:t>
            </w:r>
          </w:p>
        </w:tc>
        <w:tc>
          <w:tcPr>
            <w:tcW w:w="624"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Корректировка балансовой стоимости кредитов</w:t>
            </w:r>
          </w:p>
        </w:tc>
        <w:tc>
          <w:tcPr>
            <w:tcW w:w="376" w:type="pct"/>
            <w:tcBorders>
              <w:top w:val="nil"/>
              <w:left w:val="nil"/>
              <w:bottom w:val="single" w:sz="4" w:space="0" w:color="auto"/>
              <w:right w:val="nil"/>
            </w:tcBorders>
            <w:shd w:val="clear" w:color="auto" w:fill="auto"/>
            <w:vAlign w:val="bottom"/>
            <w:hideMark/>
          </w:tcPr>
          <w:p w:rsidR="00B454C2" w:rsidRPr="002956C0" w:rsidRDefault="008D05B8">
            <w:pPr>
              <w:jc w:val="right"/>
              <w:rPr>
                <w:rFonts w:cs="Arial"/>
                <w:b/>
                <w:bCs/>
                <w:smallCaps/>
                <w:color w:val="000000"/>
                <w:szCs w:val="18"/>
                <w:lang w:val="ru-RU"/>
              </w:rPr>
            </w:pPr>
            <w:r w:rsidRPr="002956C0">
              <w:rPr>
                <w:rFonts w:cs="Arial"/>
                <w:b/>
                <w:bCs/>
                <w:color w:val="000000"/>
                <w:szCs w:val="18"/>
                <w:lang w:val="ru-RU"/>
              </w:rPr>
              <w:t>Прочие</w:t>
            </w:r>
          </w:p>
        </w:tc>
        <w:tc>
          <w:tcPr>
            <w:tcW w:w="565" w:type="pct"/>
            <w:tcBorders>
              <w:top w:val="nil"/>
              <w:left w:val="nil"/>
              <w:bottom w:val="single" w:sz="4" w:space="0" w:color="auto"/>
              <w:right w:val="nil"/>
            </w:tcBorders>
            <w:shd w:val="clear" w:color="auto" w:fill="auto"/>
            <w:vAlign w:val="bottom"/>
            <w:hideMark/>
          </w:tcPr>
          <w:p w:rsidR="008D05B8" w:rsidRPr="002956C0" w:rsidRDefault="008D05B8" w:rsidP="008D05B8">
            <w:pPr>
              <w:jc w:val="center"/>
              <w:rPr>
                <w:rFonts w:cs="Arial"/>
                <w:b/>
                <w:bCs/>
                <w:color w:val="000000"/>
                <w:szCs w:val="18"/>
                <w:lang w:val="ru-RU"/>
              </w:rPr>
            </w:pPr>
            <w:r w:rsidRPr="002956C0">
              <w:rPr>
                <w:rFonts w:cs="Arial"/>
                <w:b/>
                <w:bCs/>
                <w:color w:val="000000"/>
                <w:szCs w:val="18"/>
                <w:lang w:val="ru-RU"/>
              </w:rPr>
              <w:t>По МСФО</w:t>
            </w:r>
          </w:p>
        </w:tc>
      </w:tr>
      <w:tr w:rsidR="002956C0" w:rsidRPr="0046554E" w:rsidTr="002956C0">
        <w:trPr>
          <w:trHeight w:val="12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Существенные доходы или расходы за год, закончившийся 31 декабря 2014</w:t>
            </w:r>
          </w:p>
        </w:tc>
        <w:tc>
          <w:tcPr>
            <w:tcW w:w="473" w:type="pct"/>
            <w:tcBorders>
              <w:top w:val="single" w:sz="4" w:space="0" w:color="auto"/>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p>
        </w:tc>
        <w:tc>
          <w:tcPr>
            <w:tcW w:w="387" w:type="pct"/>
            <w:tcBorders>
              <w:top w:val="single" w:sz="4" w:space="0" w:color="auto"/>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p>
        </w:tc>
        <w:tc>
          <w:tcPr>
            <w:tcW w:w="553" w:type="pct"/>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387" w:type="pct"/>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371" w:type="pct"/>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522" w:type="pct"/>
            <w:gridSpan w:val="2"/>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624" w:type="pct"/>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376" w:type="pct"/>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565" w:type="pct"/>
            <w:tcBorders>
              <w:top w:val="single" w:sz="4" w:space="0" w:color="auto"/>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r>
      <w:tr w:rsidR="002956C0" w:rsidRPr="00DB0AC3" w:rsidTr="002956C0">
        <w:trPr>
          <w:trHeight w:val="3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 xml:space="preserve">Внешние доходы: </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p>
        </w:tc>
        <w:tc>
          <w:tcPr>
            <w:tcW w:w="387"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p>
        </w:tc>
        <w:tc>
          <w:tcPr>
            <w:tcW w:w="553"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387"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371"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522" w:type="pct"/>
            <w:gridSpan w:val="2"/>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624"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376"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c>
          <w:tcPr>
            <w:tcW w:w="565"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color w:val="000000"/>
                <w:szCs w:val="18"/>
                <w:lang w:val="ru-RU"/>
              </w:rPr>
            </w:pPr>
          </w:p>
        </w:tc>
      </w:tr>
      <w:tr w:rsidR="002956C0" w:rsidRPr="00DB0AC3" w:rsidTr="002956C0">
        <w:trPr>
          <w:trHeight w:val="3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Процентные доходы</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4 777 653</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110 269</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224 024</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(189 771)</w:t>
            </w:r>
          </w:p>
        </w:tc>
        <w:tc>
          <w:tcPr>
            <w:tcW w:w="565"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4 922 175</w:t>
            </w:r>
          </w:p>
        </w:tc>
      </w:tr>
      <w:tr w:rsidR="002956C0" w:rsidRPr="00DB0AC3" w:rsidTr="002956C0">
        <w:trPr>
          <w:trHeight w:val="6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Комиссионные доходы</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427 453</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4 243</w:t>
            </w:r>
          </w:p>
        </w:tc>
        <w:tc>
          <w:tcPr>
            <w:tcW w:w="565"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431 696</w:t>
            </w:r>
          </w:p>
        </w:tc>
      </w:tr>
      <w:tr w:rsidR="002956C0" w:rsidRPr="00DB0AC3" w:rsidTr="002956C0">
        <w:trPr>
          <w:trHeight w:val="9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Прочие операционные доходы</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38 135</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111 902</w:t>
            </w:r>
          </w:p>
        </w:tc>
        <w:tc>
          <w:tcPr>
            <w:tcW w:w="565"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150 037</w:t>
            </w:r>
          </w:p>
        </w:tc>
      </w:tr>
      <w:tr w:rsidR="002956C0" w:rsidRPr="00DB0AC3" w:rsidTr="002956C0">
        <w:trPr>
          <w:trHeight w:val="3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Процентные расходы</w:t>
            </w:r>
          </w:p>
        </w:tc>
        <w:tc>
          <w:tcPr>
            <w:tcW w:w="47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(3 481 076)</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20 299</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(3 460 777)</w:t>
            </w:r>
          </w:p>
        </w:tc>
      </w:tr>
      <w:tr w:rsidR="002956C0" w:rsidRPr="00DB0AC3" w:rsidTr="002956C0">
        <w:trPr>
          <w:trHeight w:val="6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Движение резерва на обесценение</w:t>
            </w:r>
          </w:p>
        </w:tc>
        <w:tc>
          <w:tcPr>
            <w:tcW w:w="47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(641 902)</w:t>
            </w:r>
          </w:p>
        </w:tc>
        <w:tc>
          <w:tcPr>
            <w:tcW w:w="387"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(31 707 781)</w:t>
            </w:r>
          </w:p>
        </w:tc>
        <w:tc>
          <w:tcPr>
            <w:tcW w:w="55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(4 494)</w:t>
            </w:r>
          </w:p>
        </w:tc>
        <w:tc>
          <w:tcPr>
            <w:tcW w:w="387"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(57 307)</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(32 411 484)</w:t>
            </w:r>
          </w:p>
        </w:tc>
      </w:tr>
      <w:tr w:rsidR="002956C0" w:rsidRPr="00DB0AC3" w:rsidTr="002956C0">
        <w:trPr>
          <w:trHeight w:val="3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Амортизация</w:t>
            </w:r>
          </w:p>
        </w:tc>
        <w:tc>
          <w:tcPr>
            <w:tcW w:w="47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(70 374)</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 xml:space="preserve">        16 387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(53 987)</w:t>
            </w:r>
          </w:p>
        </w:tc>
      </w:tr>
      <w:tr w:rsidR="002956C0" w:rsidRPr="00DB0AC3" w:rsidTr="002956C0">
        <w:trPr>
          <w:trHeight w:val="6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Комиссионные расходы</w:t>
            </w:r>
          </w:p>
        </w:tc>
        <w:tc>
          <w:tcPr>
            <w:tcW w:w="47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(57 755)</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(57 755)</w:t>
            </w:r>
          </w:p>
        </w:tc>
      </w:tr>
      <w:tr w:rsidR="002956C0" w:rsidRPr="00DB0AC3" w:rsidTr="002956C0">
        <w:trPr>
          <w:trHeight w:val="9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Чистая прибыль по операциям с ценными бумагами</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75 664</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57 565</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133 229</w:t>
            </w:r>
          </w:p>
        </w:tc>
      </w:tr>
      <w:tr w:rsidR="002956C0" w:rsidRPr="00DB0AC3" w:rsidTr="002956C0">
        <w:trPr>
          <w:trHeight w:val="9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Чистый доход от валютно-обменных операций</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46 166</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8 500</w:t>
            </w:r>
          </w:p>
        </w:tc>
        <w:tc>
          <w:tcPr>
            <w:tcW w:w="565"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54 666</w:t>
            </w:r>
          </w:p>
        </w:tc>
      </w:tr>
      <w:tr w:rsidR="002956C0" w:rsidRPr="00DB0AC3" w:rsidTr="002956C0">
        <w:trPr>
          <w:trHeight w:val="6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Чистый убыток от курсовой разницы</w:t>
            </w:r>
          </w:p>
        </w:tc>
        <w:tc>
          <w:tcPr>
            <w:tcW w:w="473"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63 974</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B454C2" w:rsidP="002956C0">
            <w:pPr>
              <w:jc w:val="right"/>
              <w:rPr>
                <w:rFonts w:cs="Arial"/>
                <w:b/>
                <w:i/>
                <w:color w:val="000000"/>
                <w:szCs w:val="18"/>
                <w:lang w:val="ru-RU"/>
              </w:rPr>
            </w:pPr>
          </w:p>
        </w:tc>
        <w:tc>
          <w:tcPr>
            <w:tcW w:w="565" w:type="pct"/>
            <w:tcBorders>
              <w:top w:val="nil"/>
              <w:left w:val="nil"/>
              <w:bottom w:val="nil"/>
              <w:right w:val="nil"/>
            </w:tcBorders>
            <w:shd w:val="clear" w:color="auto" w:fill="auto"/>
            <w:noWrap/>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63 974</w:t>
            </w:r>
          </w:p>
        </w:tc>
      </w:tr>
      <w:tr w:rsidR="002956C0" w:rsidRPr="00DB0AC3" w:rsidTr="002956C0">
        <w:trPr>
          <w:trHeight w:val="6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lastRenderedPageBreak/>
              <w:t>Чистый убыток от выбытия активов</w:t>
            </w:r>
          </w:p>
        </w:tc>
        <w:tc>
          <w:tcPr>
            <w:tcW w:w="47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(2 024)</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(100 842)</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(102 866)</w:t>
            </w:r>
          </w:p>
        </w:tc>
      </w:tr>
      <w:tr w:rsidR="002956C0" w:rsidRPr="00DB0AC3" w:rsidTr="002956C0">
        <w:trPr>
          <w:trHeight w:val="600"/>
        </w:trPr>
        <w:tc>
          <w:tcPr>
            <w:tcW w:w="742" w:type="pct"/>
            <w:tcBorders>
              <w:top w:val="nil"/>
              <w:left w:val="nil"/>
              <w:bottom w:val="nil"/>
              <w:right w:val="nil"/>
            </w:tcBorders>
            <w:shd w:val="clear" w:color="auto" w:fill="auto"/>
            <w:vAlign w:val="bottom"/>
            <w:hideMark/>
          </w:tcPr>
          <w:p w:rsidR="008D05B8" w:rsidRPr="002956C0" w:rsidRDefault="008D05B8" w:rsidP="002956C0">
            <w:pPr>
              <w:rPr>
                <w:rFonts w:cs="Arial"/>
                <w:b/>
                <w:bCs/>
                <w:color w:val="000000"/>
                <w:szCs w:val="18"/>
                <w:lang w:val="ru-RU"/>
              </w:rPr>
            </w:pPr>
            <w:r w:rsidRPr="002956C0">
              <w:rPr>
                <w:rFonts w:cs="Arial"/>
                <w:b/>
                <w:bCs/>
                <w:color w:val="000000"/>
                <w:szCs w:val="18"/>
                <w:lang w:val="ru-RU"/>
              </w:rPr>
              <w:t>Административные и прочие расходы</w:t>
            </w:r>
          </w:p>
        </w:tc>
        <w:tc>
          <w:tcPr>
            <w:tcW w:w="473"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(666 391)</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553"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87"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1" w:type="pct"/>
            <w:tcBorders>
              <w:top w:val="nil"/>
              <w:left w:val="nil"/>
              <w:bottom w:val="nil"/>
              <w:right w:val="nil"/>
            </w:tcBorders>
            <w:shd w:val="clear" w:color="auto" w:fill="auto"/>
            <w:vAlign w:val="bottom"/>
            <w:hideMark/>
          </w:tcPr>
          <w:p w:rsidR="008D05B8" w:rsidRPr="002956C0" w:rsidRDefault="008D05B8" w:rsidP="002956C0">
            <w:pPr>
              <w:jc w:val="right"/>
              <w:rPr>
                <w:rFonts w:cs="Arial"/>
                <w:color w:val="000000"/>
                <w:szCs w:val="18"/>
                <w:lang w:val="ru-RU"/>
              </w:rPr>
            </w:pPr>
            <w:r w:rsidRPr="002956C0">
              <w:rPr>
                <w:rFonts w:cs="Arial"/>
                <w:color w:val="000000"/>
                <w:szCs w:val="18"/>
                <w:lang w:val="ru-RU"/>
              </w:rPr>
              <w:t>(23 019)</w:t>
            </w:r>
          </w:p>
        </w:tc>
        <w:tc>
          <w:tcPr>
            <w:tcW w:w="522" w:type="pct"/>
            <w:gridSpan w:val="2"/>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624"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 xml:space="preserve">                        -     </w:t>
            </w:r>
          </w:p>
        </w:tc>
        <w:tc>
          <w:tcPr>
            <w:tcW w:w="376" w:type="pct"/>
            <w:tcBorders>
              <w:top w:val="nil"/>
              <w:left w:val="nil"/>
              <w:bottom w:val="nil"/>
              <w:right w:val="nil"/>
            </w:tcBorders>
            <w:shd w:val="clear" w:color="auto" w:fill="auto"/>
            <w:noWrap/>
            <w:vAlign w:val="bottom"/>
            <w:hideMark/>
          </w:tcPr>
          <w:p w:rsidR="00B454C2" w:rsidRPr="002956C0" w:rsidRDefault="008D05B8" w:rsidP="002956C0">
            <w:pPr>
              <w:jc w:val="right"/>
              <w:rPr>
                <w:rFonts w:cs="Arial"/>
                <w:color w:val="000000"/>
                <w:szCs w:val="18"/>
                <w:lang w:val="ru-RU"/>
              </w:rPr>
            </w:pPr>
            <w:r w:rsidRPr="002956C0">
              <w:rPr>
                <w:rFonts w:cs="Arial"/>
                <w:color w:val="000000"/>
                <w:szCs w:val="18"/>
                <w:lang w:val="ru-RU"/>
              </w:rPr>
              <w:t>(114 093)</w:t>
            </w:r>
          </w:p>
        </w:tc>
        <w:tc>
          <w:tcPr>
            <w:tcW w:w="565" w:type="pct"/>
            <w:tcBorders>
              <w:top w:val="nil"/>
              <w:left w:val="nil"/>
              <w:bottom w:val="nil"/>
              <w:right w:val="nil"/>
            </w:tcBorders>
            <w:shd w:val="clear" w:color="auto" w:fill="auto"/>
            <w:vAlign w:val="bottom"/>
            <w:hideMark/>
          </w:tcPr>
          <w:p w:rsidR="008D05B8" w:rsidRPr="002956C0" w:rsidRDefault="008D05B8" w:rsidP="002956C0">
            <w:pPr>
              <w:jc w:val="right"/>
              <w:rPr>
                <w:rFonts w:cs="Arial"/>
                <w:b/>
                <w:bCs/>
                <w:color w:val="000000"/>
                <w:szCs w:val="18"/>
                <w:lang w:val="ru-RU"/>
              </w:rPr>
            </w:pPr>
            <w:r w:rsidRPr="002956C0">
              <w:rPr>
                <w:rFonts w:cs="Arial"/>
                <w:b/>
                <w:bCs/>
                <w:color w:val="000000"/>
                <w:szCs w:val="18"/>
                <w:lang w:val="ru-RU"/>
              </w:rPr>
              <w:t>(803 503)</w:t>
            </w:r>
          </w:p>
        </w:tc>
      </w:tr>
    </w:tbl>
    <w:p w:rsidR="00A57BC0" w:rsidRPr="00DB0AC3" w:rsidRDefault="00A57BC0" w:rsidP="0009607F">
      <w:pPr>
        <w:rPr>
          <w:rStyle w:val="25"/>
          <w:b w:val="0"/>
          <w:bCs w:val="0"/>
          <w:color w:val="000000"/>
          <w:sz w:val="20"/>
          <w:szCs w:val="20"/>
          <w:lang w:val="en-US"/>
        </w:rPr>
      </w:pPr>
    </w:p>
    <w:p w:rsidR="00A57BC0" w:rsidRPr="00DB0AC3" w:rsidRDefault="00A57BC0" w:rsidP="0009607F">
      <w:pPr>
        <w:rPr>
          <w:rStyle w:val="25"/>
          <w:b w:val="0"/>
          <w:bCs w:val="0"/>
          <w:color w:val="000000"/>
          <w:sz w:val="20"/>
          <w:szCs w:val="20"/>
          <w:lang w:val="en-US"/>
        </w:rPr>
      </w:pPr>
    </w:p>
    <w:p w:rsidR="008D05B8" w:rsidRPr="00DB0AC3" w:rsidRDefault="00A40A73" w:rsidP="0009607F">
      <w:pPr>
        <w:rPr>
          <w:rStyle w:val="25"/>
          <w:b w:val="0"/>
          <w:bCs w:val="0"/>
          <w:color w:val="000000"/>
          <w:sz w:val="20"/>
          <w:szCs w:val="20"/>
          <w:lang w:val="ru-RU"/>
        </w:rPr>
      </w:pPr>
      <w:r w:rsidRPr="00DB0AC3">
        <w:rPr>
          <w:rStyle w:val="25"/>
          <w:b w:val="0"/>
          <w:bCs w:val="0"/>
          <w:color w:val="000000"/>
          <w:sz w:val="20"/>
          <w:szCs w:val="20"/>
          <w:lang w:val="ru-RU"/>
        </w:rPr>
        <w:t>Сверка существенных активов и обязательств за год, закончившийся 31 декабря 2014 года, и капитальных затрат за 2014 год представлен</w:t>
      </w:r>
      <w:r w:rsidR="002956C0">
        <w:rPr>
          <w:rStyle w:val="25"/>
          <w:b w:val="0"/>
          <w:bCs w:val="0"/>
          <w:color w:val="000000"/>
          <w:sz w:val="20"/>
          <w:szCs w:val="20"/>
          <w:lang w:val="ru-RU"/>
        </w:rPr>
        <w:t>а</w:t>
      </w:r>
      <w:r w:rsidRPr="00DB0AC3">
        <w:rPr>
          <w:rStyle w:val="25"/>
          <w:b w:val="0"/>
          <w:bCs w:val="0"/>
          <w:color w:val="000000"/>
          <w:sz w:val="20"/>
          <w:szCs w:val="20"/>
          <w:lang w:val="ru-RU"/>
        </w:rPr>
        <w:t xml:space="preserve"> ниже:</w:t>
      </w:r>
    </w:p>
    <w:p w:rsidR="00A40A73" w:rsidRPr="00DB0AC3" w:rsidRDefault="00A40A73" w:rsidP="0009607F">
      <w:pPr>
        <w:rPr>
          <w:rStyle w:val="25"/>
          <w:b w:val="0"/>
          <w:bCs w:val="0"/>
          <w:color w:val="000000"/>
          <w:sz w:val="20"/>
          <w:szCs w:val="20"/>
          <w:lang w:val="ru-RU"/>
        </w:rPr>
      </w:pPr>
    </w:p>
    <w:tbl>
      <w:tblPr>
        <w:tblW w:w="15041" w:type="dxa"/>
        <w:tblInd w:w="93" w:type="dxa"/>
        <w:tblLayout w:type="fixed"/>
        <w:tblLook w:val="04A0"/>
      </w:tblPr>
      <w:tblGrid>
        <w:gridCol w:w="3276"/>
        <w:gridCol w:w="1275"/>
        <w:gridCol w:w="993"/>
        <w:gridCol w:w="1134"/>
        <w:gridCol w:w="1275"/>
        <w:gridCol w:w="1276"/>
        <w:gridCol w:w="1276"/>
        <w:gridCol w:w="1134"/>
        <w:gridCol w:w="958"/>
        <w:gridCol w:w="1242"/>
        <w:gridCol w:w="1202"/>
      </w:tblGrid>
      <w:tr w:rsidR="003B67AF" w:rsidRPr="00DB0AC3" w:rsidTr="003B67AF">
        <w:trPr>
          <w:trHeight w:val="1455"/>
        </w:trPr>
        <w:tc>
          <w:tcPr>
            <w:tcW w:w="3276" w:type="dxa"/>
            <w:tcBorders>
              <w:top w:val="nil"/>
              <w:left w:val="nil"/>
              <w:bottom w:val="nil"/>
              <w:right w:val="nil"/>
            </w:tcBorders>
            <w:shd w:val="clear" w:color="auto" w:fill="auto"/>
            <w:noWrap/>
            <w:vAlign w:val="bottom"/>
            <w:hideMark/>
          </w:tcPr>
          <w:p w:rsidR="00B454C2" w:rsidRPr="002956C0" w:rsidRDefault="00B454C2">
            <w:pPr>
              <w:jc w:val="center"/>
              <w:rPr>
                <w:rFonts w:cs="Arial"/>
                <w:b/>
                <w:bCs/>
                <w:color w:val="000000"/>
                <w:szCs w:val="18"/>
                <w:lang w:val="ru-RU"/>
              </w:rPr>
            </w:pPr>
          </w:p>
        </w:tc>
        <w:tc>
          <w:tcPr>
            <w:tcW w:w="1275"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Итого по отчетным сегментам</w:t>
            </w:r>
          </w:p>
        </w:tc>
        <w:tc>
          <w:tcPr>
            <w:tcW w:w="993"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Отло</w:t>
            </w:r>
            <w:r w:rsidR="003B67AF">
              <w:rPr>
                <w:rFonts w:cs="Arial"/>
                <w:b/>
                <w:bCs/>
                <w:color w:val="000000"/>
                <w:szCs w:val="18"/>
                <w:lang w:val="ru-RU"/>
              </w:rPr>
              <w:t>-</w:t>
            </w:r>
            <w:r w:rsidRPr="002956C0">
              <w:rPr>
                <w:rFonts w:cs="Arial"/>
                <w:b/>
                <w:bCs/>
                <w:color w:val="000000"/>
                <w:szCs w:val="18"/>
                <w:lang w:val="ru-RU"/>
              </w:rPr>
              <w:t>женныйналого</w:t>
            </w:r>
            <w:r w:rsidR="002956C0">
              <w:rPr>
                <w:rFonts w:cs="Arial"/>
                <w:b/>
                <w:bCs/>
                <w:color w:val="000000"/>
                <w:szCs w:val="18"/>
                <w:lang w:val="ru-RU"/>
              </w:rPr>
              <w:t>-</w:t>
            </w:r>
            <w:r w:rsidRPr="002956C0">
              <w:rPr>
                <w:rFonts w:cs="Arial"/>
                <w:b/>
                <w:bCs/>
                <w:color w:val="000000"/>
                <w:szCs w:val="18"/>
                <w:lang w:val="ru-RU"/>
              </w:rPr>
              <w:t>вый актив</w:t>
            </w:r>
          </w:p>
        </w:tc>
        <w:tc>
          <w:tcPr>
            <w:tcW w:w="1134"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Корректи-ровка по стоимос</w:t>
            </w:r>
            <w:r w:rsidR="003B67AF">
              <w:rPr>
                <w:rFonts w:cs="Arial"/>
                <w:b/>
                <w:bCs/>
                <w:color w:val="000000"/>
                <w:szCs w:val="18"/>
                <w:lang w:val="ru-RU"/>
              </w:rPr>
              <w:t>-</w:t>
            </w:r>
            <w:r w:rsidRPr="002956C0">
              <w:rPr>
                <w:rFonts w:cs="Arial"/>
                <w:b/>
                <w:bCs/>
                <w:color w:val="000000"/>
                <w:szCs w:val="18"/>
                <w:lang w:val="ru-RU"/>
              </w:rPr>
              <w:t>ти основных средств</w:t>
            </w:r>
          </w:p>
        </w:tc>
        <w:tc>
          <w:tcPr>
            <w:tcW w:w="1275" w:type="dxa"/>
            <w:tcBorders>
              <w:top w:val="nil"/>
              <w:left w:val="nil"/>
              <w:bottom w:val="single" w:sz="4" w:space="0" w:color="auto"/>
              <w:right w:val="nil"/>
            </w:tcBorders>
            <w:shd w:val="clear" w:color="auto" w:fill="auto"/>
            <w:vAlign w:val="bottom"/>
            <w:hideMark/>
          </w:tcPr>
          <w:p w:rsidR="00A40A73" w:rsidRPr="002956C0" w:rsidRDefault="00A40A73" w:rsidP="002956C0">
            <w:pPr>
              <w:jc w:val="center"/>
              <w:rPr>
                <w:rFonts w:cs="Arial"/>
                <w:b/>
                <w:bCs/>
                <w:color w:val="000000"/>
                <w:szCs w:val="18"/>
                <w:lang w:val="ru-RU"/>
              </w:rPr>
            </w:pPr>
            <w:r w:rsidRPr="002956C0">
              <w:rPr>
                <w:rFonts w:cs="Arial"/>
                <w:b/>
                <w:bCs/>
                <w:color w:val="000000"/>
                <w:szCs w:val="18"/>
                <w:lang w:val="ru-RU"/>
              </w:rPr>
              <w:t>Обесце-нение активов</w:t>
            </w:r>
          </w:p>
        </w:tc>
        <w:tc>
          <w:tcPr>
            <w:tcW w:w="1276"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Резерв по обязатель-ствам кредитного характера</w:t>
            </w:r>
          </w:p>
        </w:tc>
        <w:tc>
          <w:tcPr>
            <w:tcW w:w="1276"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Резерв по неисполь-зованным отпускам</w:t>
            </w:r>
          </w:p>
        </w:tc>
        <w:tc>
          <w:tcPr>
            <w:tcW w:w="1134"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Оценка кредитов клиентам</w:t>
            </w:r>
          </w:p>
        </w:tc>
        <w:tc>
          <w:tcPr>
            <w:tcW w:w="958"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Реклас</w:t>
            </w:r>
            <w:r w:rsidR="003B67AF">
              <w:rPr>
                <w:rFonts w:cs="Arial"/>
                <w:b/>
                <w:bCs/>
                <w:color w:val="000000"/>
                <w:szCs w:val="18"/>
                <w:lang w:val="ru-RU"/>
              </w:rPr>
              <w:t>-</w:t>
            </w:r>
            <w:r w:rsidRPr="002956C0">
              <w:rPr>
                <w:rFonts w:cs="Arial"/>
                <w:b/>
                <w:bCs/>
                <w:color w:val="000000"/>
                <w:szCs w:val="18"/>
                <w:lang w:val="ru-RU"/>
              </w:rPr>
              <w:t>си-фика</w:t>
            </w:r>
            <w:r w:rsidR="003B67AF">
              <w:rPr>
                <w:rFonts w:cs="Arial"/>
                <w:b/>
                <w:bCs/>
                <w:color w:val="000000"/>
                <w:szCs w:val="18"/>
                <w:lang w:val="ru-RU"/>
              </w:rPr>
              <w:t>-</w:t>
            </w:r>
            <w:r w:rsidRPr="002956C0">
              <w:rPr>
                <w:rFonts w:cs="Arial"/>
                <w:b/>
                <w:bCs/>
                <w:color w:val="000000"/>
                <w:szCs w:val="18"/>
                <w:lang w:val="ru-RU"/>
              </w:rPr>
              <w:t>ция</w:t>
            </w:r>
          </w:p>
        </w:tc>
        <w:tc>
          <w:tcPr>
            <w:tcW w:w="1242"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Прочие корректи-ровки</w:t>
            </w:r>
          </w:p>
        </w:tc>
        <w:tc>
          <w:tcPr>
            <w:tcW w:w="1202" w:type="dxa"/>
            <w:tcBorders>
              <w:top w:val="nil"/>
              <w:left w:val="nil"/>
              <w:bottom w:val="single" w:sz="4" w:space="0" w:color="auto"/>
              <w:right w:val="nil"/>
            </w:tcBorders>
            <w:shd w:val="clear" w:color="auto" w:fill="auto"/>
            <w:vAlign w:val="bottom"/>
            <w:hideMark/>
          </w:tcPr>
          <w:p w:rsidR="00A40A73" w:rsidRPr="002956C0" w:rsidRDefault="00A40A73" w:rsidP="00A57BC0">
            <w:pPr>
              <w:jc w:val="center"/>
              <w:rPr>
                <w:rFonts w:cs="Arial"/>
                <w:b/>
                <w:bCs/>
                <w:color w:val="000000"/>
                <w:szCs w:val="18"/>
                <w:lang w:val="ru-RU"/>
              </w:rPr>
            </w:pPr>
            <w:r w:rsidRPr="002956C0">
              <w:rPr>
                <w:rFonts w:cs="Arial"/>
                <w:b/>
                <w:bCs/>
                <w:color w:val="000000"/>
                <w:szCs w:val="18"/>
                <w:lang w:val="ru-RU"/>
              </w:rPr>
              <w:t>По МСФО</w:t>
            </w:r>
          </w:p>
        </w:tc>
      </w:tr>
      <w:tr w:rsidR="003B67AF" w:rsidRPr="00DB0AC3" w:rsidTr="003B67AF">
        <w:trPr>
          <w:trHeight w:val="300"/>
        </w:trPr>
        <w:tc>
          <w:tcPr>
            <w:tcW w:w="4551" w:type="dxa"/>
            <w:gridSpan w:val="2"/>
            <w:tcBorders>
              <w:top w:val="nil"/>
              <w:left w:val="nil"/>
              <w:bottom w:val="nil"/>
              <w:right w:val="nil"/>
            </w:tcBorders>
            <w:shd w:val="clear" w:color="auto" w:fill="auto"/>
            <w:noWrap/>
            <w:vAlign w:val="bottom"/>
            <w:hideMark/>
          </w:tcPr>
          <w:p w:rsidR="00A40A73" w:rsidRPr="002956C0" w:rsidRDefault="00A40A73" w:rsidP="00A40A73">
            <w:pPr>
              <w:rPr>
                <w:rFonts w:cs="Arial"/>
                <w:b/>
                <w:bCs/>
                <w:color w:val="000000"/>
                <w:szCs w:val="18"/>
                <w:lang w:val="ru-RU"/>
              </w:rPr>
            </w:pPr>
            <w:r w:rsidRPr="002956C0">
              <w:rPr>
                <w:rFonts w:cs="Arial"/>
                <w:b/>
                <w:bCs/>
                <w:color w:val="000000"/>
                <w:szCs w:val="18"/>
                <w:lang w:val="ru-RU"/>
              </w:rPr>
              <w:t>Активы на 31 декабря 2014</w:t>
            </w:r>
          </w:p>
        </w:tc>
        <w:tc>
          <w:tcPr>
            <w:tcW w:w="993"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134"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5"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6"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6"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134"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958"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42"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02"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r>
      <w:tr w:rsidR="003B67AF" w:rsidRPr="00DB0AC3" w:rsidTr="003B67AF">
        <w:trPr>
          <w:trHeight w:val="300"/>
        </w:trPr>
        <w:tc>
          <w:tcPr>
            <w:tcW w:w="3276" w:type="dxa"/>
            <w:tcBorders>
              <w:top w:val="nil"/>
              <w:left w:val="nil"/>
              <w:bottom w:val="nil"/>
              <w:right w:val="nil"/>
            </w:tcBorders>
            <w:shd w:val="clear" w:color="auto" w:fill="auto"/>
            <w:noWrap/>
            <w:vAlign w:val="bottom"/>
            <w:hideMark/>
          </w:tcPr>
          <w:p w:rsidR="00A40A73" w:rsidRPr="002956C0" w:rsidRDefault="00A40A73" w:rsidP="00A40A73">
            <w:pPr>
              <w:rPr>
                <w:rFonts w:cs="Arial"/>
                <w:color w:val="000000"/>
                <w:szCs w:val="18"/>
                <w:lang w:val="ru-RU"/>
              </w:rPr>
            </w:pPr>
            <w:r w:rsidRPr="002956C0">
              <w:rPr>
                <w:rFonts w:cs="Arial"/>
                <w:color w:val="000000"/>
                <w:szCs w:val="18"/>
                <w:lang w:val="ru-RU"/>
              </w:rPr>
              <w:t>Внеоборотные активы, удерживаемые для продажи</w:t>
            </w:r>
          </w:p>
        </w:tc>
        <w:tc>
          <w:tcPr>
            <w:tcW w:w="1275"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993"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134"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5"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6"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6"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134"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958"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91 631</w:t>
            </w:r>
          </w:p>
        </w:tc>
        <w:tc>
          <w:tcPr>
            <w:tcW w:w="1242"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02"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b/>
                <w:bCs/>
                <w:color w:val="000000"/>
                <w:szCs w:val="18"/>
                <w:lang w:val="ru-RU"/>
              </w:rPr>
            </w:pPr>
            <w:r w:rsidRPr="002956C0">
              <w:rPr>
                <w:rFonts w:cs="Arial"/>
                <w:b/>
                <w:bCs/>
                <w:color w:val="000000"/>
                <w:szCs w:val="18"/>
                <w:lang w:val="ru-RU"/>
              </w:rPr>
              <w:t>91 631</w:t>
            </w:r>
          </w:p>
        </w:tc>
      </w:tr>
      <w:tr w:rsidR="003B67AF" w:rsidRPr="00DB0AC3" w:rsidTr="003B67AF">
        <w:trPr>
          <w:trHeight w:val="300"/>
        </w:trPr>
        <w:tc>
          <w:tcPr>
            <w:tcW w:w="3276" w:type="dxa"/>
            <w:tcBorders>
              <w:top w:val="nil"/>
              <w:left w:val="nil"/>
              <w:bottom w:val="nil"/>
              <w:right w:val="nil"/>
            </w:tcBorders>
            <w:shd w:val="clear" w:color="auto" w:fill="auto"/>
            <w:noWrap/>
            <w:vAlign w:val="bottom"/>
            <w:hideMark/>
          </w:tcPr>
          <w:p w:rsidR="00A40A73" w:rsidRPr="002956C0" w:rsidRDefault="00A40A73" w:rsidP="00A40A73">
            <w:pPr>
              <w:rPr>
                <w:rFonts w:cs="Arial"/>
                <w:color w:val="000000"/>
                <w:szCs w:val="18"/>
                <w:lang w:val="ru-RU"/>
              </w:rPr>
            </w:pPr>
            <w:r w:rsidRPr="002956C0">
              <w:rPr>
                <w:rFonts w:cs="Arial"/>
                <w:color w:val="000000"/>
                <w:szCs w:val="18"/>
                <w:lang w:val="ru-RU"/>
              </w:rPr>
              <w:t>Прочие отчетные сегментные активы</w:t>
            </w:r>
          </w:p>
        </w:tc>
        <w:tc>
          <w:tcPr>
            <w:tcW w:w="1275"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47 069 763</w:t>
            </w:r>
          </w:p>
        </w:tc>
        <w:tc>
          <w:tcPr>
            <w:tcW w:w="993"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134"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76 484</w:t>
            </w:r>
          </w:p>
        </w:tc>
        <w:tc>
          <w:tcPr>
            <w:tcW w:w="1275" w:type="dxa"/>
            <w:tcBorders>
              <w:top w:val="nil"/>
              <w:left w:val="nil"/>
              <w:bottom w:val="single" w:sz="4" w:space="0" w:color="auto"/>
              <w:right w:val="nil"/>
            </w:tcBorders>
            <w:shd w:val="clear" w:color="auto" w:fill="auto"/>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(34 163 772)</w:t>
            </w:r>
          </w:p>
        </w:tc>
        <w:tc>
          <w:tcPr>
            <w:tcW w:w="1276"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76"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134"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224 024</w:t>
            </w:r>
          </w:p>
        </w:tc>
        <w:tc>
          <w:tcPr>
            <w:tcW w:w="958" w:type="dxa"/>
            <w:tcBorders>
              <w:top w:val="nil"/>
              <w:left w:val="nil"/>
              <w:bottom w:val="single" w:sz="4" w:space="0" w:color="auto"/>
              <w:right w:val="nil"/>
            </w:tcBorders>
            <w:shd w:val="clear" w:color="auto" w:fill="auto"/>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(91 631)</w:t>
            </w:r>
          </w:p>
        </w:tc>
        <w:tc>
          <w:tcPr>
            <w:tcW w:w="1242"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2 382 718</w:t>
            </w:r>
          </w:p>
        </w:tc>
        <w:tc>
          <w:tcPr>
            <w:tcW w:w="1202"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b/>
                <w:bCs/>
                <w:color w:val="000000"/>
                <w:szCs w:val="18"/>
                <w:lang w:val="ru-RU"/>
              </w:rPr>
            </w:pPr>
            <w:r w:rsidRPr="002956C0">
              <w:rPr>
                <w:rFonts w:cs="Arial"/>
                <w:b/>
                <w:bCs/>
                <w:color w:val="000000"/>
                <w:szCs w:val="18"/>
                <w:lang w:val="ru-RU"/>
              </w:rPr>
              <w:t>15 497 586</w:t>
            </w:r>
          </w:p>
        </w:tc>
      </w:tr>
      <w:tr w:rsidR="003B67AF" w:rsidRPr="00DB0AC3" w:rsidTr="003B67AF">
        <w:trPr>
          <w:trHeight w:val="300"/>
        </w:trPr>
        <w:tc>
          <w:tcPr>
            <w:tcW w:w="4551" w:type="dxa"/>
            <w:gridSpan w:val="2"/>
            <w:tcBorders>
              <w:top w:val="nil"/>
              <w:left w:val="nil"/>
              <w:bottom w:val="nil"/>
              <w:right w:val="nil"/>
            </w:tcBorders>
            <w:shd w:val="clear" w:color="auto" w:fill="auto"/>
            <w:noWrap/>
            <w:vAlign w:val="bottom"/>
            <w:hideMark/>
          </w:tcPr>
          <w:p w:rsidR="00A40A73" w:rsidRPr="002956C0" w:rsidRDefault="00A40A73" w:rsidP="00A40A73">
            <w:pPr>
              <w:rPr>
                <w:rFonts w:cs="Arial"/>
                <w:b/>
                <w:bCs/>
                <w:color w:val="000000"/>
                <w:szCs w:val="18"/>
                <w:lang w:val="ru-RU"/>
              </w:rPr>
            </w:pPr>
            <w:r w:rsidRPr="002956C0">
              <w:rPr>
                <w:rFonts w:cs="Arial"/>
                <w:b/>
                <w:bCs/>
                <w:color w:val="000000"/>
                <w:szCs w:val="18"/>
                <w:lang w:val="ru-RU"/>
              </w:rPr>
              <w:t>Обязательства на 31 декабря 2014</w:t>
            </w:r>
          </w:p>
        </w:tc>
        <w:tc>
          <w:tcPr>
            <w:tcW w:w="993"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134"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5"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6"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76"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134"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958"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42"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1202" w:type="dxa"/>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r>
      <w:tr w:rsidR="003B67AF" w:rsidRPr="00DB0AC3" w:rsidTr="003B67AF">
        <w:trPr>
          <w:trHeight w:val="300"/>
        </w:trPr>
        <w:tc>
          <w:tcPr>
            <w:tcW w:w="3276" w:type="dxa"/>
            <w:tcBorders>
              <w:top w:val="nil"/>
              <w:left w:val="nil"/>
              <w:bottom w:val="nil"/>
              <w:right w:val="nil"/>
            </w:tcBorders>
            <w:shd w:val="clear" w:color="auto" w:fill="auto"/>
            <w:noWrap/>
            <w:vAlign w:val="bottom"/>
            <w:hideMark/>
          </w:tcPr>
          <w:p w:rsidR="00A40A73" w:rsidRPr="002956C0" w:rsidRDefault="00A40A73" w:rsidP="00A40A73">
            <w:pPr>
              <w:rPr>
                <w:rFonts w:cs="Arial"/>
                <w:color w:val="000000"/>
                <w:szCs w:val="18"/>
                <w:lang w:val="ru-RU"/>
              </w:rPr>
            </w:pPr>
            <w:r w:rsidRPr="002956C0">
              <w:rPr>
                <w:rFonts w:cs="Arial"/>
                <w:color w:val="000000"/>
                <w:szCs w:val="18"/>
                <w:lang w:val="ru-RU"/>
              </w:rPr>
              <w:t>Прочие отчетные сегментные обязательства</w:t>
            </w:r>
          </w:p>
        </w:tc>
        <w:tc>
          <w:tcPr>
            <w:tcW w:w="1275"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42 979 882</w:t>
            </w:r>
          </w:p>
        </w:tc>
        <w:tc>
          <w:tcPr>
            <w:tcW w:w="993"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134"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75"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76"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46 604</w:t>
            </w:r>
          </w:p>
        </w:tc>
        <w:tc>
          <w:tcPr>
            <w:tcW w:w="1276"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23 019</w:t>
            </w:r>
          </w:p>
        </w:tc>
        <w:tc>
          <w:tcPr>
            <w:tcW w:w="1134"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958"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42"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(35 859)</w:t>
            </w:r>
          </w:p>
        </w:tc>
        <w:tc>
          <w:tcPr>
            <w:tcW w:w="1202" w:type="dxa"/>
            <w:tcBorders>
              <w:top w:val="nil"/>
              <w:left w:val="nil"/>
              <w:bottom w:val="single" w:sz="4" w:space="0" w:color="auto"/>
              <w:right w:val="nil"/>
            </w:tcBorders>
            <w:shd w:val="clear" w:color="auto" w:fill="auto"/>
            <w:noWrap/>
            <w:vAlign w:val="bottom"/>
            <w:hideMark/>
          </w:tcPr>
          <w:p w:rsidR="00A40A73" w:rsidRPr="002956C0" w:rsidRDefault="00A40A73" w:rsidP="00A40A73">
            <w:pPr>
              <w:jc w:val="right"/>
              <w:rPr>
                <w:rFonts w:cs="Arial"/>
                <w:b/>
                <w:bCs/>
                <w:color w:val="000000"/>
                <w:szCs w:val="18"/>
                <w:lang w:val="ru-RU"/>
              </w:rPr>
            </w:pPr>
            <w:r w:rsidRPr="002956C0">
              <w:rPr>
                <w:rFonts w:cs="Arial"/>
                <w:b/>
                <w:bCs/>
                <w:color w:val="000000"/>
                <w:szCs w:val="18"/>
                <w:lang w:val="ru-RU"/>
              </w:rPr>
              <w:t>43 013 646</w:t>
            </w:r>
          </w:p>
        </w:tc>
      </w:tr>
      <w:tr w:rsidR="003B67AF" w:rsidRPr="00DB0AC3" w:rsidTr="003B67AF">
        <w:trPr>
          <w:trHeight w:val="315"/>
        </w:trPr>
        <w:tc>
          <w:tcPr>
            <w:tcW w:w="3276" w:type="dxa"/>
            <w:tcBorders>
              <w:top w:val="nil"/>
              <w:left w:val="nil"/>
              <w:bottom w:val="nil"/>
              <w:right w:val="nil"/>
            </w:tcBorders>
            <w:shd w:val="clear" w:color="auto" w:fill="auto"/>
            <w:noWrap/>
            <w:vAlign w:val="bottom"/>
            <w:hideMark/>
          </w:tcPr>
          <w:p w:rsidR="00A40A73" w:rsidRPr="002956C0" w:rsidRDefault="00A40A73" w:rsidP="00A40A73">
            <w:pPr>
              <w:rPr>
                <w:rFonts w:cs="Arial"/>
                <w:b/>
                <w:bCs/>
                <w:color w:val="000000"/>
                <w:szCs w:val="18"/>
                <w:lang w:val="ru-RU"/>
              </w:rPr>
            </w:pPr>
            <w:r w:rsidRPr="002956C0">
              <w:rPr>
                <w:rFonts w:cs="Arial"/>
                <w:b/>
                <w:bCs/>
                <w:color w:val="000000"/>
                <w:szCs w:val="18"/>
                <w:lang w:val="ru-RU"/>
              </w:rPr>
              <w:t>Капитальные затраты за 2014</w:t>
            </w:r>
          </w:p>
        </w:tc>
        <w:tc>
          <w:tcPr>
            <w:tcW w:w="1275"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993"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134"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75"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76"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76"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134"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958"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42"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c>
          <w:tcPr>
            <w:tcW w:w="1202" w:type="dxa"/>
            <w:tcBorders>
              <w:top w:val="nil"/>
              <w:left w:val="nil"/>
              <w:bottom w:val="double" w:sz="6" w:space="0" w:color="auto"/>
              <w:right w:val="nil"/>
            </w:tcBorders>
            <w:shd w:val="clear" w:color="auto" w:fill="auto"/>
            <w:noWrap/>
            <w:vAlign w:val="bottom"/>
            <w:hideMark/>
          </w:tcPr>
          <w:p w:rsidR="00A40A73" w:rsidRPr="002956C0" w:rsidRDefault="00A40A73" w:rsidP="00A40A73">
            <w:pPr>
              <w:jc w:val="right"/>
              <w:rPr>
                <w:rFonts w:cs="Arial"/>
                <w:color w:val="000000"/>
                <w:szCs w:val="18"/>
                <w:lang w:val="ru-RU"/>
              </w:rPr>
            </w:pPr>
            <w:r w:rsidRPr="002956C0">
              <w:rPr>
                <w:rFonts w:cs="Arial"/>
                <w:color w:val="000000"/>
                <w:szCs w:val="18"/>
                <w:lang w:val="ru-RU"/>
              </w:rPr>
              <w:t xml:space="preserve">                   -     </w:t>
            </w:r>
          </w:p>
        </w:tc>
      </w:tr>
    </w:tbl>
    <w:p w:rsidR="00A57BC0" w:rsidRPr="00DB0AC3" w:rsidRDefault="00A57BC0" w:rsidP="00A40A73">
      <w:pPr>
        <w:pStyle w:val="210"/>
        <w:shd w:val="clear" w:color="auto" w:fill="auto"/>
        <w:spacing w:line="180" w:lineRule="exact"/>
        <w:ind w:firstLine="0"/>
        <w:rPr>
          <w:rStyle w:val="25"/>
          <w:b/>
          <w:bCs/>
          <w:color w:val="000000"/>
          <w:sz w:val="20"/>
          <w:szCs w:val="20"/>
          <w:lang w:val="en-US"/>
        </w:rPr>
      </w:pPr>
    </w:p>
    <w:p w:rsidR="00A57BC0" w:rsidRPr="00DB0AC3" w:rsidRDefault="00A57BC0" w:rsidP="00A40A73">
      <w:pPr>
        <w:pStyle w:val="210"/>
        <w:shd w:val="clear" w:color="auto" w:fill="auto"/>
        <w:spacing w:line="180" w:lineRule="exact"/>
        <w:ind w:firstLine="0"/>
        <w:rPr>
          <w:rStyle w:val="25"/>
          <w:b/>
          <w:bCs/>
          <w:color w:val="000000"/>
          <w:sz w:val="20"/>
          <w:szCs w:val="20"/>
          <w:lang w:val="en-US"/>
        </w:rPr>
      </w:pPr>
    </w:p>
    <w:p w:rsidR="00A57BC0" w:rsidRPr="00DB0AC3" w:rsidRDefault="00A57BC0" w:rsidP="00A40A73">
      <w:pPr>
        <w:pStyle w:val="210"/>
        <w:shd w:val="clear" w:color="auto" w:fill="auto"/>
        <w:spacing w:line="180" w:lineRule="exact"/>
        <w:ind w:firstLine="0"/>
        <w:rPr>
          <w:rStyle w:val="25"/>
          <w:b/>
          <w:bCs/>
          <w:color w:val="000000"/>
          <w:sz w:val="20"/>
          <w:szCs w:val="20"/>
          <w:lang w:val="en-US"/>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2956C0" w:rsidRDefault="002956C0" w:rsidP="00A40A73">
      <w:pPr>
        <w:pStyle w:val="210"/>
        <w:shd w:val="clear" w:color="auto" w:fill="auto"/>
        <w:spacing w:line="180" w:lineRule="exact"/>
        <w:ind w:firstLine="0"/>
        <w:rPr>
          <w:rStyle w:val="25"/>
          <w:bCs/>
          <w:color w:val="000000"/>
          <w:sz w:val="20"/>
          <w:szCs w:val="20"/>
        </w:rPr>
      </w:pPr>
    </w:p>
    <w:p w:rsidR="00A40A73" w:rsidRPr="002956C0" w:rsidRDefault="00A40A73" w:rsidP="00A40A73">
      <w:pPr>
        <w:pStyle w:val="210"/>
        <w:shd w:val="clear" w:color="auto" w:fill="auto"/>
        <w:spacing w:line="180" w:lineRule="exact"/>
        <w:ind w:firstLine="0"/>
        <w:rPr>
          <w:sz w:val="20"/>
          <w:szCs w:val="20"/>
        </w:rPr>
      </w:pPr>
      <w:r w:rsidRPr="002956C0">
        <w:rPr>
          <w:rStyle w:val="25"/>
          <w:bCs/>
          <w:color w:val="000000"/>
          <w:sz w:val="20"/>
          <w:szCs w:val="20"/>
        </w:rPr>
        <w:lastRenderedPageBreak/>
        <w:t>Сверка прочих существенных позиций доходов или расходов за год, закончившийся 31 декабря 2013 года:</w:t>
      </w:r>
    </w:p>
    <w:tbl>
      <w:tblPr>
        <w:tblW w:w="5000" w:type="pct"/>
        <w:tblLook w:val="04A0"/>
      </w:tblPr>
      <w:tblGrid>
        <w:gridCol w:w="2254"/>
        <w:gridCol w:w="1361"/>
        <w:gridCol w:w="1278"/>
        <w:gridCol w:w="1821"/>
        <w:gridCol w:w="1135"/>
        <w:gridCol w:w="1323"/>
        <w:gridCol w:w="938"/>
        <w:gridCol w:w="1918"/>
        <w:gridCol w:w="1049"/>
        <w:gridCol w:w="1215"/>
      </w:tblGrid>
      <w:tr w:rsidR="00A40A73" w:rsidRPr="00DB0AC3" w:rsidTr="003B67AF">
        <w:trPr>
          <w:trHeight w:val="1200"/>
        </w:trPr>
        <w:tc>
          <w:tcPr>
            <w:tcW w:w="789"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476"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Итого по отчетным сегментам</w:t>
            </w:r>
          </w:p>
        </w:tc>
        <w:tc>
          <w:tcPr>
            <w:tcW w:w="447"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Резерв по кредитам клиентам</w:t>
            </w:r>
          </w:p>
        </w:tc>
        <w:tc>
          <w:tcPr>
            <w:tcW w:w="637"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Корректировка стоимости финансовых активов</w:t>
            </w:r>
          </w:p>
        </w:tc>
        <w:tc>
          <w:tcPr>
            <w:tcW w:w="397"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Резерв по прочим активам</w:t>
            </w:r>
          </w:p>
        </w:tc>
        <w:tc>
          <w:tcPr>
            <w:tcW w:w="463"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Резерв по неисполь-зованным отпускам</w:t>
            </w:r>
          </w:p>
        </w:tc>
        <w:tc>
          <w:tcPr>
            <w:tcW w:w="328"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Износ</w:t>
            </w:r>
          </w:p>
        </w:tc>
        <w:tc>
          <w:tcPr>
            <w:tcW w:w="671"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Корректировка баланс</w:t>
            </w:r>
            <w:r w:rsidR="003B67AF">
              <w:rPr>
                <w:rFonts w:cs="Arial"/>
                <w:b/>
                <w:bCs/>
                <w:color w:val="000000"/>
                <w:sz w:val="20"/>
                <w:lang w:val="ru-RU"/>
              </w:rPr>
              <w:t>овой с</w:t>
            </w:r>
            <w:r w:rsidRPr="00DB0AC3">
              <w:rPr>
                <w:rFonts w:cs="Arial"/>
                <w:b/>
                <w:bCs/>
                <w:color w:val="000000"/>
                <w:sz w:val="20"/>
                <w:lang w:val="ru-RU"/>
              </w:rPr>
              <w:t>тоимости основных средств</w:t>
            </w:r>
          </w:p>
        </w:tc>
        <w:tc>
          <w:tcPr>
            <w:tcW w:w="367"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Прочие</w:t>
            </w:r>
          </w:p>
        </w:tc>
        <w:tc>
          <w:tcPr>
            <w:tcW w:w="426" w:type="pct"/>
            <w:tcBorders>
              <w:top w:val="nil"/>
              <w:left w:val="nil"/>
              <w:bottom w:val="single" w:sz="4" w:space="0" w:color="auto"/>
              <w:right w:val="nil"/>
            </w:tcBorders>
            <w:shd w:val="clear" w:color="auto" w:fill="auto"/>
            <w:vAlign w:val="bottom"/>
            <w:hideMark/>
          </w:tcPr>
          <w:p w:rsidR="00A40A73" w:rsidRPr="00DB0AC3" w:rsidRDefault="00A40A73" w:rsidP="00A40A73">
            <w:pPr>
              <w:jc w:val="center"/>
              <w:rPr>
                <w:rFonts w:cs="Arial"/>
                <w:b/>
                <w:bCs/>
                <w:color w:val="000000"/>
                <w:sz w:val="20"/>
                <w:lang w:val="ru-RU"/>
              </w:rPr>
            </w:pPr>
            <w:r w:rsidRPr="00DB0AC3">
              <w:rPr>
                <w:rFonts w:cs="Arial"/>
                <w:b/>
                <w:bCs/>
                <w:color w:val="000000"/>
                <w:sz w:val="20"/>
                <w:lang w:val="ru-RU"/>
              </w:rPr>
              <w:t>По МСФО</w:t>
            </w:r>
          </w:p>
        </w:tc>
      </w:tr>
      <w:tr w:rsidR="00A40A73" w:rsidRPr="0046554E" w:rsidTr="003B67AF">
        <w:trPr>
          <w:trHeight w:val="12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Существенные доходы или расходы за год, закончившийся 31 декабря 2013</w:t>
            </w:r>
          </w:p>
        </w:tc>
        <w:tc>
          <w:tcPr>
            <w:tcW w:w="476" w:type="pct"/>
            <w:tcBorders>
              <w:top w:val="single" w:sz="4" w:space="0" w:color="auto"/>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p>
        </w:tc>
        <w:tc>
          <w:tcPr>
            <w:tcW w:w="447" w:type="pct"/>
            <w:tcBorders>
              <w:top w:val="single" w:sz="4" w:space="0" w:color="auto"/>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p>
        </w:tc>
        <w:tc>
          <w:tcPr>
            <w:tcW w:w="637"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397"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463"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328"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671"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367"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426" w:type="pct"/>
            <w:tcBorders>
              <w:top w:val="single" w:sz="4" w:space="0" w:color="auto"/>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r>
      <w:tr w:rsidR="00A40A73" w:rsidRPr="00DB0AC3" w:rsidTr="00A40A73">
        <w:trPr>
          <w:trHeight w:val="3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 xml:space="preserve">Внешние доходы: </w:t>
            </w:r>
          </w:p>
        </w:tc>
        <w:tc>
          <w:tcPr>
            <w:tcW w:w="47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p>
        </w:tc>
        <w:tc>
          <w:tcPr>
            <w:tcW w:w="637"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397"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463"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328"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671"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367"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c>
          <w:tcPr>
            <w:tcW w:w="426" w:type="pct"/>
            <w:tcBorders>
              <w:top w:val="nil"/>
              <w:left w:val="nil"/>
              <w:bottom w:val="nil"/>
              <w:right w:val="nil"/>
            </w:tcBorders>
            <w:shd w:val="clear" w:color="auto" w:fill="auto"/>
            <w:noWrap/>
            <w:vAlign w:val="bottom"/>
            <w:hideMark/>
          </w:tcPr>
          <w:p w:rsidR="00A40A73" w:rsidRPr="00DB0AC3" w:rsidRDefault="00A40A73" w:rsidP="00A40A73">
            <w:pPr>
              <w:rPr>
                <w:rFonts w:cs="Arial"/>
                <w:color w:val="000000"/>
                <w:sz w:val="20"/>
                <w:lang w:val="ru-RU"/>
              </w:rPr>
            </w:pPr>
          </w:p>
        </w:tc>
      </w:tr>
      <w:tr w:rsidR="00A40A73" w:rsidRPr="00DB0AC3" w:rsidTr="00A40A73">
        <w:trPr>
          <w:trHeight w:val="3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Процентные доходы</w:t>
            </w:r>
          </w:p>
        </w:tc>
        <w:tc>
          <w:tcPr>
            <w:tcW w:w="47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4 408 063</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188 587</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9 002</w:t>
            </w:r>
          </w:p>
        </w:tc>
        <w:tc>
          <w:tcPr>
            <w:tcW w:w="42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4 605 652</w:t>
            </w:r>
          </w:p>
        </w:tc>
      </w:tr>
      <w:tr w:rsidR="00A40A73" w:rsidRPr="00DB0AC3" w:rsidTr="00A40A73">
        <w:trPr>
          <w:trHeight w:val="6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Комиссионные доходы</w:t>
            </w:r>
          </w:p>
        </w:tc>
        <w:tc>
          <w:tcPr>
            <w:tcW w:w="47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381 212</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381 212</w:t>
            </w:r>
          </w:p>
        </w:tc>
      </w:tr>
      <w:tr w:rsidR="00A40A73" w:rsidRPr="00DB0AC3" w:rsidTr="00A40A73">
        <w:trPr>
          <w:trHeight w:val="9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Прочие операционные доходы</w:t>
            </w:r>
          </w:p>
        </w:tc>
        <w:tc>
          <w:tcPr>
            <w:tcW w:w="47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48 464</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4 063</w:t>
            </w:r>
          </w:p>
        </w:tc>
        <w:tc>
          <w:tcPr>
            <w:tcW w:w="42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52 527</w:t>
            </w:r>
          </w:p>
        </w:tc>
      </w:tr>
      <w:tr w:rsidR="00A40A73" w:rsidRPr="00DB0AC3" w:rsidTr="00A40A73">
        <w:trPr>
          <w:trHeight w:val="3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Процентные расходы</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(3 156 904)</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(3 156 904)</w:t>
            </w:r>
          </w:p>
        </w:tc>
      </w:tr>
      <w:tr w:rsidR="00A40A73" w:rsidRPr="00DB0AC3" w:rsidTr="00A40A73">
        <w:trPr>
          <w:trHeight w:val="6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Движение резерва на обесценение</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(484 855)</w:t>
            </w:r>
          </w:p>
        </w:tc>
        <w:tc>
          <w:tcPr>
            <w:tcW w:w="447"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(507 295)</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49 451</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16 507</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(926 192)</w:t>
            </w:r>
          </w:p>
        </w:tc>
      </w:tr>
      <w:tr w:rsidR="00A40A73" w:rsidRPr="00DB0AC3" w:rsidTr="00A40A73">
        <w:trPr>
          <w:trHeight w:val="3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Амортизация</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(72 947)</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10 906</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(62 041)</w:t>
            </w:r>
          </w:p>
        </w:tc>
      </w:tr>
      <w:tr w:rsidR="00A40A73" w:rsidRPr="00DB0AC3" w:rsidTr="00A40A73">
        <w:trPr>
          <w:trHeight w:val="6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Комиссионные расходы</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(50 208)</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(50 208)</w:t>
            </w:r>
          </w:p>
        </w:tc>
      </w:tr>
      <w:tr w:rsidR="00A40A73" w:rsidRPr="00DB0AC3" w:rsidTr="00A40A73">
        <w:trPr>
          <w:trHeight w:val="9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Чистая прибыль по операциям с ценными бумагами</w:t>
            </w:r>
          </w:p>
        </w:tc>
        <w:tc>
          <w:tcPr>
            <w:tcW w:w="47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4 588</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4 588</w:t>
            </w:r>
          </w:p>
        </w:tc>
      </w:tr>
      <w:tr w:rsidR="00A40A73" w:rsidRPr="00DB0AC3" w:rsidTr="00A40A73">
        <w:trPr>
          <w:trHeight w:val="9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Чистый доход от валютно-обменных операций</w:t>
            </w:r>
          </w:p>
        </w:tc>
        <w:tc>
          <w:tcPr>
            <w:tcW w:w="47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32 754</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32 754</w:t>
            </w:r>
          </w:p>
        </w:tc>
      </w:tr>
      <w:tr w:rsidR="00A40A73" w:rsidRPr="00DB0AC3" w:rsidTr="00A40A73">
        <w:trPr>
          <w:trHeight w:val="6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Чистый убыток от курсовой разницы</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(3 006)</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(3 006)</w:t>
            </w:r>
          </w:p>
        </w:tc>
      </w:tr>
      <w:tr w:rsidR="00A40A73" w:rsidRPr="00DB0AC3" w:rsidTr="00A40A73">
        <w:trPr>
          <w:trHeight w:val="6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lastRenderedPageBreak/>
              <w:t>Чистый убыток от выбытия активов</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(10 064)</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(10 064)</w:t>
            </w:r>
          </w:p>
        </w:tc>
      </w:tr>
      <w:tr w:rsidR="00A40A73" w:rsidRPr="00DB0AC3" w:rsidTr="00A40A73">
        <w:trPr>
          <w:trHeight w:val="600"/>
        </w:trPr>
        <w:tc>
          <w:tcPr>
            <w:tcW w:w="789" w:type="pct"/>
            <w:tcBorders>
              <w:top w:val="nil"/>
              <w:left w:val="nil"/>
              <w:bottom w:val="nil"/>
              <w:right w:val="nil"/>
            </w:tcBorders>
            <w:shd w:val="clear" w:color="auto" w:fill="auto"/>
            <w:vAlign w:val="center"/>
            <w:hideMark/>
          </w:tcPr>
          <w:p w:rsidR="00A40A73" w:rsidRPr="00DB0AC3" w:rsidRDefault="00A40A73" w:rsidP="00A40A73">
            <w:pPr>
              <w:rPr>
                <w:rFonts w:cs="Arial"/>
                <w:b/>
                <w:bCs/>
                <w:color w:val="000000"/>
                <w:sz w:val="20"/>
                <w:lang w:val="ru-RU"/>
              </w:rPr>
            </w:pPr>
            <w:r w:rsidRPr="00DB0AC3">
              <w:rPr>
                <w:rFonts w:cs="Arial"/>
                <w:b/>
                <w:bCs/>
                <w:color w:val="000000"/>
                <w:sz w:val="20"/>
                <w:lang w:val="ru-RU"/>
              </w:rPr>
              <w:t>Административные и прочие расходы</w:t>
            </w:r>
          </w:p>
        </w:tc>
        <w:tc>
          <w:tcPr>
            <w:tcW w:w="476"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(865 937)</w:t>
            </w:r>
          </w:p>
        </w:tc>
        <w:tc>
          <w:tcPr>
            <w:tcW w:w="44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3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97"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463"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(8 779)</w:t>
            </w:r>
          </w:p>
        </w:tc>
        <w:tc>
          <w:tcPr>
            <w:tcW w:w="328"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671" w:type="pct"/>
            <w:tcBorders>
              <w:top w:val="nil"/>
              <w:left w:val="nil"/>
              <w:bottom w:val="nil"/>
              <w:right w:val="nil"/>
            </w:tcBorders>
            <w:shd w:val="clear" w:color="auto" w:fill="auto"/>
            <w:noWrap/>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w:t>
            </w:r>
          </w:p>
        </w:tc>
        <w:tc>
          <w:tcPr>
            <w:tcW w:w="367" w:type="pct"/>
            <w:tcBorders>
              <w:top w:val="nil"/>
              <w:left w:val="nil"/>
              <w:bottom w:val="nil"/>
              <w:right w:val="nil"/>
            </w:tcBorders>
            <w:shd w:val="clear" w:color="auto" w:fill="auto"/>
            <w:vAlign w:val="bottom"/>
            <w:hideMark/>
          </w:tcPr>
          <w:p w:rsidR="00A40A73" w:rsidRPr="00DB0AC3" w:rsidRDefault="00A40A73" w:rsidP="00A40A73">
            <w:pPr>
              <w:jc w:val="right"/>
              <w:rPr>
                <w:rFonts w:cs="Arial"/>
                <w:color w:val="000000"/>
                <w:sz w:val="20"/>
                <w:lang w:val="ru-RU"/>
              </w:rPr>
            </w:pPr>
            <w:r w:rsidRPr="00DB0AC3">
              <w:rPr>
                <w:rFonts w:cs="Arial"/>
                <w:color w:val="000000"/>
                <w:sz w:val="20"/>
                <w:lang w:val="ru-RU"/>
              </w:rPr>
              <w:t>(4 586)</w:t>
            </w:r>
          </w:p>
        </w:tc>
        <w:tc>
          <w:tcPr>
            <w:tcW w:w="426" w:type="pct"/>
            <w:tcBorders>
              <w:top w:val="nil"/>
              <w:left w:val="nil"/>
              <w:bottom w:val="nil"/>
              <w:right w:val="nil"/>
            </w:tcBorders>
            <w:shd w:val="clear" w:color="auto" w:fill="auto"/>
            <w:vAlign w:val="bottom"/>
            <w:hideMark/>
          </w:tcPr>
          <w:p w:rsidR="00A40A73" w:rsidRPr="00DB0AC3" w:rsidRDefault="00A40A73" w:rsidP="00A40A73">
            <w:pPr>
              <w:jc w:val="right"/>
              <w:rPr>
                <w:rFonts w:cs="Arial"/>
                <w:b/>
                <w:bCs/>
                <w:color w:val="000000"/>
                <w:sz w:val="20"/>
                <w:lang w:val="ru-RU"/>
              </w:rPr>
            </w:pPr>
            <w:r w:rsidRPr="00DB0AC3">
              <w:rPr>
                <w:rFonts w:cs="Arial"/>
                <w:b/>
                <w:bCs/>
                <w:color w:val="000000"/>
                <w:sz w:val="20"/>
                <w:lang w:val="ru-RU"/>
              </w:rPr>
              <w:t>(879 302)</w:t>
            </w:r>
          </w:p>
        </w:tc>
      </w:tr>
    </w:tbl>
    <w:p w:rsidR="002956C0" w:rsidRDefault="002956C0" w:rsidP="00A40A73">
      <w:pPr>
        <w:rPr>
          <w:rStyle w:val="25"/>
          <w:b w:val="0"/>
          <w:bCs w:val="0"/>
          <w:color w:val="000000"/>
          <w:sz w:val="20"/>
          <w:szCs w:val="20"/>
          <w:lang w:val="ru-RU"/>
        </w:rPr>
      </w:pPr>
    </w:p>
    <w:p w:rsidR="002956C0" w:rsidRDefault="002956C0" w:rsidP="00A40A73">
      <w:pPr>
        <w:rPr>
          <w:rStyle w:val="25"/>
          <w:b w:val="0"/>
          <w:bCs w:val="0"/>
          <w:color w:val="000000"/>
          <w:sz w:val="20"/>
          <w:szCs w:val="20"/>
          <w:lang w:val="ru-RU"/>
        </w:rPr>
      </w:pPr>
    </w:p>
    <w:p w:rsidR="00A40A73" w:rsidRPr="00DB0AC3" w:rsidRDefault="00A40A73" w:rsidP="00A40A73">
      <w:pPr>
        <w:rPr>
          <w:rStyle w:val="25"/>
          <w:b w:val="0"/>
          <w:bCs w:val="0"/>
          <w:color w:val="000000"/>
          <w:sz w:val="20"/>
          <w:szCs w:val="20"/>
          <w:lang w:val="ru-RU"/>
        </w:rPr>
      </w:pPr>
      <w:r w:rsidRPr="00DB0AC3">
        <w:rPr>
          <w:rStyle w:val="25"/>
          <w:b w:val="0"/>
          <w:bCs w:val="0"/>
          <w:color w:val="000000"/>
          <w:sz w:val="20"/>
          <w:szCs w:val="20"/>
          <w:lang w:val="ru-RU"/>
        </w:rPr>
        <w:t>Сверка существенных активов и обязательств за год, закончившийся 31 декабря 2013 года, и капитальных затрат за 2013 год представлен</w:t>
      </w:r>
      <w:r w:rsidR="002956C0">
        <w:rPr>
          <w:rStyle w:val="25"/>
          <w:b w:val="0"/>
          <w:bCs w:val="0"/>
          <w:color w:val="000000"/>
          <w:sz w:val="20"/>
          <w:szCs w:val="20"/>
          <w:lang w:val="ru-RU"/>
        </w:rPr>
        <w:t>а</w:t>
      </w:r>
      <w:r w:rsidRPr="00DB0AC3">
        <w:rPr>
          <w:rStyle w:val="25"/>
          <w:b w:val="0"/>
          <w:bCs w:val="0"/>
          <w:color w:val="000000"/>
          <w:sz w:val="20"/>
          <w:szCs w:val="20"/>
          <w:lang w:val="ru-RU"/>
        </w:rPr>
        <w:t xml:space="preserve"> ниже:</w:t>
      </w:r>
    </w:p>
    <w:p w:rsidR="00A40A73" w:rsidRPr="00DB0AC3" w:rsidRDefault="00A40A73" w:rsidP="00A40A73">
      <w:pPr>
        <w:rPr>
          <w:rStyle w:val="25"/>
          <w:b w:val="0"/>
          <w:bCs w:val="0"/>
          <w:color w:val="000000"/>
          <w:sz w:val="20"/>
          <w:szCs w:val="20"/>
          <w:lang w:val="ru-RU"/>
        </w:rPr>
      </w:pPr>
    </w:p>
    <w:tbl>
      <w:tblPr>
        <w:tblW w:w="5199" w:type="pct"/>
        <w:tblLayout w:type="fixed"/>
        <w:tblLook w:val="04A0"/>
      </w:tblPr>
      <w:tblGrid>
        <w:gridCol w:w="3228"/>
        <w:gridCol w:w="1278"/>
        <w:gridCol w:w="1097"/>
        <w:gridCol w:w="1168"/>
        <w:gridCol w:w="987"/>
        <w:gridCol w:w="1147"/>
        <w:gridCol w:w="1418"/>
        <w:gridCol w:w="1126"/>
        <w:gridCol w:w="1156"/>
        <w:gridCol w:w="1135"/>
        <w:gridCol w:w="1121"/>
      </w:tblGrid>
      <w:tr w:rsidR="002956C0" w:rsidRPr="00DB0AC3" w:rsidTr="003B67AF">
        <w:trPr>
          <w:trHeight w:val="1500"/>
        </w:trPr>
        <w:tc>
          <w:tcPr>
            <w:tcW w:w="1086" w:type="pct"/>
            <w:tcBorders>
              <w:top w:val="nil"/>
              <w:left w:val="nil"/>
              <w:bottom w:val="nil"/>
              <w:right w:val="nil"/>
            </w:tcBorders>
            <w:shd w:val="clear" w:color="auto" w:fill="auto"/>
            <w:noWrap/>
            <w:vAlign w:val="bottom"/>
            <w:hideMark/>
          </w:tcPr>
          <w:p w:rsidR="00A40A73" w:rsidRPr="002956C0" w:rsidRDefault="00A40A73" w:rsidP="00A40A73">
            <w:pPr>
              <w:rPr>
                <w:rFonts w:cs="Arial"/>
                <w:color w:val="000000"/>
                <w:szCs w:val="18"/>
                <w:lang w:val="ru-RU"/>
              </w:rPr>
            </w:pPr>
          </w:p>
        </w:tc>
        <w:tc>
          <w:tcPr>
            <w:tcW w:w="429"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Итого по отчетным сегментам</w:t>
            </w:r>
          </w:p>
        </w:tc>
        <w:tc>
          <w:tcPr>
            <w:tcW w:w="369"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Отложен</w:t>
            </w:r>
            <w:r w:rsidR="002956C0">
              <w:rPr>
                <w:rFonts w:cs="Arial"/>
                <w:b/>
                <w:bCs/>
                <w:color w:val="000000"/>
                <w:szCs w:val="18"/>
                <w:lang w:val="ru-RU"/>
              </w:rPr>
              <w:t>-</w:t>
            </w:r>
            <w:r w:rsidRPr="002956C0">
              <w:rPr>
                <w:rFonts w:cs="Arial"/>
                <w:b/>
                <w:bCs/>
                <w:color w:val="000000"/>
                <w:szCs w:val="18"/>
                <w:lang w:val="ru-RU"/>
              </w:rPr>
              <w:t>ныйналого</w:t>
            </w:r>
            <w:r w:rsidR="00F93356">
              <w:rPr>
                <w:rFonts w:cs="Arial"/>
                <w:b/>
                <w:bCs/>
                <w:color w:val="000000"/>
                <w:szCs w:val="18"/>
                <w:lang w:val="ru-RU"/>
              </w:rPr>
              <w:t>-</w:t>
            </w:r>
            <w:r w:rsidRPr="002956C0">
              <w:rPr>
                <w:rFonts w:cs="Arial"/>
                <w:b/>
                <w:bCs/>
                <w:color w:val="000000"/>
                <w:szCs w:val="18"/>
                <w:lang w:val="ru-RU"/>
              </w:rPr>
              <w:t>вый актив</w:t>
            </w:r>
          </w:p>
        </w:tc>
        <w:tc>
          <w:tcPr>
            <w:tcW w:w="393"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Корректи</w:t>
            </w:r>
            <w:r w:rsidR="002956C0">
              <w:rPr>
                <w:rFonts w:cs="Arial"/>
                <w:b/>
                <w:bCs/>
                <w:color w:val="000000"/>
                <w:szCs w:val="18"/>
                <w:lang w:val="ru-RU"/>
              </w:rPr>
              <w:t>-ро</w:t>
            </w:r>
            <w:r w:rsidRPr="002956C0">
              <w:rPr>
                <w:rFonts w:cs="Arial"/>
                <w:b/>
                <w:bCs/>
                <w:color w:val="000000"/>
                <w:szCs w:val="18"/>
                <w:lang w:val="ru-RU"/>
              </w:rPr>
              <w:t>вка по стоимости основных средств</w:t>
            </w:r>
          </w:p>
        </w:tc>
        <w:tc>
          <w:tcPr>
            <w:tcW w:w="332" w:type="pct"/>
            <w:tcBorders>
              <w:top w:val="nil"/>
              <w:left w:val="nil"/>
              <w:bottom w:val="single" w:sz="4" w:space="0" w:color="auto"/>
              <w:right w:val="nil"/>
            </w:tcBorders>
            <w:shd w:val="clear" w:color="auto" w:fill="auto"/>
            <w:vAlign w:val="bottom"/>
            <w:hideMark/>
          </w:tcPr>
          <w:p w:rsidR="00A40A73" w:rsidRPr="002956C0" w:rsidRDefault="00A40A73" w:rsidP="002956C0">
            <w:pPr>
              <w:jc w:val="center"/>
              <w:rPr>
                <w:rFonts w:cs="Arial"/>
                <w:b/>
                <w:bCs/>
                <w:color w:val="000000"/>
                <w:szCs w:val="18"/>
                <w:lang w:val="ru-RU"/>
              </w:rPr>
            </w:pPr>
            <w:r w:rsidRPr="002956C0">
              <w:rPr>
                <w:rFonts w:cs="Arial"/>
                <w:b/>
                <w:bCs/>
                <w:color w:val="000000"/>
                <w:szCs w:val="18"/>
                <w:lang w:val="ru-RU"/>
              </w:rPr>
              <w:t>Обесце-нение активов</w:t>
            </w:r>
          </w:p>
        </w:tc>
        <w:tc>
          <w:tcPr>
            <w:tcW w:w="386"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Резерв по обязатель-ствам кредитного характера</w:t>
            </w:r>
          </w:p>
        </w:tc>
        <w:tc>
          <w:tcPr>
            <w:tcW w:w="477"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Резерв по неисполь-зованным отпускам</w:t>
            </w:r>
          </w:p>
        </w:tc>
        <w:tc>
          <w:tcPr>
            <w:tcW w:w="379"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Оценка кредитов клиентам</w:t>
            </w:r>
          </w:p>
        </w:tc>
        <w:tc>
          <w:tcPr>
            <w:tcW w:w="389"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Рекласси-фикация</w:t>
            </w:r>
          </w:p>
        </w:tc>
        <w:tc>
          <w:tcPr>
            <w:tcW w:w="382"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Прочие корректи-ровки</w:t>
            </w:r>
          </w:p>
        </w:tc>
        <w:tc>
          <w:tcPr>
            <w:tcW w:w="378" w:type="pct"/>
            <w:tcBorders>
              <w:top w:val="nil"/>
              <w:left w:val="nil"/>
              <w:bottom w:val="single" w:sz="4" w:space="0" w:color="auto"/>
              <w:right w:val="nil"/>
            </w:tcBorders>
            <w:shd w:val="clear" w:color="auto" w:fill="auto"/>
            <w:vAlign w:val="bottom"/>
            <w:hideMark/>
          </w:tcPr>
          <w:p w:rsidR="00A40A73" w:rsidRPr="002956C0" w:rsidRDefault="00A40A73" w:rsidP="00A40A73">
            <w:pPr>
              <w:jc w:val="center"/>
              <w:rPr>
                <w:rFonts w:cs="Arial"/>
                <w:b/>
                <w:bCs/>
                <w:color w:val="000000"/>
                <w:szCs w:val="18"/>
                <w:lang w:val="ru-RU"/>
              </w:rPr>
            </w:pPr>
            <w:r w:rsidRPr="002956C0">
              <w:rPr>
                <w:rFonts w:cs="Arial"/>
                <w:b/>
                <w:bCs/>
                <w:color w:val="000000"/>
                <w:szCs w:val="18"/>
                <w:lang w:val="ru-RU"/>
              </w:rPr>
              <w:t>По МСФО</w:t>
            </w:r>
          </w:p>
        </w:tc>
      </w:tr>
      <w:tr w:rsidR="002956C0" w:rsidRPr="00DB0AC3" w:rsidTr="003B67AF">
        <w:trPr>
          <w:trHeight w:val="300"/>
        </w:trPr>
        <w:tc>
          <w:tcPr>
            <w:tcW w:w="1516" w:type="pct"/>
            <w:gridSpan w:val="2"/>
            <w:tcBorders>
              <w:top w:val="nil"/>
              <w:left w:val="nil"/>
              <w:bottom w:val="nil"/>
              <w:right w:val="nil"/>
            </w:tcBorders>
            <w:shd w:val="clear" w:color="auto" w:fill="auto"/>
            <w:noWrap/>
            <w:vAlign w:val="bottom"/>
            <w:hideMark/>
          </w:tcPr>
          <w:p w:rsidR="00A40A73" w:rsidRPr="002956C0" w:rsidRDefault="00A40A73" w:rsidP="002956C0">
            <w:pPr>
              <w:rPr>
                <w:rFonts w:cs="Arial"/>
                <w:b/>
                <w:bCs/>
                <w:color w:val="000000"/>
                <w:szCs w:val="18"/>
                <w:lang w:val="ru-RU"/>
              </w:rPr>
            </w:pPr>
            <w:r w:rsidRPr="002956C0">
              <w:rPr>
                <w:rFonts w:cs="Arial"/>
                <w:b/>
                <w:bCs/>
                <w:color w:val="000000"/>
                <w:szCs w:val="18"/>
                <w:lang w:val="ru-RU"/>
              </w:rPr>
              <w:t>Активы на 31 декабря 2013</w:t>
            </w:r>
            <w:r w:rsidR="003606F4">
              <w:rPr>
                <w:rFonts w:cs="Arial"/>
                <w:b/>
                <w:bCs/>
                <w:color w:val="000000"/>
                <w:szCs w:val="18"/>
                <w:lang w:val="ru-RU"/>
              </w:rPr>
              <w:t xml:space="preserve"> года</w:t>
            </w:r>
          </w:p>
        </w:tc>
        <w:tc>
          <w:tcPr>
            <w:tcW w:w="369"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93"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32"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86"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477"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79"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89"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82"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78"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r>
      <w:tr w:rsidR="002956C0" w:rsidRPr="00DB0AC3" w:rsidTr="003B67AF">
        <w:trPr>
          <w:trHeight w:val="300"/>
        </w:trPr>
        <w:tc>
          <w:tcPr>
            <w:tcW w:w="1086" w:type="pct"/>
            <w:tcBorders>
              <w:top w:val="nil"/>
              <w:left w:val="nil"/>
              <w:bottom w:val="nil"/>
              <w:right w:val="nil"/>
            </w:tcBorders>
            <w:shd w:val="clear" w:color="auto" w:fill="auto"/>
            <w:noWrap/>
            <w:vAlign w:val="bottom"/>
            <w:hideMark/>
          </w:tcPr>
          <w:p w:rsidR="00A40A73" w:rsidRPr="002956C0" w:rsidRDefault="00A40A73" w:rsidP="002956C0">
            <w:pPr>
              <w:rPr>
                <w:rFonts w:cs="Arial"/>
                <w:color w:val="000000"/>
                <w:szCs w:val="18"/>
                <w:lang w:val="ru-RU"/>
              </w:rPr>
            </w:pPr>
            <w:r w:rsidRPr="002956C0">
              <w:rPr>
                <w:rFonts w:cs="Arial"/>
                <w:color w:val="000000"/>
                <w:szCs w:val="18"/>
                <w:lang w:val="ru-RU"/>
              </w:rPr>
              <w:t>Внеоборотные активы, удерживаемые для продажи</w:t>
            </w:r>
          </w:p>
        </w:tc>
        <w:tc>
          <w:tcPr>
            <w:tcW w:w="429"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69"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93"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32"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6"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477"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79"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9"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17 071</w:t>
            </w:r>
          </w:p>
        </w:tc>
        <w:tc>
          <w:tcPr>
            <w:tcW w:w="382"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78" w:type="pct"/>
            <w:tcBorders>
              <w:top w:val="nil"/>
              <w:left w:val="nil"/>
              <w:bottom w:val="nil"/>
              <w:right w:val="nil"/>
            </w:tcBorders>
            <w:shd w:val="clear" w:color="auto" w:fill="auto"/>
            <w:noWrap/>
            <w:vAlign w:val="bottom"/>
            <w:hideMark/>
          </w:tcPr>
          <w:p w:rsidR="00A40A73" w:rsidRPr="002956C0" w:rsidRDefault="00A40A73" w:rsidP="002956C0">
            <w:pPr>
              <w:jc w:val="right"/>
              <w:rPr>
                <w:rFonts w:cs="Arial"/>
                <w:b/>
                <w:bCs/>
                <w:color w:val="000000"/>
                <w:szCs w:val="18"/>
                <w:lang w:val="ru-RU"/>
              </w:rPr>
            </w:pPr>
            <w:r w:rsidRPr="002956C0">
              <w:rPr>
                <w:rFonts w:cs="Arial"/>
                <w:b/>
                <w:bCs/>
                <w:color w:val="000000"/>
                <w:szCs w:val="18"/>
                <w:lang w:val="ru-RU"/>
              </w:rPr>
              <w:t>17 071</w:t>
            </w:r>
          </w:p>
        </w:tc>
      </w:tr>
      <w:tr w:rsidR="002956C0" w:rsidRPr="00DB0AC3" w:rsidTr="003B67AF">
        <w:trPr>
          <w:trHeight w:val="300"/>
        </w:trPr>
        <w:tc>
          <w:tcPr>
            <w:tcW w:w="1086" w:type="pct"/>
            <w:tcBorders>
              <w:top w:val="nil"/>
              <w:left w:val="nil"/>
              <w:bottom w:val="nil"/>
              <w:right w:val="nil"/>
            </w:tcBorders>
            <w:shd w:val="clear" w:color="auto" w:fill="auto"/>
            <w:noWrap/>
            <w:vAlign w:val="bottom"/>
            <w:hideMark/>
          </w:tcPr>
          <w:p w:rsidR="00A40A73" w:rsidRPr="002956C0" w:rsidRDefault="00A40A73" w:rsidP="002956C0">
            <w:pPr>
              <w:rPr>
                <w:rFonts w:cs="Arial"/>
                <w:color w:val="000000"/>
                <w:szCs w:val="18"/>
                <w:lang w:val="ru-RU"/>
              </w:rPr>
            </w:pPr>
            <w:r w:rsidRPr="002956C0">
              <w:rPr>
                <w:rFonts w:cs="Arial"/>
                <w:color w:val="000000"/>
                <w:szCs w:val="18"/>
                <w:lang w:val="ru-RU"/>
              </w:rPr>
              <w:t>Прочие отчетные сегментные активы</w:t>
            </w:r>
          </w:p>
        </w:tc>
        <w:tc>
          <w:tcPr>
            <w:tcW w:w="42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46 280 244</w:t>
            </w:r>
          </w:p>
        </w:tc>
        <w:tc>
          <w:tcPr>
            <w:tcW w:w="36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35 799</w:t>
            </w:r>
          </w:p>
        </w:tc>
        <w:tc>
          <w:tcPr>
            <w:tcW w:w="393"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47 119</w:t>
            </w:r>
          </w:p>
        </w:tc>
        <w:tc>
          <w:tcPr>
            <w:tcW w:w="332" w:type="pct"/>
            <w:tcBorders>
              <w:top w:val="nil"/>
              <w:left w:val="nil"/>
              <w:bottom w:val="single" w:sz="4" w:space="0" w:color="auto"/>
              <w:right w:val="nil"/>
            </w:tcBorders>
            <w:shd w:val="clear" w:color="auto" w:fill="auto"/>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(63 887)</w:t>
            </w:r>
          </w:p>
        </w:tc>
        <w:tc>
          <w:tcPr>
            <w:tcW w:w="386"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477"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7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188 587</w:t>
            </w:r>
          </w:p>
        </w:tc>
        <w:tc>
          <w:tcPr>
            <w:tcW w:w="389" w:type="pct"/>
            <w:tcBorders>
              <w:top w:val="nil"/>
              <w:left w:val="nil"/>
              <w:bottom w:val="single" w:sz="4" w:space="0" w:color="auto"/>
              <w:right w:val="nil"/>
            </w:tcBorders>
            <w:shd w:val="clear" w:color="auto" w:fill="auto"/>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(17 071)</w:t>
            </w:r>
          </w:p>
        </w:tc>
        <w:tc>
          <w:tcPr>
            <w:tcW w:w="382"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20 169</w:t>
            </w:r>
          </w:p>
        </w:tc>
        <w:tc>
          <w:tcPr>
            <w:tcW w:w="378"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b/>
                <w:bCs/>
                <w:color w:val="000000"/>
                <w:szCs w:val="18"/>
                <w:lang w:val="ru-RU"/>
              </w:rPr>
            </w:pPr>
            <w:r w:rsidRPr="002956C0">
              <w:rPr>
                <w:rFonts w:cs="Arial"/>
                <w:b/>
                <w:bCs/>
                <w:color w:val="000000"/>
                <w:szCs w:val="18"/>
                <w:lang w:val="ru-RU"/>
              </w:rPr>
              <w:t>46 490 960</w:t>
            </w:r>
          </w:p>
        </w:tc>
      </w:tr>
      <w:tr w:rsidR="002956C0" w:rsidRPr="00DB0AC3" w:rsidTr="003B67AF">
        <w:trPr>
          <w:trHeight w:val="300"/>
        </w:trPr>
        <w:tc>
          <w:tcPr>
            <w:tcW w:w="1516" w:type="pct"/>
            <w:gridSpan w:val="2"/>
            <w:tcBorders>
              <w:top w:val="nil"/>
              <w:left w:val="nil"/>
              <w:bottom w:val="nil"/>
              <w:right w:val="nil"/>
            </w:tcBorders>
            <w:shd w:val="clear" w:color="auto" w:fill="auto"/>
            <w:noWrap/>
            <w:vAlign w:val="bottom"/>
            <w:hideMark/>
          </w:tcPr>
          <w:p w:rsidR="00A40A73" w:rsidRPr="002956C0" w:rsidRDefault="00A40A73" w:rsidP="002956C0">
            <w:pPr>
              <w:rPr>
                <w:rFonts w:cs="Arial"/>
                <w:b/>
                <w:bCs/>
                <w:color w:val="000000"/>
                <w:szCs w:val="18"/>
                <w:lang w:val="ru-RU"/>
              </w:rPr>
            </w:pPr>
            <w:r w:rsidRPr="002956C0">
              <w:rPr>
                <w:rFonts w:cs="Arial"/>
                <w:b/>
                <w:bCs/>
                <w:color w:val="000000"/>
                <w:szCs w:val="18"/>
                <w:lang w:val="ru-RU"/>
              </w:rPr>
              <w:t>Обязательства на 31 декабря 2013</w:t>
            </w:r>
            <w:r w:rsidR="003606F4">
              <w:rPr>
                <w:rFonts w:cs="Arial"/>
                <w:b/>
                <w:bCs/>
                <w:color w:val="000000"/>
                <w:szCs w:val="18"/>
                <w:lang w:val="ru-RU"/>
              </w:rPr>
              <w:t xml:space="preserve"> года</w:t>
            </w:r>
          </w:p>
        </w:tc>
        <w:tc>
          <w:tcPr>
            <w:tcW w:w="369"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93"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32"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86"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477"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79"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89"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82"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color w:val="000000"/>
                <w:szCs w:val="18"/>
                <w:lang w:val="ru-RU"/>
              </w:rPr>
            </w:pPr>
          </w:p>
        </w:tc>
        <w:tc>
          <w:tcPr>
            <w:tcW w:w="378" w:type="pct"/>
            <w:tcBorders>
              <w:top w:val="nil"/>
              <w:left w:val="nil"/>
              <w:bottom w:val="nil"/>
              <w:right w:val="nil"/>
            </w:tcBorders>
            <w:shd w:val="clear" w:color="auto" w:fill="auto"/>
            <w:noWrap/>
            <w:vAlign w:val="bottom"/>
            <w:hideMark/>
          </w:tcPr>
          <w:p w:rsidR="00A40A73" w:rsidRPr="002956C0" w:rsidRDefault="00A40A73" w:rsidP="00A40A73">
            <w:pPr>
              <w:jc w:val="right"/>
              <w:rPr>
                <w:rFonts w:cs="Arial"/>
                <w:b/>
                <w:bCs/>
                <w:color w:val="000000"/>
                <w:szCs w:val="18"/>
                <w:lang w:val="ru-RU"/>
              </w:rPr>
            </w:pPr>
          </w:p>
        </w:tc>
      </w:tr>
      <w:tr w:rsidR="002956C0" w:rsidRPr="00DB0AC3" w:rsidTr="003B67AF">
        <w:trPr>
          <w:trHeight w:val="300"/>
        </w:trPr>
        <w:tc>
          <w:tcPr>
            <w:tcW w:w="1086" w:type="pct"/>
            <w:tcBorders>
              <w:top w:val="nil"/>
              <w:left w:val="nil"/>
              <w:bottom w:val="nil"/>
              <w:right w:val="nil"/>
            </w:tcBorders>
            <w:shd w:val="clear" w:color="auto" w:fill="auto"/>
            <w:noWrap/>
            <w:vAlign w:val="bottom"/>
            <w:hideMark/>
          </w:tcPr>
          <w:p w:rsidR="00A40A73" w:rsidRPr="002956C0" w:rsidRDefault="00A40A73" w:rsidP="002956C0">
            <w:pPr>
              <w:rPr>
                <w:rFonts w:cs="Arial"/>
                <w:color w:val="000000"/>
                <w:szCs w:val="18"/>
                <w:lang w:val="ru-RU"/>
              </w:rPr>
            </w:pPr>
            <w:r w:rsidRPr="002956C0">
              <w:rPr>
                <w:rFonts w:cs="Arial"/>
                <w:color w:val="000000"/>
                <w:szCs w:val="18"/>
                <w:lang w:val="ru-RU"/>
              </w:rPr>
              <w:t>Прочие отчетные сегментные обязательства</w:t>
            </w:r>
          </w:p>
        </w:tc>
        <w:tc>
          <w:tcPr>
            <w:tcW w:w="42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42 431 644</w:t>
            </w:r>
          </w:p>
        </w:tc>
        <w:tc>
          <w:tcPr>
            <w:tcW w:w="36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93"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32"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6"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109 271</w:t>
            </w:r>
          </w:p>
        </w:tc>
        <w:tc>
          <w:tcPr>
            <w:tcW w:w="477" w:type="pct"/>
            <w:tcBorders>
              <w:top w:val="nil"/>
              <w:left w:val="nil"/>
              <w:bottom w:val="single" w:sz="4" w:space="0" w:color="auto"/>
              <w:right w:val="nil"/>
            </w:tcBorders>
            <w:shd w:val="clear" w:color="auto" w:fill="auto"/>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(19 002)</w:t>
            </w:r>
          </w:p>
        </w:tc>
        <w:tc>
          <w:tcPr>
            <w:tcW w:w="37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9"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2" w:type="pct"/>
            <w:tcBorders>
              <w:top w:val="nil"/>
              <w:left w:val="nil"/>
              <w:bottom w:val="single" w:sz="4" w:space="0" w:color="auto"/>
              <w:right w:val="nil"/>
            </w:tcBorders>
            <w:shd w:val="clear" w:color="auto" w:fill="auto"/>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(79 198)</w:t>
            </w:r>
          </w:p>
        </w:tc>
        <w:tc>
          <w:tcPr>
            <w:tcW w:w="378" w:type="pct"/>
            <w:tcBorders>
              <w:top w:val="nil"/>
              <w:left w:val="nil"/>
              <w:bottom w:val="single" w:sz="4" w:space="0" w:color="auto"/>
              <w:right w:val="nil"/>
            </w:tcBorders>
            <w:shd w:val="clear" w:color="auto" w:fill="auto"/>
            <w:noWrap/>
            <w:vAlign w:val="bottom"/>
            <w:hideMark/>
          </w:tcPr>
          <w:p w:rsidR="00A40A73" w:rsidRPr="002956C0" w:rsidRDefault="00A40A73" w:rsidP="002956C0">
            <w:pPr>
              <w:jc w:val="right"/>
              <w:rPr>
                <w:rFonts w:cs="Arial"/>
                <w:b/>
                <w:bCs/>
                <w:color w:val="000000"/>
                <w:szCs w:val="18"/>
                <w:lang w:val="ru-RU"/>
              </w:rPr>
            </w:pPr>
            <w:r w:rsidRPr="002956C0">
              <w:rPr>
                <w:rFonts w:cs="Arial"/>
                <w:b/>
                <w:bCs/>
                <w:color w:val="000000"/>
                <w:szCs w:val="18"/>
                <w:lang w:val="ru-RU"/>
              </w:rPr>
              <w:t>42 442 715</w:t>
            </w:r>
          </w:p>
        </w:tc>
      </w:tr>
      <w:tr w:rsidR="002956C0" w:rsidRPr="00DB0AC3" w:rsidTr="003B67AF">
        <w:trPr>
          <w:trHeight w:val="315"/>
        </w:trPr>
        <w:tc>
          <w:tcPr>
            <w:tcW w:w="1086" w:type="pct"/>
            <w:tcBorders>
              <w:top w:val="nil"/>
              <w:left w:val="nil"/>
              <w:bottom w:val="nil"/>
              <w:right w:val="nil"/>
            </w:tcBorders>
            <w:shd w:val="clear" w:color="auto" w:fill="auto"/>
            <w:noWrap/>
            <w:vAlign w:val="bottom"/>
            <w:hideMark/>
          </w:tcPr>
          <w:p w:rsidR="00A40A73" w:rsidRPr="002956C0" w:rsidRDefault="00A40A73" w:rsidP="002956C0">
            <w:pPr>
              <w:rPr>
                <w:rFonts w:cs="Arial"/>
                <w:b/>
                <w:bCs/>
                <w:color w:val="000000"/>
                <w:szCs w:val="18"/>
                <w:lang w:val="ru-RU"/>
              </w:rPr>
            </w:pPr>
            <w:r w:rsidRPr="002956C0">
              <w:rPr>
                <w:rFonts w:cs="Arial"/>
                <w:b/>
                <w:bCs/>
                <w:color w:val="000000"/>
                <w:szCs w:val="18"/>
                <w:lang w:val="ru-RU"/>
              </w:rPr>
              <w:t>Капитальные затраты за 2013</w:t>
            </w:r>
            <w:r w:rsidR="003606F4">
              <w:rPr>
                <w:rFonts w:cs="Arial"/>
                <w:b/>
                <w:bCs/>
                <w:color w:val="000000"/>
                <w:szCs w:val="18"/>
                <w:lang w:val="ru-RU"/>
              </w:rPr>
              <w:t xml:space="preserve"> год</w:t>
            </w:r>
          </w:p>
        </w:tc>
        <w:tc>
          <w:tcPr>
            <w:tcW w:w="429"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31 256</w:t>
            </w:r>
          </w:p>
        </w:tc>
        <w:tc>
          <w:tcPr>
            <w:tcW w:w="369"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93"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32"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6"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477"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79"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9"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82"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color w:val="000000"/>
                <w:szCs w:val="18"/>
                <w:lang w:val="ru-RU"/>
              </w:rPr>
            </w:pPr>
            <w:r w:rsidRPr="002956C0">
              <w:rPr>
                <w:rFonts w:cs="Arial"/>
                <w:color w:val="000000"/>
                <w:szCs w:val="18"/>
                <w:lang w:val="ru-RU"/>
              </w:rPr>
              <w:t>-</w:t>
            </w:r>
          </w:p>
        </w:tc>
        <w:tc>
          <w:tcPr>
            <w:tcW w:w="378" w:type="pct"/>
            <w:tcBorders>
              <w:top w:val="nil"/>
              <w:left w:val="nil"/>
              <w:bottom w:val="double" w:sz="6" w:space="0" w:color="auto"/>
              <w:right w:val="nil"/>
            </w:tcBorders>
            <w:shd w:val="clear" w:color="auto" w:fill="auto"/>
            <w:noWrap/>
            <w:vAlign w:val="bottom"/>
            <w:hideMark/>
          </w:tcPr>
          <w:p w:rsidR="00A40A73" w:rsidRPr="002956C0" w:rsidRDefault="00A40A73" w:rsidP="002956C0">
            <w:pPr>
              <w:jc w:val="right"/>
              <w:rPr>
                <w:rFonts w:cs="Arial"/>
                <w:b/>
                <w:bCs/>
                <w:color w:val="000000"/>
                <w:szCs w:val="18"/>
                <w:lang w:val="ru-RU"/>
              </w:rPr>
            </w:pPr>
            <w:r w:rsidRPr="002956C0">
              <w:rPr>
                <w:rFonts w:cs="Arial"/>
                <w:b/>
                <w:bCs/>
                <w:color w:val="000000"/>
                <w:szCs w:val="18"/>
                <w:lang w:val="ru-RU"/>
              </w:rPr>
              <w:t>31 256</w:t>
            </w:r>
          </w:p>
        </w:tc>
      </w:tr>
    </w:tbl>
    <w:p w:rsidR="005C1ECD" w:rsidRPr="00DB0AC3" w:rsidRDefault="005C1ECD" w:rsidP="0009607F">
      <w:pPr>
        <w:rPr>
          <w:rFonts w:cs="Arial"/>
          <w:sz w:val="20"/>
          <w:lang w:val="ru-RU"/>
        </w:rPr>
        <w:sectPr w:rsidR="005C1ECD" w:rsidRPr="00DB0AC3" w:rsidSect="005C1ECD">
          <w:pgSz w:w="16840" w:h="11909" w:orient="landscape"/>
          <w:pgMar w:top="1440" w:right="1430" w:bottom="862" w:left="1334" w:header="0" w:footer="3" w:gutter="0"/>
          <w:cols w:space="720"/>
          <w:noEndnote/>
          <w:titlePg/>
          <w:docGrid w:linePitch="360"/>
        </w:sectPr>
      </w:pPr>
    </w:p>
    <w:p w:rsidR="00AC14AB" w:rsidRPr="00DB0AC3" w:rsidRDefault="00B17649" w:rsidP="000C46F8">
      <w:pPr>
        <w:pStyle w:val="1"/>
        <w:keepLines/>
        <w:pageBreakBefore/>
        <w:spacing w:before="0"/>
        <w:rPr>
          <w:rFonts w:cs="Arial"/>
          <w:szCs w:val="24"/>
          <w:lang w:val="ru-RU"/>
        </w:rPr>
      </w:pPr>
      <w:bookmarkStart w:id="228" w:name="_Управление_финансовыми_рисками_1"/>
      <w:bookmarkStart w:id="229" w:name="_Toc441479818"/>
      <w:bookmarkEnd w:id="223"/>
      <w:bookmarkEnd w:id="224"/>
      <w:bookmarkEnd w:id="225"/>
      <w:bookmarkEnd w:id="226"/>
      <w:bookmarkEnd w:id="228"/>
      <w:r w:rsidRPr="00DB0AC3">
        <w:rPr>
          <w:rFonts w:cs="Arial"/>
          <w:szCs w:val="24"/>
          <w:lang w:val="ru-RU"/>
        </w:rPr>
        <w:lastRenderedPageBreak/>
        <w:t>Условные и непредвиденные обязательства</w:t>
      </w:r>
      <w:bookmarkEnd w:id="229"/>
    </w:p>
    <w:p w:rsidR="006D3F33" w:rsidRPr="00DB0AC3" w:rsidRDefault="00E01D35" w:rsidP="006D3F33">
      <w:pPr>
        <w:pStyle w:val="210"/>
        <w:shd w:val="clear" w:color="auto" w:fill="auto"/>
        <w:spacing w:line="216" w:lineRule="exact"/>
        <w:ind w:firstLine="0"/>
        <w:rPr>
          <w:i/>
          <w:sz w:val="20"/>
          <w:szCs w:val="24"/>
        </w:rPr>
      </w:pPr>
      <w:r w:rsidRPr="00DB0AC3">
        <w:rPr>
          <w:i/>
          <w:sz w:val="20"/>
          <w:szCs w:val="24"/>
        </w:rPr>
        <w:t>Судебные разбирательства</w:t>
      </w:r>
    </w:p>
    <w:p w:rsidR="006D3F33" w:rsidRPr="00DB0AC3" w:rsidRDefault="006D3F33" w:rsidP="008D183B">
      <w:pPr>
        <w:pStyle w:val="afe"/>
        <w:jc w:val="both"/>
        <w:rPr>
          <w:rFonts w:ascii="Arial" w:hAnsi="Arial" w:cs="Arial"/>
          <w:bCs/>
          <w:sz w:val="20"/>
        </w:rPr>
      </w:pPr>
      <w:r w:rsidRPr="00DB0AC3">
        <w:rPr>
          <w:rFonts w:ascii="Arial" w:hAnsi="Arial" w:cs="Arial"/>
          <w:bCs/>
          <w:sz w:val="20"/>
        </w:rPr>
        <w:t>По состоянию на 31 декабря 2014</w:t>
      </w:r>
      <w:r w:rsidR="00E03802" w:rsidRPr="00DB0AC3">
        <w:rPr>
          <w:rFonts w:ascii="Arial" w:hAnsi="Arial" w:cs="Arial"/>
          <w:bCs/>
          <w:sz w:val="20"/>
        </w:rPr>
        <w:t xml:space="preserve"> г. Банк был ответчиком по искам</w:t>
      </w:r>
      <w:r w:rsidR="00B84D52">
        <w:rPr>
          <w:rFonts w:ascii="Arial" w:hAnsi="Arial" w:cs="Arial"/>
          <w:bCs/>
          <w:sz w:val="20"/>
        </w:rPr>
        <w:t xml:space="preserve"> </w:t>
      </w:r>
      <w:r w:rsidR="00E03802" w:rsidRPr="00DB0AC3">
        <w:rPr>
          <w:rFonts w:ascii="Arial" w:hAnsi="Arial" w:cs="Arial"/>
          <w:bCs/>
          <w:sz w:val="20"/>
        </w:rPr>
        <w:t xml:space="preserve">ООО "ГК "УНР 427 Электра" на сумму 46 424 тысячи рублей </w:t>
      </w:r>
      <w:r w:rsidRPr="00DB0AC3">
        <w:rPr>
          <w:rFonts w:ascii="Arial" w:hAnsi="Arial" w:cs="Arial"/>
          <w:bCs/>
          <w:sz w:val="20"/>
        </w:rPr>
        <w:t>в отношении выплаты денежных средств</w:t>
      </w:r>
      <w:r w:rsidR="00E03802" w:rsidRPr="00DB0AC3">
        <w:rPr>
          <w:rFonts w:ascii="Arial" w:hAnsi="Arial" w:cs="Arial"/>
          <w:bCs/>
          <w:sz w:val="20"/>
        </w:rPr>
        <w:t xml:space="preserve">, </w:t>
      </w:r>
      <w:r w:rsidRPr="00DB0AC3">
        <w:rPr>
          <w:rFonts w:ascii="Arial" w:hAnsi="Arial" w:cs="Arial"/>
          <w:bCs/>
          <w:sz w:val="20"/>
        </w:rPr>
        <w:t xml:space="preserve"> по</w:t>
      </w:r>
      <w:r w:rsidR="00E03802" w:rsidRPr="00DB0AC3">
        <w:rPr>
          <w:rFonts w:ascii="Arial" w:hAnsi="Arial" w:cs="Arial"/>
          <w:bCs/>
          <w:sz w:val="20"/>
        </w:rPr>
        <w:t>лучение Банком которых оспаривалось в рамках законодательства о банкротстве, а также по иску физического лица на сумму 180 тысяч рублей.</w:t>
      </w:r>
      <w:r w:rsidR="00B84D52">
        <w:rPr>
          <w:rFonts w:ascii="Arial" w:hAnsi="Arial" w:cs="Arial"/>
          <w:bCs/>
          <w:sz w:val="20"/>
        </w:rPr>
        <w:t xml:space="preserve"> </w:t>
      </w:r>
      <w:r w:rsidR="00E03802" w:rsidRPr="00DB0AC3">
        <w:rPr>
          <w:rFonts w:ascii="Arial" w:hAnsi="Arial" w:cs="Arial"/>
          <w:bCs/>
          <w:sz w:val="20"/>
        </w:rPr>
        <w:t>На дату составления отчетности по искам ООО "ГК "УНР 427 Электра" денежные средства выплачены Банком, на данные сумы Банк включен в реестр требований кредиторов. Исполнительный лист физическим лицом не предъявлен.</w:t>
      </w:r>
      <w:r w:rsidR="009B6B5B" w:rsidRPr="00DB0AC3">
        <w:rPr>
          <w:rFonts w:ascii="Arial" w:hAnsi="Arial" w:cs="Arial"/>
          <w:bCs/>
          <w:sz w:val="20"/>
        </w:rPr>
        <w:t xml:space="preserve"> По предъявленным искам создан резерв в размере 46</w:t>
      </w:r>
      <w:r w:rsidR="00C92525">
        <w:rPr>
          <w:rFonts w:ascii="Arial" w:hAnsi="Arial" w:cs="Arial"/>
          <w:bCs/>
          <w:sz w:val="20"/>
        </w:rPr>
        <w:t> </w:t>
      </w:r>
      <w:r w:rsidR="009B6B5B" w:rsidRPr="00DB0AC3">
        <w:rPr>
          <w:rFonts w:ascii="Arial" w:hAnsi="Arial" w:cs="Arial"/>
          <w:bCs/>
          <w:sz w:val="20"/>
        </w:rPr>
        <w:t>604</w:t>
      </w:r>
      <w:r w:rsidR="00223155" w:rsidRPr="00DB0AC3">
        <w:rPr>
          <w:rFonts w:ascii="Arial" w:hAnsi="Arial" w:cs="Arial"/>
          <w:bCs/>
          <w:sz w:val="20"/>
        </w:rPr>
        <w:t>тысяч</w:t>
      </w:r>
      <w:r w:rsidR="001B4703" w:rsidRPr="00DB0AC3">
        <w:rPr>
          <w:rFonts w:ascii="Arial" w:hAnsi="Arial" w:cs="Arial"/>
          <w:bCs/>
          <w:sz w:val="20"/>
        </w:rPr>
        <w:t>и</w:t>
      </w:r>
      <w:r w:rsidR="00223155" w:rsidRPr="00DB0AC3">
        <w:rPr>
          <w:rFonts w:ascii="Arial" w:hAnsi="Arial" w:cs="Arial"/>
          <w:bCs/>
          <w:sz w:val="20"/>
        </w:rPr>
        <w:t xml:space="preserve"> рублей</w:t>
      </w:r>
      <w:r w:rsidR="009B6B5B" w:rsidRPr="00DB0AC3">
        <w:rPr>
          <w:rFonts w:ascii="Arial" w:hAnsi="Arial" w:cs="Arial"/>
          <w:bCs/>
          <w:sz w:val="20"/>
        </w:rPr>
        <w:t>.</w:t>
      </w:r>
    </w:p>
    <w:p w:rsidR="0062600E" w:rsidRPr="00DB0AC3" w:rsidRDefault="0062600E">
      <w:pPr>
        <w:jc w:val="both"/>
        <w:rPr>
          <w:rFonts w:cs="Arial"/>
          <w:bCs/>
          <w:sz w:val="20"/>
          <w:szCs w:val="24"/>
          <w:lang w:val="ru-RU"/>
        </w:rPr>
      </w:pPr>
    </w:p>
    <w:p w:rsidR="0062600E" w:rsidRPr="00DB0AC3" w:rsidRDefault="006D3F33" w:rsidP="00C06AC5">
      <w:pPr>
        <w:pStyle w:val="210"/>
        <w:shd w:val="clear" w:color="auto" w:fill="auto"/>
        <w:spacing w:line="216" w:lineRule="exact"/>
        <w:ind w:firstLine="0"/>
        <w:jc w:val="both"/>
        <w:rPr>
          <w:b w:val="0"/>
          <w:bCs w:val="0"/>
          <w:sz w:val="20"/>
          <w:szCs w:val="24"/>
        </w:rPr>
      </w:pPr>
      <w:r w:rsidRPr="00DB0AC3">
        <w:rPr>
          <w:b w:val="0"/>
          <w:sz w:val="20"/>
          <w:szCs w:val="24"/>
        </w:rPr>
        <w:t xml:space="preserve">По состоянию на 31 декабря 2013 г. Банк был ответчиком по иску в отношении выплаты денежных средств по банковской гарантии в пользу ООО «Восточный уголь». На основании результатов судебного дела Банком был создан резерв </w:t>
      </w:r>
      <w:r w:rsidR="001A3019">
        <w:rPr>
          <w:b w:val="0"/>
          <w:sz w:val="20"/>
          <w:szCs w:val="24"/>
        </w:rPr>
        <w:t xml:space="preserve">на сумму 23 516 тысяч рублей, включенный </w:t>
      </w:r>
      <w:r w:rsidRPr="00DB0AC3">
        <w:rPr>
          <w:b w:val="0"/>
          <w:sz w:val="20"/>
          <w:szCs w:val="24"/>
        </w:rPr>
        <w:t xml:space="preserve">в финансовую отчетность как </w:t>
      </w:r>
      <w:r w:rsidR="001A3019" w:rsidRPr="00DB0AC3">
        <w:rPr>
          <w:b w:val="0"/>
          <w:sz w:val="20"/>
          <w:szCs w:val="24"/>
        </w:rPr>
        <w:t>корректиру</w:t>
      </w:r>
      <w:r w:rsidR="001A3019">
        <w:rPr>
          <w:b w:val="0"/>
          <w:sz w:val="20"/>
          <w:szCs w:val="24"/>
        </w:rPr>
        <w:t>ющее</w:t>
      </w:r>
      <w:r w:rsidR="00B84D52">
        <w:rPr>
          <w:b w:val="0"/>
          <w:sz w:val="20"/>
          <w:szCs w:val="24"/>
        </w:rPr>
        <w:t xml:space="preserve"> </w:t>
      </w:r>
      <w:r w:rsidRPr="00DB0AC3">
        <w:rPr>
          <w:b w:val="0"/>
          <w:sz w:val="20"/>
          <w:szCs w:val="24"/>
        </w:rPr>
        <w:t>событие</w:t>
      </w:r>
      <w:r w:rsidR="001A3019">
        <w:rPr>
          <w:b w:val="0"/>
          <w:sz w:val="20"/>
          <w:szCs w:val="24"/>
        </w:rPr>
        <w:t xml:space="preserve"> после отчетной даты</w:t>
      </w:r>
      <w:r w:rsidR="00E01D35" w:rsidRPr="00DB0AC3">
        <w:rPr>
          <w:b w:val="0"/>
          <w:sz w:val="20"/>
          <w:szCs w:val="24"/>
        </w:rPr>
        <w:t xml:space="preserve">, </w:t>
      </w:r>
      <w:r w:rsidRPr="00DB0AC3">
        <w:rPr>
          <w:b w:val="0"/>
          <w:sz w:val="20"/>
          <w:szCs w:val="24"/>
        </w:rPr>
        <w:t xml:space="preserve"> влияющ</w:t>
      </w:r>
      <w:r w:rsidR="001A3019">
        <w:rPr>
          <w:b w:val="0"/>
          <w:sz w:val="20"/>
          <w:szCs w:val="24"/>
        </w:rPr>
        <w:t>е</w:t>
      </w:r>
      <w:r w:rsidRPr="00DB0AC3">
        <w:rPr>
          <w:b w:val="0"/>
          <w:sz w:val="20"/>
          <w:szCs w:val="24"/>
        </w:rPr>
        <w:t xml:space="preserve">е на финансовый результат Банка. </w:t>
      </w:r>
      <w:r w:rsidR="00E03802" w:rsidRPr="00DB0AC3">
        <w:rPr>
          <w:b w:val="0"/>
          <w:sz w:val="20"/>
          <w:szCs w:val="24"/>
        </w:rPr>
        <w:t>В феврале 2014 года с Банка были взысканы денежные средства в пользу ООО «Восточный уголь», резерв восстановлен.</w:t>
      </w:r>
    </w:p>
    <w:p w:rsidR="006D3F33" w:rsidRPr="00DB0AC3" w:rsidRDefault="006D3F33" w:rsidP="006D3F33">
      <w:pPr>
        <w:rPr>
          <w:rFonts w:cs="Arial"/>
          <w:lang w:val="ru-RU"/>
        </w:rPr>
      </w:pPr>
    </w:p>
    <w:p w:rsidR="00E01D35" w:rsidRPr="00DB0AC3" w:rsidRDefault="00E01D35" w:rsidP="00E01D35">
      <w:pPr>
        <w:pStyle w:val="310"/>
        <w:shd w:val="clear" w:color="auto" w:fill="auto"/>
        <w:spacing w:line="200" w:lineRule="exact"/>
        <w:ind w:firstLine="0"/>
        <w:jc w:val="left"/>
        <w:rPr>
          <w:iCs w:val="0"/>
          <w:szCs w:val="24"/>
        </w:rPr>
      </w:pPr>
      <w:r w:rsidRPr="00DB0AC3">
        <w:rPr>
          <w:iCs w:val="0"/>
          <w:szCs w:val="24"/>
        </w:rPr>
        <w:t>Налоговое законодательство</w:t>
      </w:r>
    </w:p>
    <w:p w:rsidR="0062600E" w:rsidRPr="00DB0AC3" w:rsidRDefault="00E01D35" w:rsidP="00C06AC5">
      <w:pPr>
        <w:pStyle w:val="210"/>
        <w:shd w:val="clear" w:color="auto" w:fill="auto"/>
        <w:spacing w:line="216" w:lineRule="exact"/>
        <w:ind w:firstLine="0"/>
        <w:jc w:val="both"/>
        <w:rPr>
          <w:b w:val="0"/>
          <w:sz w:val="20"/>
          <w:szCs w:val="24"/>
        </w:rPr>
      </w:pPr>
      <w:r w:rsidRPr="00DB0AC3">
        <w:rPr>
          <w:b w:val="0"/>
          <w:sz w:val="20"/>
          <w:szCs w:val="24"/>
        </w:rPr>
        <w:t>Ввиду наличия в российском законодательстве в сфере хозяйственной деятельности и</w:t>
      </w:r>
      <w:r w:rsidR="006F3C37">
        <w:rPr>
          <w:b w:val="0"/>
          <w:sz w:val="20"/>
          <w:szCs w:val="24"/>
        </w:rPr>
        <w:t>,</w:t>
      </w:r>
      <w:r w:rsidRPr="00DB0AC3">
        <w:rPr>
          <w:b w:val="0"/>
          <w:sz w:val="20"/>
          <w:szCs w:val="24"/>
        </w:rPr>
        <w:t xml:space="preserve"> в частности</w:t>
      </w:r>
      <w:r w:rsidR="006F3C37">
        <w:rPr>
          <w:b w:val="0"/>
          <w:sz w:val="20"/>
          <w:szCs w:val="24"/>
        </w:rPr>
        <w:t>,</w:t>
      </w:r>
      <w:r w:rsidRPr="00DB0AC3">
        <w:rPr>
          <w:b w:val="0"/>
          <w:sz w:val="20"/>
          <w:szCs w:val="24"/>
        </w:rPr>
        <w:t xml:space="preserve"> в налоговом законодательстве норм, допускающих неоднозначное толкование, а также, учитывая сложившуюся в условиях общей нестабильности практику произвольной оценки налоговыми органами фактов хозяйственной деятельности, оценка руководством фактов хозяйственной деятельности Банка может не совпадать с интерпретацией этих фактов налоговыми органами.</w:t>
      </w:r>
    </w:p>
    <w:p w:rsidR="0062600E" w:rsidRPr="00DB0AC3" w:rsidRDefault="00E01D35" w:rsidP="00C06AC5">
      <w:pPr>
        <w:pStyle w:val="210"/>
        <w:shd w:val="clear" w:color="auto" w:fill="auto"/>
        <w:spacing w:line="216" w:lineRule="exact"/>
        <w:ind w:firstLine="0"/>
        <w:jc w:val="both"/>
        <w:rPr>
          <w:b w:val="0"/>
          <w:sz w:val="20"/>
          <w:szCs w:val="24"/>
        </w:rPr>
      </w:pPr>
      <w:r w:rsidRPr="00DB0AC3">
        <w:rPr>
          <w:b w:val="0"/>
          <w:sz w:val="20"/>
          <w:szCs w:val="24"/>
        </w:rPr>
        <w:t>Если какая-либо операция будет оспорена налоговыми органами, Банку могут быть доначислены суммы налогов, штрафы и пени, которые могут быть существенными. Финансовый год остается открытым для проверки налоговыми органами в течение трех лет после окончания налогового периода.</w:t>
      </w:r>
    </w:p>
    <w:p w:rsidR="00E01D35" w:rsidRPr="00DB0AC3" w:rsidRDefault="00E01D35" w:rsidP="00E01D35">
      <w:pPr>
        <w:pStyle w:val="210"/>
        <w:shd w:val="clear" w:color="auto" w:fill="auto"/>
        <w:spacing w:line="216" w:lineRule="exact"/>
        <w:ind w:firstLine="0"/>
        <w:rPr>
          <w:b w:val="0"/>
          <w:sz w:val="20"/>
          <w:szCs w:val="24"/>
        </w:rPr>
      </w:pPr>
    </w:p>
    <w:p w:rsidR="00E01D35" w:rsidRPr="00DB0AC3" w:rsidRDefault="00E01D35" w:rsidP="00E01D35">
      <w:pPr>
        <w:pStyle w:val="310"/>
        <w:shd w:val="clear" w:color="auto" w:fill="auto"/>
        <w:spacing w:line="221" w:lineRule="exact"/>
        <w:ind w:firstLine="0"/>
        <w:jc w:val="left"/>
        <w:rPr>
          <w:iCs w:val="0"/>
          <w:szCs w:val="24"/>
        </w:rPr>
      </w:pPr>
      <w:r w:rsidRPr="00DB0AC3">
        <w:rPr>
          <w:iCs w:val="0"/>
          <w:szCs w:val="24"/>
        </w:rPr>
        <w:t>Обязательства капитального характера</w:t>
      </w:r>
    </w:p>
    <w:p w:rsidR="0062600E" w:rsidRPr="00DB0AC3" w:rsidRDefault="00E01D35" w:rsidP="00C06AC5">
      <w:pPr>
        <w:pStyle w:val="210"/>
        <w:shd w:val="clear" w:color="auto" w:fill="auto"/>
        <w:spacing w:line="221" w:lineRule="exact"/>
        <w:ind w:firstLine="0"/>
        <w:jc w:val="both"/>
        <w:rPr>
          <w:b w:val="0"/>
          <w:sz w:val="20"/>
          <w:szCs w:val="24"/>
        </w:rPr>
      </w:pPr>
      <w:r w:rsidRPr="00DB0AC3">
        <w:rPr>
          <w:b w:val="0"/>
          <w:sz w:val="20"/>
          <w:szCs w:val="24"/>
        </w:rPr>
        <w:t>На 31 декабря 2014 и 31 декабря 2013 гг. Банк не имел существенных обязательств капитального характера.</w:t>
      </w:r>
    </w:p>
    <w:p w:rsidR="00E01D35" w:rsidRPr="00DB0AC3" w:rsidRDefault="00E01D35" w:rsidP="00E01D35">
      <w:pPr>
        <w:pStyle w:val="210"/>
        <w:shd w:val="clear" w:color="auto" w:fill="auto"/>
        <w:spacing w:line="221" w:lineRule="exact"/>
        <w:ind w:firstLine="0"/>
        <w:rPr>
          <w:b w:val="0"/>
          <w:sz w:val="20"/>
          <w:szCs w:val="24"/>
        </w:rPr>
      </w:pPr>
    </w:p>
    <w:p w:rsidR="00E01D35" w:rsidRPr="00DB0AC3" w:rsidRDefault="00E01D35" w:rsidP="00E01D35">
      <w:pPr>
        <w:pStyle w:val="310"/>
        <w:shd w:val="clear" w:color="auto" w:fill="auto"/>
        <w:spacing w:line="216" w:lineRule="exact"/>
        <w:ind w:firstLine="0"/>
        <w:jc w:val="left"/>
        <w:rPr>
          <w:iCs w:val="0"/>
          <w:szCs w:val="24"/>
        </w:rPr>
      </w:pPr>
      <w:r w:rsidRPr="00DB0AC3">
        <w:rPr>
          <w:iCs w:val="0"/>
          <w:szCs w:val="24"/>
        </w:rPr>
        <w:t>Обязательства кредитного характера</w:t>
      </w:r>
    </w:p>
    <w:p w:rsidR="0062600E" w:rsidRPr="00DB0AC3" w:rsidRDefault="00E01D35" w:rsidP="00C06AC5">
      <w:pPr>
        <w:pStyle w:val="210"/>
        <w:shd w:val="clear" w:color="auto" w:fill="auto"/>
        <w:spacing w:line="216" w:lineRule="exact"/>
        <w:ind w:firstLine="0"/>
        <w:jc w:val="both"/>
        <w:rPr>
          <w:b w:val="0"/>
          <w:sz w:val="20"/>
          <w:szCs w:val="24"/>
        </w:rPr>
      </w:pPr>
      <w:r w:rsidRPr="00DB0AC3">
        <w:rPr>
          <w:b w:val="0"/>
          <w:sz w:val="20"/>
          <w:szCs w:val="24"/>
        </w:rPr>
        <w:t>Обязательства кредитного характера включают в себя неиспользованные лимиты кредитных линий и овердрафтов, аккредитивы, а также выданные гарантии. Контрактная сумма этих обязательств представляет собо</w:t>
      </w:r>
      <w:r w:rsidR="002418C5" w:rsidRPr="00DB0AC3">
        <w:rPr>
          <w:b w:val="0"/>
          <w:sz w:val="20"/>
          <w:szCs w:val="24"/>
        </w:rPr>
        <w:t xml:space="preserve">й стоимость, подверженную риску, </w:t>
      </w:r>
      <w:r w:rsidRPr="00DB0AC3">
        <w:rPr>
          <w:b w:val="0"/>
          <w:sz w:val="20"/>
          <w:szCs w:val="24"/>
        </w:rPr>
        <w:t>связанному с возможностью невыполнения клиентом своих обязательств  или обесценением имеющегося обеспечения. На 31 декабря 2014года обязательства кредитного характера по номинальной величине были следующие:</w:t>
      </w:r>
    </w:p>
    <w:p w:rsidR="00E01D35" w:rsidRPr="00DB0AC3" w:rsidRDefault="00E01D35" w:rsidP="00E01D35">
      <w:pPr>
        <w:pStyle w:val="210"/>
        <w:shd w:val="clear" w:color="auto" w:fill="auto"/>
        <w:spacing w:line="216" w:lineRule="exact"/>
        <w:ind w:firstLine="0"/>
        <w:rPr>
          <w:b w:val="0"/>
          <w:sz w:val="20"/>
          <w:szCs w:val="24"/>
        </w:rPr>
      </w:pPr>
    </w:p>
    <w:tbl>
      <w:tblPr>
        <w:tblW w:w="5000" w:type="pct"/>
        <w:tblLook w:val="04A0"/>
      </w:tblPr>
      <w:tblGrid>
        <w:gridCol w:w="5285"/>
        <w:gridCol w:w="2027"/>
        <w:gridCol w:w="2511"/>
      </w:tblGrid>
      <w:tr w:rsidR="00794C6E" w:rsidRPr="00DB0AC3" w:rsidTr="00794C6E">
        <w:trPr>
          <w:trHeight w:val="300"/>
        </w:trPr>
        <w:tc>
          <w:tcPr>
            <w:tcW w:w="2690" w:type="pct"/>
            <w:tcBorders>
              <w:top w:val="nil"/>
              <w:left w:val="nil"/>
              <w:bottom w:val="nil"/>
              <w:right w:val="nil"/>
            </w:tcBorders>
            <w:shd w:val="clear" w:color="auto" w:fill="auto"/>
            <w:noWrap/>
            <w:vAlign w:val="bottom"/>
            <w:hideMark/>
          </w:tcPr>
          <w:p w:rsidR="00794C6E" w:rsidRPr="005A4594" w:rsidRDefault="00794C6E" w:rsidP="00794C6E">
            <w:pPr>
              <w:rPr>
                <w:rFonts w:cs="Arial"/>
                <w:color w:val="000000"/>
                <w:sz w:val="20"/>
                <w:lang w:val="ru-RU"/>
              </w:rPr>
            </w:pPr>
          </w:p>
        </w:tc>
        <w:tc>
          <w:tcPr>
            <w:tcW w:w="1032" w:type="pct"/>
            <w:tcBorders>
              <w:top w:val="nil"/>
              <w:left w:val="nil"/>
              <w:bottom w:val="single" w:sz="4" w:space="0" w:color="auto"/>
              <w:right w:val="nil"/>
            </w:tcBorders>
            <w:shd w:val="clear" w:color="auto" w:fill="auto"/>
            <w:vAlign w:val="bottom"/>
            <w:hideMark/>
          </w:tcPr>
          <w:p w:rsidR="00794C6E" w:rsidRPr="005A4594" w:rsidRDefault="00794C6E" w:rsidP="00FC59EC">
            <w:pPr>
              <w:jc w:val="center"/>
              <w:rPr>
                <w:rFonts w:cs="Arial"/>
                <w:b/>
                <w:bCs/>
                <w:color w:val="000000"/>
                <w:sz w:val="20"/>
                <w:lang w:val="ru-RU"/>
              </w:rPr>
            </w:pPr>
            <w:r w:rsidRPr="005A4594">
              <w:rPr>
                <w:rFonts w:cs="Arial"/>
                <w:b/>
                <w:bCs/>
                <w:color w:val="000000"/>
                <w:sz w:val="20"/>
                <w:lang w:val="ru-RU"/>
              </w:rPr>
              <w:t>31 декабря 2014</w:t>
            </w:r>
          </w:p>
        </w:tc>
        <w:tc>
          <w:tcPr>
            <w:tcW w:w="1278" w:type="pct"/>
            <w:tcBorders>
              <w:top w:val="nil"/>
              <w:left w:val="nil"/>
              <w:bottom w:val="single" w:sz="4" w:space="0" w:color="auto"/>
              <w:right w:val="nil"/>
            </w:tcBorders>
            <w:shd w:val="clear" w:color="auto" w:fill="auto"/>
            <w:vAlign w:val="bottom"/>
            <w:hideMark/>
          </w:tcPr>
          <w:p w:rsidR="00794C6E" w:rsidRPr="005A4594" w:rsidRDefault="00794C6E" w:rsidP="00FC59EC">
            <w:pPr>
              <w:jc w:val="center"/>
              <w:rPr>
                <w:rFonts w:cs="Arial"/>
                <w:b/>
                <w:bCs/>
                <w:color w:val="000000"/>
                <w:sz w:val="20"/>
                <w:lang w:val="ru-RU"/>
              </w:rPr>
            </w:pPr>
            <w:r w:rsidRPr="005A4594">
              <w:rPr>
                <w:rFonts w:cs="Arial"/>
                <w:b/>
                <w:bCs/>
                <w:color w:val="000000"/>
                <w:sz w:val="20"/>
                <w:lang w:val="ru-RU"/>
              </w:rPr>
              <w:t>31 декабря 2013</w:t>
            </w:r>
          </w:p>
        </w:tc>
      </w:tr>
      <w:tr w:rsidR="00794C6E" w:rsidRPr="00DB0AC3" w:rsidTr="00794C6E">
        <w:trPr>
          <w:trHeight w:val="300"/>
        </w:trPr>
        <w:tc>
          <w:tcPr>
            <w:tcW w:w="2690" w:type="pct"/>
            <w:tcBorders>
              <w:top w:val="nil"/>
              <w:left w:val="nil"/>
              <w:bottom w:val="nil"/>
              <w:right w:val="nil"/>
            </w:tcBorders>
            <w:shd w:val="clear" w:color="auto" w:fill="auto"/>
            <w:noWrap/>
            <w:vAlign w:val="bottom"/>
            <w:hideMark/>
          </w:tcPr>
          <w:p w:rsidR="00794C6E" w:rsidRPr="005A4594" w:rsidRDefault="00794C6E" w:rsidP="00794C6E">
            <w:pPr>
              <w:rPr>
                <w:rFonts w:cs="Arial"/>
                <w:color w:val="000000"/>
                <w:sz w:val="20"/>
                <w:lang w:val="ru-RU"/>
              </w:rPr>
            </w:pPr>
            <w:r w:rsidRPr="005A4594">
              <w:rPr>
                <w:rFonts w:cs="Arial"/>
                <w:color w:val="000000"/>
                <w:sz w:val="20"/>
                <w:lang w:val="ru-RU"/>
              </w:rPr>
              <w:t>Неиспользованные кредитные линии</w:t>
            </w:r>
          </w:p>
        </w:tc>
        <w:tc>
          <w:tcPr>
            <w:tcW w:w="1032" w:type="pct"/>
            <w:tcBorders>
              <w:top w:val="nil"/>
              <w:left w:val="nil"/>
              <w:bottom w:val="nil"/>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641 806</w:t>
            </w:r>
          </w:p>
        </w:tc>
        <w:tc>
          <w:tcPr>
            <w:tcW w:w="1278" w:type="pct"/>
            <w:tcBorders>
              <w:top w:val="nil"/>
              <w:left w:val="nil"/>
              <w:bottom w:val="nil"/>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1 147 051</w:t>
            </w:r>
          </w:p>
        </w:tc>
      </w:tr>
      <w:tr w:rsidR="00794C6E" w:rsidRPr="00DB0AC3" w:rsidTr="00794C6E">
        <w:trPr>
          <w:trHeight w:val="300"/>
        </w:trPr>
        <w:tc>
          <w:tcPr>
            <w:tcW w:w="2690" w:type="pct"/>
            <w:tcBorders>
              <w:top w:val="nil"/>
              <w:left w:val="nil"/>
              <w:bottom w:val="nil"/>
              <w:right w:val="nil"/>
            </w:tcBorders>
            <w:shd w:val="clear" w:color="auto" w:fill="auto"/>
            <w:noWrap/>
            <w:vAlign w:val="bottom"/>
            <w:hideMark/>
          </w:tcPr>
          <w:p w:rsidR="00794C6E" w:rsidRPr="005A4594" w:rsidRDefault="00794C6E" w:rsidP="00794C6E">
            <w:pPr>
              <w:rPr>
                <w:rFonts w:cs="Arial"/>
                <w:color w:val="000000"/>
                <w:sz w:val="20"/>
                <w:lang w:val="ru-RU"/>
              </w:rPr>
            </w:pPr>
            <w:r w:rsidRPr="005A4594">
              <w:rPr>
                <w:rFonts w:cs="Arial"/>
                <w:color w:val="000000"/>
                <w:sz w:val="20"/>
                <w:lang w:val="ru-RU"/>
              </w:rPr>
              <w:t>Аккредитивы</w:t>
            </w:r>
          </w:p>
        </w:tc>
        <w:tc>
          <w:tcPr>
            <w:tcW w:w="1032" w:type="pct"/>
            <w:tcBorders>
              <w:top w:val="nil"/>
              <w:left w:val="nil"/>
              <w:bottom w:val="single" w:sz="4" w:space="0" w:color="auto"/>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6 474</w:t>
            </w:r>
          </w:p>
        </w:tc>
        <w:tc>
          <w:tcPr>
            <w:tcW w:w="1278" w:type="pct"/>
            <w:tcBorders>
              <w:top w:val="nil"/>
              <w:left w:val="nil"/>
              <w:bottom w:val="single" w:sz="4" w:space="0" w:color="auto"/>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10 113</w:t>
            </w:r>
          </w:p>
        </w:tc>
      </w:tr>
      <w:tr w:rsidR="00794C6E" w:rsidRPr="00DB0AC3" w:rsidTr="00794C6E">
        <w:trPr>
          <w:trHeight w:val="300"/>
        </w:trPr>
        <w:tc>
          <w:tcPr>
            <w:tcW w:w="2690" w:type="pct"/>
            <w:tcBorders>
              <w:top w:val="nil"/>
              <w:left w:val="nil"/>
              <w:bottom w:val="nil"/>
              <w:right w:val="nil"/>
            </w:tcBorders>
            <w:shd w:val="clear" w:color="auto" w:fill="auto"/>
            <w:noWrap/>
            <w:vAlign w:val="bottom"/>
            <w:hideMark/>
          </w:tcPr>
          <w:p w:rsidR="00794C6E" w:rsidRPr="005A4594" w:rsidRDefault="00794C6E" w:rsidP="00794C6E">
            <w:pPr>
              <w:rPr>
                <w:rFonts w:cs="Arial"/>
                <w:color w:val="000000"/>
                <w:sz w:val="20"/>
                <w:lang w:val="ru-RU"/>
              </w:rPr>
            </w:pPr>
          </w:p>
        </w:tc>
        <w:tc>
          <w:tcPr>
            <w:tcW w:w="1032" w:type="pct"/>
            <w:tcBorders>
              <w:top w:val="nil"/>
              <w:left w:val="nil"/>
              <w:bottom w:val="nil"/>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648 280</w:t>
            </w:r>
          </w:p>
        </w:tc>
        <w:tc>
          <w:tcPr>
            <w:tcW w:w="1278" w:type="pct"/>
            <w:tcBorders>
              <w:top w:val="nil"/>
              <w:left w:val="nil"/>
              <w:bottom w:val="nil"/>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1 157 164</w:t>
            </w:r>
          </w:p>
        </w:tc>
      </w:tr>
      <w:tr w:rsidR="00794C6E" w:rsidRPr="00DB0AC3" w:rsidTr="00794C6E">
        <w:trPr>
          <w:trHeight w:val="300"/>
        </w:trPr>
        <w:tc>
          <w:tcPr>
            <w:tcW w:w="2690" w:type="pct"/>
            <w:tcBorders>
              <w:top w:val="nil"/>
              <w:left w:val="nil"/>
              <w:bottom w:val="nil"/>
              <w:right w:val="nil"/>
            </w:tcBorders>
            <w:shd w:val="clear" w:color="auto" w:fill="auto"/>
            <w:noWrap/>
            <w:vAlign w:val="bottom"/>
            <w:hideMark/>
          </w:tcPr>
          <w:p w:rsidR="00794C6E" w:rsidRPr="005A4594" w:rsidRDefault="00794C6E" w:rsidP="00794C6E">
            <w:pPr>
              <w:rPr>
                <w:rFonts w:cs="Arial"/>
                <w:color w:val="000000"/>
                <w:sz w:val="20"/>
                <w:lang w:val="ru-RU"/>
              </w:rPr>
            </w:pPr>
            <w:r w:rsidRPr="005A4594">
              <w:rPr>
                <w:rFonts w:cs="Arial"/>
                <w:color w:val="000000"/>
                <w:sz w:val="20"/>
                <w:lang w:val="ru-RU"/>
              </w:rPr>
              <w:t>Выданные гарантии</w:t>
            </w:r>
          </w:p>
        </w:tc>
        <w:tc>
          <w:tcPr>
            <w:tcW w:w="1032" w:type="pct"/>
            <w:tcBorders>
              <w:top w:val="nil"/>
              <w:left w:val="nil"/>
              <w:bottom w:val="single" w:sz="4" w:space="0" w:color="auto"/>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2 600 233</w:t>
            </w:r>
          </w:p>
        </w:tc>
        <w:tc>
          <w:tcPr>
            <w:tcW w:w="1278" w:type="pct"/>
            <w:tcBorders>
              <w:top w:val="nil"/>
              <w:left w:val="nil"/>
              <w:bottom w:val="single" w:sz="4" w:space="0" w:color="auto"/>
              <w:right w:val="nil"/>
            </w:tcBorders>
            <w:shd w:val="clear" w:color="auto" w:fill="auto"/>
            <w:noWrap/>
            <w:vAlign w:val="bottom"/>
            <w:hideMark/>
          </w:tcPr>
          <w:p w:rsidR="00794C6E" w:rsidRPr="005A4594" w:rsidRDefault="00794C6E" w:rsidP="00FC59EC">
            <w:pPr>
              <w:jc w:val="center"/>
              <w:rPr>
                <w:rFonts w:cs="Arial"/>
                <w:color w:val="000000"/>
                <w:sz w:val="20"/>
                <w:lang w:val="ru-RU"/>
              </w:rPr>
            </w:pPr>
            <w:r w:rsidRPr="005A4594">
              <w:rPr>
                <w:rFonts w:cs="Arial"/>
                <w:color w:val="000000"/>
                <w:sz w:val="20"/>
                <w:lang w:val="ru-RU"/>
              </w:rPr>
              <w:t>2 233 567</w:t>
            </w:r>
          </w:p>
        </w:tc>
      </w:tr>
      <w:tr w:rsidR="00794C6E" w:rsidRPr="00DB0AC3" w:rsidTr="00794C6E">
        <w:trPr>
          <w:trHeight w:val="315"/>
        </w:trPr>
        <w:tc>
          <w:tcPr>
            <w:tcW w:w="2690" w:type="pct"/>
            <w:tcBorders>
              <w:top w:val="nil"/>
              <w:left w:val="nil"/>
              <w:bottom w:val="nil"/>
              <w:right w:val="nil"/>
            </w:tcBorders>
            <w:shd w:val="clear" w:color="auto" w:fill="auto"/>
            <w:noWrap/>
            <w:vAlign w:val="bottom"/>
            <w:hideMark/>
          </w:tcPr>
          <w:p w:rsidR="00794C6E" w:rsidRPr="005A4594" w:rsidRDefault="00794C6E" w:rsidP="00794C6E">
            <w:pPr>
              <w:rPr>
                <w:rFonts w:cs="Arial"/>
                <w:b/>
                <w:bCs/>
                <w:color w:val="000000"/>
                <w:sz w:val="20"/>
                <w:lang w:val="ru-RU"/>
              </w:rPr>
            </w:pPr>
            <w:r w:rsidRPr="005A4594">
              <w:rPr>
                <w:rFonts w:cs="Arial"/>
                <w:b/>
                <w:bCs/>
                <w:color w:val="000000"/>
                <w:sz w:val="20"/>
                <w:lang w:val="ru-RU"/>
              </w:rPr>
              <w:t>Итого обязательств кредитного характера</w:t>
            </w:r>
          </w:p>
        </w:tc>
        <w:tc>
          <w:tcPr>
            <w:tcW w:w="1032" w:type="pct"/>
            <w:tcBorders>
              <w:top w:val="nil"/>
              <w:left w:val="nil"/>
              <w:bottom w:val="double" w:sz="6" w:space="0" w:color="auto"/>
              <w:right w:val="nil"/>
            </w:tcBorders>
            <w:shd w:val="clear" w:color="auto" w:fill="auto"/>
            <w:noWrap/>
            <w:vAlign w:val="bottom"/>
            <w:hideMark/>
          </w:tcPr>
          <w:p w:rsidR="00794C6E" w:rsidRPr="005A4594" w:rsidRDefault="00794C6E" w:rsidP="00FC59EC">
            <w:pPr>
              <w:jc w:val="center"/>
              <w:rPr>
                <w:rFonts w:cs="Arial"/>
                <w:b/>
                <w:bCs/>
                <w:color w:val="000000"/>
                <w:sz w:val="20"/>
                <w:lang w:val="ru-RU"/>
              </w:rPr>
            </w:pPr>
            <w:r w:rsidRPr="005A4594">
              <w:rPr>
                <w:rFonts w:cs="Arial"/>
                <w:b/>
                <w:bCs/>
                <w:color w:val="000000"/>
                <w:sz w:val="20"/>
                <w:lang w:val="ru-RU"/>
              </w:rPr>
              <w:t>3 248 513</w:t>
            </w:r>
          </w:p>
        </w:tc>
        <w:tc>
          <w:tcPr>
            <w:tcW w:w="1278" w:type="pct"/>
            <w:tcBorders>
              <w:top w:val="nil"/>
              <w:left w:val="nil"/>
              <w:bottom w:val="double" w:sz="6" w:space="0" w:color="auto"/>
              <w:right w:val="nil"/>
            </w:tcBorders>
            <w:shd w:val="clear" w:color="auto" w:fill="auto"/>
            <w:noWrap/>
            <w:vAlign w:val="bottom"/>
            <w:hideMark/>
          </w:tcPr>
          <w:p w:rsidR="00794C6E" w:rsidRPr="005A4594" w:rsidRDefault="00794C6E" w:rsidP="00FC59EC">
            <w:pPr>
              <w:jc w:val="center"/>
              <w:rPr>
                <w:rFonts w:cs="Arial"/>
                <w:b/>
                <w:bCs/>
                <w:color w:val="000000"/>
                <w:sz w:val="20"/>
                <w:lang w:val="ru-RU"/>
              </w:rPr>
            </w:pPr>
            <w:r w:rsidRPr="005A4594">
              <w:rPr>
                <w:rFonts w:cs="Arial"/>
                <w:b/>
                <w:bCs/>
                <w:color w:val="000000"/>
                <w:sz w:val="20"/>
                <w:lang w:val="ru-RU"/>
              </w:rPr>
              <w:t>3 390 731</w:t>
            </w:r>
          </w:p>
        </w:tc>
      </w:tr>
    </w:tbl>
    <w:p w:rsidR="00794C6E" w:rsidRPr="00DB0AC3" w:rsidRDefault="00794C6E" w:rsidP="00E01D35">
      <w:pPr>
        <w:pStyle w:val="210"/>
        <w:shd w:val="clear" w:color="auto" w:fill="auto"/>
        <w:spacing w:line="216" w:lineRule="exact"/>
        <w:ind w:firstLine="0"/>
        <w:rPr>
          <w:b w:val="0"/>
          <w:sz w:val="20"/>
          <w:szCs w:val="24"/>
        </w:rPr>
      </w:pPr>
    </w:p>
    <w:p w:rsidR="00794C6E" w:rsidRPr="00DB0AC3" w:rsidRDefault="00794C6E" w:rsidP="00794C6E">
      <w:pPr>
        <w:pStyle w:val="210"/>
        <w:shd w:val="clear" w:color="auto" w:fill="auto"/>
        <w:spacing w:line="216" w:lineRule="exact"/>
        <w:ind w:firstLine="0"/>
        <w:rPr>
          <w:i/>
          <w:sz w:val="20"/>
          <w:szCs w:val="24"/>
        </w:rPr>
      </w:pPr>
      <w:r w:rsidRPr="00DB0AC3">
        <w:rPr>
          <w:i/>
          <w:sz w:val="20"/>
          <w:szCs w:val="24"/>
        </w:rPr>
        <w:t>Заложенные активы</w:t>
      </w:r>
    </w:p>
    <w:p w:rsidR="00794C6E" w:rsidRPr="00DB0AC3" w:rsidRDefault="00794C6E" w:rsidP="00794C6E">
      <w:pPr>
        <w:pStyle w:val="210"/>
        <w:shd w:val="clear" w:color="auto" w:fill="auto"/>
        <w:spacing w:line="216" w:lineRule="exact"/>
        <w:ind w:firstLine="0"/>
        <w:rPr>
          <w:b w:val="0"/>
          <w:sz w:val="20"/>
          <w:szCs w:val="24"/>
        </w:rPr>
      </w:pPr>
      <w:r w:rsidRPr="00DB0AC3">
        <w:rPr>
          <w:b w:val="0"/>
          <w:sz w:val="20"/>
          <w:szCs w:val="24"/>
        </w:rPr>
        <w:t>По состоянию на 31 декабря 201</w:t>
      </w:r>
      <w:r w:rsidR="004D5D9F" w:rsidRPr="00DB0AC3">
        <w:rPr>
          <w:b w:val="0"/>
          <w:sz w:val="20"/>
          <w:szCs w:val="24"/>
        </w:rPr>
        <w:t>4</w:t>
      </w:r>
      <w:r w:rsidRPr="00DB0AC3">
        <w:rPr>
          <w:b w:val="0"/>
          <w:sz w:val="20"/>
          <w:szCs w:val="24"/>
        </w:rPr>
        <w:t xml:space="preserve"> и 31 декабря 201</w:t>
      </w:r>
      <w:r w:rsidR="004D5D9F" w:rsidRPr="00DB0AC3">
        <w:rPr>
          <w:b w:val="0"/>
          <w:sz w:val="20"/>
          <w:szCs w:val="24"/>
        </w:rPr>
        <w:t>3</w:t>
      </w:r>
      <w:r w:rsidRPr="00DB0AC3">
        <w:rPr>
          <w:b w:val="0"/>
          <w:sz w:val="20"/>
          <w:szCs w:val="24"/>
        </w:rPr>
        <w:t xml:space="preserve"> гг. Банк не имел никаких заложенных активов.</w:t>
      </w:r>
    </w:p>
    <w:p w:rsidR="00AD0F6E" w:rsidRPr="00DB0AC3" w:rsidRDefault="00AD0F6E" w:rsidP="00794C6E">
      <w:pPr>
        <w:pStyle w:val="210"/>
        <w:shd w:val="clear" w:color="auto" w:fill="auto"/>
        <w:spacing w:line="216" w:lineRule="exact"/>
        <w:ind w:firstLine="0"/>
        <w:rPr>
          <w:b w:val="0"/>
          <w:sz w:val="20"/>
          <w:szCs w:val="24"/>
        </w:rPr>
      </w:pPr>
    </w:p>
    <w:p w:rsidR="00794C6E" w:rsidRPr="00DB0AC3" w:rsidRDefault="00794C6E" w:rsidP="00794C6E">
      <w:pPr>
        <w:pStyle w:val="210"/>
        <w:shd w:val="clear" w:color="auto" w:fill="auto"/>
        <w:spacing w:line="216" w:lineRule="exact"/>
        <w:ind w:firstLine="0"/>
        <w:rPr>
          <w:b w:val="0"/>
          <w:sz w:val="20"/>
          <w:szCs w:val="24"/>
        </w:rPr>
      </w:pPr>
      <w:r w:rsidRPr="00DB0AC3">
        <w:rPr>
          <w:sz w:val="20"/>
          <w:szCs w:val="24"/>
        </w:rPr>
        <w:t>С</w:t>
      </w:r>
      <w:r w:rsidRPr="00DB0AC3">
        <w:rPr>
          <w:i/>
          <w:sz w:val="20"/>
          <w:szCs w:val="24"/>
        </w:rPr>
        <w:t>трахование</w:t>
      </w:r>
    </w:p>
    <w:p w:rsidR="00794C6E" w:rsidRPr="00DB0AC3" w:rsidRDefault="00794C6E" w:rsidP="00794C6E">
      <w:pPr>
        <w:pStyle w:val="210"/>
        <w:shd w:val="clear" w:color="auto" w:fill="auto"/>
        <w:spacing w:line="216" w:lineRule="exact"/>
        <w:ind w:firstLine="0"/>
        <w:rPr>
          <w:b w:val="0"/>
          <w:sz w:val="20"/>
          <w:szCs w:val="24"/>
        </w:rPr>
      </w:pPr>
      <w:r w:rsidRPr="00DB0AC3">
        <w:rPr>
          <w:b w:val="0"/>
          <w:sz w:val="20"/>
          <w:szCs w:val="24"/>
        </w:rPr>
        <w:t>Сведения о страховании имущества приведены в Примечании 14.</w:t>
      </w:r>
    </w:p>
    <w:p w:rsidR="00794C6E" w:rsidRPr="00DB0AC3" w:rsidRDefault="00794C6E" w:rsidP="00794C6E">
      <w:pPr>
        <w:pStyle w:val="210"/>
        <w:shd w:val="clear" w:color="auto" w:fill="auto"/>
        <w:spacing w:line="216" w:lineRule="exact"/>
        <w:ind w:firstLine="0"/>
        <w:rPr>
          <w:b w:val="0"/>
          <w:sz w:val="20"/>
          <w:szCs w:val="24"/>
        </w:rPr>
      </w:pPr>
    </w:p>
    <w:p w:rsidR="005A4594" w:rsidRDefault="005A4594" w:rsidP="00690E61">
      <w:pPr>
        <w:pStyle w:val="310"/>
        <w:shd w:val="clear" w:color="auto" w:fill="auto"/>
        <w:ind w:firstLine="0"/>
        <w:jc w:val="left"/>
        <w:rPr>
          <w:rStyle w:val="34"/>
          <w:b/>
          <w:bCs/>
          <w:i/>
          <w:iCs/>
          <w:color w:val="000000"/>
        </w:rPr>
      </w:pPr>
    </w:p>
    <w:p w:rsidR="00690E61" w:rsidRPr="00DB0AC3" w:rsidRDefault="00690E61" w:rsidP="00690E61">
      <w:pPr>
        <w:pStyle w:val="310"/>
        <w:shd w:val="clear" w:color="auto" w:fill="auto"/>
        <w:ind w:firstLine="0"/>
        <w:jc w:val="left"/>
      </w:pPr>
      <w:r w:rsidRPr="00DB0AC3">
        <w:rPr>
          <w:rStyle w:val="34"/>
          <w:b/>
          <w:bCs/>
          <w:i/>
          <w:iCs/>
          <w:color w:val="000000"/>
        </w:rPr>
        <w:t>Активы, на хранении</w:t>
      </w:r>
    </w:p>
    <w:p w:rsidR="0062600E" w:rsidRPr="00DB0AC3" w:rsidRDefault="00690E61" w:rsidP="00C06AC5">
      <w:pPr>
        <w:pStyle w:val="210"/>
        <w:shd w:val="clear" w:color="auto" w:fill="auto"/>
        <w:spacing w:line="230" w:lineRule="exact"/>
        <w:ind w:firstLine="0"/>
        <w:jc w:val="both"/>
        <w:rPr>
          <w:b w:val="0"/>
          <w:sz w:val="20"/>
          <w:szCs w:val="24"/>
        </w:rPr>
      </w:pPr>
      <w:r w:rsidRPr="00DB0AC3">
        <w:rPr>
          <w:b w:val="0"/>
          <w:sz w:val="20"/>
          <w:szCs w:val="24"/>
        </w:rPr>
        <w:t>В состав активов на хранении включаются активы, переданные Банку на депозитарное хранение, по агентскому соглашению и иным аналогичным основаниям. Данные средства не отражаются в Отчете о финансовом положении, так как они не являются активами Банка. Номинальная стоимость, указанная ниже, обычно отличается от справедливой стоимости соответствующих ценных бумаг.</w:t>
      </w:r>
    </w:p>
    <w:p w:rsidR="00030EF4" w:rsidRPr="00DB0AC3" w:rsidRDefault="00030EF4" w:rsidP="00690E61">
      <w:pPr>
        <w:pStyle w:val="210"/>
        <w:shd w:val="clear" w:color="auto" w:fill="auto"/>
        <w:spacing w:line="230" w:lineRule="exact"/>
        <w:ind w:firstLine="0"/>
        <w:rPr>
          <w:b w:val="0"/>
          <w:sz w:val="20"/>
          <w:szCs w:val="24"/>
        </w:rPr>
      </w:pPr>
    </w:p>
    <w:tbl>
      <w:tblPr>
        <w:tblW w:w="4795" w:type="pct"/>
        <w:tblLook w:val="04A0"/>
      </w:tblPr>
      <w:tblGrid>
        <w:gridCol w:w="5920"/>
        <w:gridCol w:w="1701"/>
        <w:gridCol w:w="1799"/>
      </w:tblGrid>
      <w:tr w:rsidR="00030EF4" w:rsidRPr="00DB0AC3" w:rsidTr="005A4594">
        <w:trPr>
          <w:trHeight w:val="300"/>
        </w:trPr>
        <w:tc>
          <w:tcPr>
            <w:tcW w:w="3142" w:type="pct"/>
            <w:tcBorders>
              <w:top w:val="nil"/>
              <w:left w:val="nil"/>
              <w:bottom w:val="nil"/>
              <w:right w:val="nil"/>
            </w:tcBorders>
            <w:shd w:val="clear" w:color="auto" w:fill="auto"/>
            <w:noWrap/>
            <w:vAlign w:val="center"/>
            <w:hideMark/>
          </w:tcPr>
          <w:p w:rsidR="00030EF4" w:rsidRPr="005A4594" w:rsidRDefault="00030EF4" w:rsidP="00030EF4">
            <w:pPr>
              <w:rPr>
                <w:rFonts w:cs="Arial"/>
                <w:color w:val="000000"/>
                <w:sz w:val="20"/>
                <w:lang w:val="ru-RU"/>
              </w:rPr>
            </w:pPr>
          </w:p>
        </w:tc>
        <w:tc>
          <w:tcPr>
            <w:tcW w:w="903" w:type="pct"/>
            <w:tcBorders>
              <w:top w:val="nil"/>
              <w:left w:val="nil"/>
              <w:bottom w:val="single" w:sz="4" w:space="0" w:color="auto"/>
              <w:right w:val="nil"/>
            </w:tcBorders>
            <w:shd w:val="clear" w:color="auto" w:fill="auto"/>
            <w:vAlign w:val="bottom"/>
            <w:hideMark/>
          </w:tcPr>
          <w:p w:rsidR="00030EF4" w:rsidRPr="005A4594" w:rsidRDefault="00030EF4" w:rsidP="00030EF4">
            <w:pPr>
              <w:jc w:val="center"/>
              <w:rPr>
                <w:rFonts w:cs="Arial"/>
                <w:b/>
                <w:bCs/>
                <w:color w:val="000000"/>
                <w:sz w:val="20"/>
                <w:lang w:val="ru-RU"/>
              </w:rPr>
            </w:pPr>
            <w:r w:rsidRPr="005A4594">
              <w:rPr>
                <w:rFonts w:cs="Arial"/>
                <w:b/>
                <w:bCs/>
                <w:color w:val="000000"/>
                <w:sz w:val="20"/>
                <w:lang w:val="ru-RU"/>
              </w:rPr>
              <w:t>31 декабря 2014</w:t>
            </w:r>
          </w:p>
        </w:tc>
        <w:tc>
          <w:tcPr>
            <w:tcW w:w="955" w:type="pct"/>
            <w:tcBorders>
              <w:top w:val="nil"/>
              <w:left w:val="nil"/>
              <w:bottom w:val="single" w:sz="4" w:space="0" w:color="auto"/>
              <w:right w:val="nil"/>
            </w:tcBorders>
            <w:shd w:val="clear" w:color="auto" w:fill="auto"/>
            <w:vAlign w:val="bottom"/>
            <w:hideMark/>
          </w:tcPr>
          <w:p w:rsidR="00030EF4" w:rsidRPr="005A4594" w:rsidRDefault="00030EF4" w:rsidP="00030EF4">
            <w:pPr>
              <w:jc w:val="center"/>
              <w:rPr>
                <w:rFonts w:cs="Arial"/>
                <w:b/>
                <w:bCs/>
                <w:color w:val="000000"/>
                <w:sz w:val="20"/>
                <w:lang w:val="ru-RU"/>
              </w:rPr>
            </w:pPr>
            <w:r w:rsidRPr="005A4594">
              <w:rPr>
                <w:rFonts w:cs="Arial"/>
                <w:b/>
                <w:bCs/>
                <w:color w:val="000000"/>
                <w:sz w:val="20"/>
                <w:lang w:val="ru-RU"/>
              </w:rPr>
              <w:t>31 декабря 2013</w:t>
            </w:r>
          </w:p>
        </w:tc>
      </w:tr>
      <w:tr w:rsidR="00030EF4" w:rsidRPr="00DB0AC3" w:rsidTr="005A4594">
        <w:trPr>
          <w:trHeight w:val="345"/>
        </w:trPr>
        <w:tc>
          <w:tcPr>
            <w:tcW w:w="3142" w:type="pct"/>
            <w:tcBorders>
              <w:top w:val="nil"/>
              <w:left w:val="nil"/>
              <w:bottom w:val="nil"/>
              <w:right w:val="nil"/>
            </w:tcBorders>
            <w:shd w:val="clear" w:color="auto" w:fill="auto"/>
            <w:noWrap/>
            <w:vAlign w:val="bottom"/>
            <w:hideMark/>
          </w:tcPr>
          <w:p w:rsidR="00030EF4" w:rsidRPr="005A4594" w:rsidRDefault="00030EF4" w:rsidP="00030EF4">
            <w:pPr>
              <w:rPr>
                <w:rFonts w:cs="Arial"/>
                <w:bCs/>
                <w:sz w:val="20"/>
                <w:lang w:val="ru-RU"/>
              </w:rPr>
            </w:pPr>
            <w:r w:rsidRPr="005A4594">
              <w:rPr>
                <w:rFonts w:cs="Arial"/>
                <w:bCs/>
                <w:sz w:val="20"/>
                <w:lang w:val="ru-RU"/>
              </w:rPr>
              <w:t>Ценные бумаги по договорам хранения</w:t>
            </w:r>
          </w:p>
        </w:tc>
        <w:tc>
          <w:tcPr>
            <w:tcW w:w="903" w:type="pct"/>
            <w:tcBorders>
              <w:top w:val="nil"/>
              <w:left w:val="nil"/>
              <w:bottom w:val="nil"/>
              <w:right w:val="nil"/>
            </w:tcBorders>
            <w:shd w:val="clear" w:color="auto" w:fill="auto"/>
            <w:noWrap/>
            <w:vAlign w:val="bottom"/>
            <w:hideMark/>
          </w:tcPr>
          <w:p w:rsidR="00030EF4" w:rsidRPr="005A4594" w:rsidRDefault="00030EF4" w:rsidP="00C06AC5">
            <w:pPr>
              <w:jc w:val="right"/>
              <w:rPr>
                <w:rFonts w:cs="Arial"/>
                <w:b/>
                <w:bCs/>
                <w:color w:val="000000"/>
                <w:sz w:val="20"/>
                <w:lang w:val="ru-RU"/>
              </w:rPr>
            </w:pPr>
            <w:r w:rsidRPr="005A4594">
              <w:rPr>
                <w:rFonts w:cs="Arial"/>
                <w:color w:val="000000"/>
                <w:sz w:val="20"/>
                <w:lang w:val="ru-RU"/>
              </w:rPr>
              <w:t>31 866 508</w:t>
            </w:r>
          </w:p>
        </w:tc>
        <w:tc>
          <w:tcPr>
            <w:tcW w:w="955" w:type="pct"/>
            <w:tcBorders>
              <w:top w:val="nil"/>
              <w:left w:val="nil"/>
              <w:bottom w:val="nil"/>
              <w:right w:val="nil"/>
            </w:tcBorders>
            <w:shd w:val="clear" w:color="auto" w:fill="auto"/>
            <w:noWrap/>
            <w:vAlign w:val="bottom"/>
            <w:hideMark/>
          </w:tcPr>
          <w:p w:rsidR="00030EF4" w:rsidRPr="005A4594" w:rsidRDefault="00030EF4" w:rsidP="00C06AC5">
            <w:pPr>
              <w:jc w:val="right"/>
              <w:rPr>
                <w:rFonts w:cs="Arial"/>
                <w:b/>
                <w:bCs/>
                <w:color w:val="000000"/>
                <w:sz w:val="20"/>
                <w:lang w:val="ru-RU"/>
              </w:rPr>
            </w:pPr>
            <w:r w:rsidRPr="005A4594">
              <w:rPr>
                <w:rFonts w:cs="Arial"/>
                <w:color w:val="000000"/>
                <w:sz w:val="20"/>
                <w:lang w:val="ru-RU"/>
              </w:rPr>
              <w:t>358 613</w:t>
            </w:r>
          </w:p>
        </w:tc>
      </w:tr>
      <w:tr w:rsidR="00030EF4" w:rsidRPr="00DB0AC3" w:rsidTr="005A4594">
        <w:trPr>
          <w:trHeight w:val="345"/>
        </w:trPr>
        <w:tc>
          <w:tcPr>
            <w:tcW w:w="3142" w:type="pct"/>
            <w:tcBorders>
              <w:top w:val="nil"/>
              <w:left w:val="nil"/>
              <w:bottom w:val="nil"/>
              <w:right w:val="nil"/>
            </w:tcBorders>
            <w:shd w:val="clear" w:color="auto" w:fill="auto"/>
            <w:vAlign w:val="bottom"/>
            <w:hideMark/>
          </w:tcPr>
          <w:p w:rsidR="00030EF4" w:rsidRPr="005A4594" w:rsidRDefault="00030EF4" w:rsidP="00030EF4">
            <w:pPr>
              <w:rPr>
                <w:rFonts w:cs="Arial"/>
                <w:bCs/>
                <w:sz w:val="20"/>
                <w:lang w:val="ru-RU"/>
              </w:rPr>
            </w:pPr>
            <w:r w:rsidRPr="005A4594">
              <w:rPr>
                <w:rFonts w:cs="Arial"/>
                <w:bCs/>
                <w:sz w:val="20"/>
                <w:lang w:val="ru-RU"/>
              </w:rPr>
              <w:t>Ценные бумаги на счетах депо клиентов депозитария Банка</w:t>
            </w:r>
          </w:p>
        </w:tc>
        <w:tc>
          <w:tcPr>
            <w:tcW w:w="903" w:type="pct"/>
            <w:tcBorders>
              <w:top w:val="nil"/>
              <w:left w:val="nil"/>
              <w:bottom w:val="nil"/>
              <w:right w:val="nil"/>
            </w:tcBorders>
            <w:shd w:val="clear" w:color="auto" w:fill="auto"/>
            <w:noWrap/>
            <w:vAlign w:val="bottom"/>
            <w:hideMark/>
          </w:tcPr>
          <w:p w:rsidR="00030EF4" w:rsidRPr="005A4594" w:rsidRDefault="00030EF4" w:rsidP="00C06AC5">
            <w:pPr>
              <w:jc w:val="right"/>
              <w:rPr>
                <w:rFonts w:cs="Arial"/>
                <w:b/>
                <w:bCs/>
                <w:color w:val="000000"/>
                <w:sz w:val="20"/>
                <w:lang w:val="ru-RU"/>
              </w:rPr>
            </w:pPr>
            <w:r w:rsidRPr="005A4594">
              <w:rPr>
                <w:rFonts w:cs="Arial"/>
                <w:color w:val="000000"/>
                <w:sz w:val="20"/>
                <w:lang w:val="ru-RU"/>
              </w:rPr>
              <w:t>1 246 806</w:t>
            </w:r>
          </w:p>
        </w:tc>
        <w:tc>
          <w:tcPr>
            <w:tcW w:w="955" w:type="pct"/>
            <w:tcBorders>
              <w:top w:val="nil"/>
              <w:left w:val="nil"/>
              <w:bottom w:val="nil"/>
              <w:right w:val="nil"/>
            </w:tcBorders>
            <w:shd w:val="clear" w:color="auto" w:fill="auto"/>
            <w:noWrap/>
            <w:vAlign w:val="bottom"/>
            <w:hideMark/>
          </w:tcPr>
          <w:p w:rsidR="00030EF4" w:rsidRPr="005A4594" w:rsidRDefault="00030EF4" w:rsidP="00C06AC5">
            <w:pPr>
              <w:jc w:val="right"/>
              <w:rPr>
                <w:rFonts w:cs="Arial"/>
                <w:b/>
                <w:bCs/>
                <w:color w:val="000000"/>
                <w:sz w:val="20"/>
                <w:lang w:val="ru-RU"/>
              </w:rPr>
            </w:pPr>
            <w:r w:rsidRPr="005A4594">
              <w:rPr>
                <w:rFonts w:cs="Arial"/>
                <w:color w:val="000000"/>
                <w:sz w:val="20"/>
                <w:lang w:val="ru-RU"/>
              </w:rPr>
              <w:t>2 152 945</w:t>
            </w:r>
          </w:p>
        </w:tc>
      </w:tr>
    </w:tbl>
    <w:p w:rsidR="00030EF4" w:rsidRPr="00DB0AC3" w:rsidRDefault="00030EF4" w:rsidP="00690E61">
      <w:pPr>
        <w:pStyle w:val="210"/>
        <w:shd w:val="clear" w:color="auto" w:fill="auto"/>
        <w:spacing w:line="230" w:lineRule="exact"/>
        <w:ind w:firstLine="0"/>
        <w:rPr>
          <w:b w:val="0"/>
          <w:sz w:val="20"/>
          <w:szCs w:val="24"/>
        </w:rPr>
      </w:pPr>
    </w:p>
    <w:p w:rsidR="00030EF4" w:rsidRPr="00DB0AC3" w:rsidRDefault="00030EF4" w:rsidP="00690E61">
      <w:pPr>
        <w:pStyle w:val="210"/>
        <w:shd w:val="clear" w:color="auto" w:fill="auto"/>
        <w:spacing w:line="230" w:lineRule="exact"/>
        <w:ind w:firstLine="0"/>
        <w:rPr>
          <w:b w:val="0"/>
          <w:sz w:val="20"/>
          <w:szCs w:val="24"/>
        </w:rPr>
      </w:pPr>
    </w:p>
    <w:p w:rsidR="00944286" w:rsidRPr="00DB0AC3" w:rsidRDefault="00865493" w:rsidP="00F12BD4">
      <w:pPr>
        <w:pStyle w:val="1"/>
        <w:keepNext w:val="0"/>
        <w:spacing w:before="0"/>
        <w:rPr>
          <w:rFonts w:cs="Arial"/>
          <w:szCs w:val="24"/>
          <w:lang w:val="ru-RU"/>
        </w:rPr>
      </w:pPr>
      <w:bookmarkStart w:id="230" w:name="_Toc441479819"/>
      <w:r w:rsidRPr="00DB0AC3">
        <w:rPr>
          <w:rFonts w:cs="Arial"/>
          <w:szCs w:val="24"/>
          <w:lang w:val="ru-RU"/>
        </w:rPr>
        <w:t>Справедливая стоимость финансовых инструментов</w:t>
      </w:r>
      <w:bookmarkEnd w:id="230"/>
    </w:p>
    <w:p w:rsidR="0062600E" w:rsidRPr="00DB0AC3" w:rsidRDefault="00092FBA" w:rsidP="00C06AC5">
      <w:pPr>
        <w:pStyle w:val="210"/>
        <w:shd w:val="clear" w:color="auto" w:fill="auto"/>
        <w:spacing w:line="216" w:lineRule="exact"/>
        <w:ind w:firstLine="0"/>
        <w:jc w:val="both"/>
        <w:rPr>
          <w:b w:val="0"/>
          <w:sz w:val="20"/>
          <w:szCs w:val="24"/>
        </w:rPr>
      </w:pPr>
      <w:r w:rsidRPr="00DB0AC3">
        <w:rPr>
          <w:b w:val="0"/>
          <w:sz w:val="20"/>
          <w:szCs w:val="24"/>
        </w:rPr>
        <w:t>Оценочная справедливая стоимость финансовых инструментов рассчитывалась Банком исходя из имеющейся рыночной информации (если она существовала) и надлежащих методик оценки. Однако</w:t>
      </w:r>
      <w:r w:rsidR="00986A65">
        <w:rPr>
          <w:b w:val="0"/>
          <w:sz w:val="20"/>
          <w:szCs w:val="24"/>
        </w:rPr>
        <w:t>,</w:t>
      </w:r>
      <w:r w:rsidRPr="00DB0AC3">
        <w:rPr>
          <w:b w:val="0"/>
          <w:sz w:val="20"/>
          <w:szCs w:val="24"/>
        </w:rPr>
        <w:t xml:space="preserve"> для интерпретации рыночной информации в целях определения справедливой стоимости необходимо применять профессиональные суждения. Экономика Российской Федерации продолжает проявлять некоторые характерные особенности, присущие развивающимся странам, а экономические условия продолжают ограничивать объемы активности на финансовых рынках (см. Примечание 2). При определении справедливой стоимости финансовых инструментов Банк использует всю имеющуюся рыночную информацию.</w:t>
      </w:r>
    </w:p>
    <w:p w:rsidR="0062600E" w:rsidRPr="00DB0AC3" w:rsidRDefault="00092FBA" w:rsidP="00C06AC5">
      <w:pPr>
        <w:pStyle w:val="210"/>
        <w:shd w:val="clear" w:color="auto" w:fill="auto"/>
        <w:spacing w:line="221" w:lineRule="exact"/>
        <w:ind w:firstLine="0"/>
        <w:jc w:val="both"/>
        <w:rPr>
          <w:b w:val="0"/>
          <w:sz w:val="20"/>
          <w:szCs w:val="24"/>
        </w:rPr>
      </w:pPr>
      <w:r w:rsidRPr="00DB0AC3">
        <w:rPr>
          <w:b w:val="0"/>
          <w:sz w:val="20"/>
          <w:szCs w:val="24"/>
        </w:rPr>
        <w:t>Оценочная справедливая стоимость инструментов с фиксированной процентной ставкой, не имеющих рыночной цены, основывается на дисконтированных денежных потоках с применением процентных ставок для новых инструментов с аналогичным кредитным риском и аналогичным сроком погашения. В настоящий момент у Банка нет таких инструментов.</w:t>
      </w:r>
    </w:p>
    <w:p w:rsidR="0062600E" w:rsidRPr="00DB0AC3" w:rsidRDefault="00092FBA" w:rsidP="00C06AC5">
      <w:pPr>
        <w:pStyle w:val="210"/>
        <w:shd w:val="clear" w:color="auto" w:fill="auto"/>
        <w:spacing w:line="221" w:lineRule="exact"/>
        <w:ind w:firstLine="0"/>
        <w:jc w:val="both"/>
        <w:rPr>
          <w:b w:val="0"/>
          <w:sz w:val="20"/>
          <w:szCs w:val="24"/>
        </w:rPr>
      </w:pPr>
      <w:r w:rsidRPr="00DB0AC3">
        <w:rPr>
          <w:b w:val="0"/>
          <w:sz w:val="20"/>
          <w:szCs w:val="24"/>
        </w:rPr>
        <w:t>Используемые ставки дисконтирования зависят от кредитного риска Банка, а также от валюты и срока погашения инструмента контрагента и варьируются от 8% до 12% в год.</w:t>
      </w:r>
    </w:p>
    <w:p w:rsidR="0062600E" w:rsidRPr="00DB0AC3" w:rsidRDefault="00092FBA" w:rsidP="00C06AC5">
      <w:pPr>
        <w:pStyle w:val="210"/>
        <w:shd w:val="clear" w:color="auto" w:fill="auto"/>
        <w:spacing w:line="216" w:lineRule="exact"/>
        <w:ind w:firstLine="0"/>
        <w:jc w:val="both"/>
        <w:rPr>
          <w:b w:val="0"/>
          <w:sz w:val="20"/>
          <w:szCs w:val="24"/>
        </w:rPr>
      </w:pPr>
      <w:r w:rsidRPr="00DB0AC3">
        <w:rPr>
          <w:b w:val="0"/>
          <w:sz w:val="20"/>
          <w:szCs w:val="24"/>
        </w:rPr>
        <w:t xml:space="preserve">Руководство полагает, что, если не указано иначе, активы и обязательства не отражаются по справедливой стоимости (только ценные бумаги и </w:t>
      </w:r>
      <w:r w:rsidR="00986A65">
        <w:rPr>
          <w:b w:val="0"/>
          <w:sz w:val="20"/>
          <w:szCs w:val="24"/>
        </w:rPr>
        <w:t>долгосрочные</w:t>
      </w:r>
      <w:r w:rsidR="00B84D52">
        <w:rPr>
          <w:b w:val="0"/>
          <w:sz w:val="20"/>
          <w:szCs w:val="24"/>
        </w:rPr>
        <w:t xml:space="preserve"> </w:t>
      </w:r>
      <w:r w:rsidRPr="00DB0AC3">
        <w:rPr>
          <w:b w:val="0"/>
          <w:sz w:val="20"/>
          <w:szCs w:val="24"/>
        </w:rPr>
        <w:t>активы, удерживаемые для продажи, отражаются в настоящее время по справедливой стоимости), но при этом их справедливая стоимость близка к балансовой стоимости, отраженной в отчете о финансовом положении.</w:t>
      </w:r>
    </w:p>
    <w:p w:rsidR="0062600E" w:rsidRPr="00DB0AC3" w:rsidRDefault="00092FBA" w:rsidP="00C06AC5">
      <w:pPr>
        <w:pStyle w:val="210"/>
        <w:shd w:val="clear" w:color="auto" w:fill="auto"/>
        <w:spacing w:line="221" w:lineRule="exact"/>
        <w:ind w:firstLine="0"/>
        <w:jc w:val="both"/>
        <w:rPr>
          <w:b w:val="0"/>
          <w:sz w:val="20"/>
          <w:szCs w:val="24"/>
        </w:rPr>
      </w:pPr>
      <w:r w:rsidRPr="00DB0AC3">
        <w:rPr>
          <w:b w:val="0"/>
          <w:sz w:val="20"/>
          <w:szCs w:val="24"/>
        </w:rPr>
        <w:t>Справедливая стоимость финансовых активов и финансовых обязательств Банка определяется следующим образом:</w:t>
      </w:r>
    </w:p>
    <w:p w:rsidR="0062600E" w:rsidRPr="00DB0AC3" w:rsidRDefault="00092FBA" w:rsidP="00C06AC5">
      <w:pPr>
        <w:pStyle w:val="210"/>
        <w:shd w:val="clear" w:color="auto" w:fill="auto"/>
        <w:spacing w:line="221" w:lineRule="exact"/>
        <w:ind w:firstLine="0"/>
        <w:jc w:val="both"/>
        <w:rPr>
          <w:b w:val="0"/>
          <w:sz w:val="20"/>
          <w:szCs w:val="24"/>
        </w:rPr>
      </w:pPr>
      <w:r w:rsidRPr="00DB0AC3">
        <w:rPr>
          <w:b w:val="0"/>
          <w:sz w:val="20"/>
          <w:szCs w:val="24"/>
        </w:rPr>
        <w:t>Справедливая стоимость финансовых инструментов, оцениваемых по справедливой стоимости, определяется на основе рыночных котировок (Уровень 1 в соответствии с МСФО 7);</w:t>
      </w:r>
    </w:p>
    <w:p w:rsidR="0062600E" w:rsidRPr="00DB0AC3" w:rsidRDefault="00092FBA" w:rsidP="00C06AC5">
      <w:pPr>
        <w:pStyle w:val="210"/>
        <w:shd w:val="clear" w:color="auto" w:fill="auto"/>
        <w:spacing w:line="216" w:lineRule="exact"/>
        <w:ind w:firstLine="0"/>
        <w:jc w:val="both"/>
        <w:rPr>
          <w:b w:val="0"/>
          <w:sz w:val="20"/>
          <w:szCs w:val="24"/>
        </w:rPr>
      </w:pPr>
      <w:r w:rsidRPr="00DB0AC3">
        <w:rPr>
          <w:b w:val="0"/>
          <w:sz w:val="20"/>
          <w:szCs w:val="24"/>
        </w:rPr>
        <w:t>Справедливая стоимость прочих финансовых инструментов определяется в соответствии с общепринятыми методиками оценки на основе анализа дисконтированных денежных потоков с использованием текущих рыночных ставок на подобного рода инструменты (иные, чем котировки, относящиеся к бумагам Уровня 1).</w:t>
      </w:r>
    </w:p>
    <w:p w:rsidR="0062600E" w:rsidRPr="00DB0AC3" w:rsidRDefault="00092FBA" w:rsidP="00C06AC5">
      <w:pPr>
        <w:pStyle w:val="210"/>
        <w:numPr>
          <w:ilvl w:val="0"/>
          <w:numId w:val="26"/>
        </w:numPr>
        <w:shd w:val="clear" w:color="auto" w:fill="auto"/>
        <w:tabs>
          <w:tab w:val="left" w:pos="736"/>
        </w:tabs>
        <w:spacing w:line="221" w:lineRule="exact"/>
        <w:ind w:left="720" w:hanging="360"/>
        <w:jc w:val="both"/>
        <w:rPr>
          <w:b w:val="0"/>
          <w:sz w:val="20"/>
          <w:szCs w:val="24"/>
        </w:rPr>
      </w:pPr>
      <w:r w:rsidRPr="00DB0AC3">
        <w:rPr>
          <w:b w:val="0"/>
          <w:sz w:val="20"/>
          <w:szCs w:val="24"/>
        </w:rPr>
        <w:t>Уровень 1: справедливая стоимость определяется исходя из текущих рыночных котировок на</w:t>
      </w:r>
      <w:r w:rsidR="00B2704D">
        <w:rPr>
          <w:b w:val="0"/>
          <w:sz w:val="20"/>
          <w:szCs w:val="24"/>
        </w:rPr>
        <w:t xml:space="preserve"> </w:t>
      </w:r>
      <w:r w:rsidRPr="00DB0AC3">
        <w:rPr>
          <w:b w:val="0"/>
          <w:sz w:val="20"/>
          <w:szCs w:val="24"/>
        </w:rPr>
        <w:t>подобного рода инструменты.</w:t>
      </w:r>
    </w:p>
    <w:p w:rsidR="0062600E" w:rsidRPr="00DB0AC3" w:rsidRDefault="00092FBA" w:rsidP="00C06AC5">
      <w:pPr>
        <w:pStyle w:val="210"/>
        <w:numPr>
          <w:ilvl w:val="0"/>
          <w:numId w:val="26"/>
        </w:numPr>
        <w:shd w:val="clear" w:color="auto" w:fill="auto"/>
        <w:tabs>
          <w:tab w:val="left" w:pos="736"/>
        </w:tabs>
        <w:spacing w:line="216" w:lineRule="exact"/>
        <w:ind w:left="720" w:hanging="360"/>
        <w:jc w:val="both"/>
        <w:rPr>
          <w:b w:val="0"/>
          <w:sz w:val="20"/>
          <w:szCs w:val="24"/>
        </w:rPr>
      </w:pPr>
      <w:r w:rsidRPr="00DB0AC3">
        <w:rPr>
          <w:b w:val="0"/>
          <w:sz w:val="20"/>
          <w:szCs w:val="24"/>
        </w:rPr>
        <w:t>Уровень 2: справедливая стоимость определяется исходя из цен, иных, чем текущие рыночные котировки, используемые для инструментов, относящихся к уровню 1, как напрямую, т.е. путем использования цен на подобные инструменты, так и косвенно</w:t>
      </w:r>
      <w:r w:rsidR="00986A65">
        <w:rPr>
          <w:b w:val="0"/>
          <w:sz w:val="20"/>
          <w:szCs w:val="24"/>
        </w:rPr>
        <w:t>,</w:t>
      </w:r>
      <w:r w:rsidRPr="00DB0AC3">
        <w:rPr>
          <w:b w:val="0"/>
          <w:sz w:val="20"/>
          <w:szCs w:val="24"/>
        </w:rPr>
        <w:t xml:space="preserve"> путем определения стоимости самостоятельно.</w:t>
      </w:r>
    </w:p>
    <w:p w:rsidR="0062600E" w:rsidRPr="00DB0AC3" w:rsidRDefault="00092FBA" w:rsidP="00C06AC5">
      <w:pPr>
        <w:pStyle w:val="210"/>
        <w:numPr>
          <w:ilvl w:val="0"/>
          <w:numId w:val="26"/>
        </w:numPr>
        <w:shd w:val="clear" w:color="auto" w:fill="auto"/>
        <w:tabs>
          <w:tab w:val="left" w:pos="736"/>
        </w:tabs>
        <w:spacing w:line="216" w:lineRule="exact"/>
        <w:ind w:left="720" w:hanging="360"/>
        <w:jc w:val="both"/>
        <w:rPr>
          <w:b w:val="0"/>
          <w:sz w:val="20"/>
          <w:szCs w:val="24"/>
        </w:rPr>
      </w:pPr>
      <w:r w:rsidRPr="00DB0AC3">
        <w:rPr>
          <w:b w:val="0"/>
          <w:sz w:val="20"/>
          <w:szCs w:val="24"/>
        </w:rPr>
        <w:t>Уровень 3: справедливая стоимость определяется с помощью использования моделей оценки, для которых входящими данными являются оценки руководства, в силу отсутствия аналогичной рыночной информации</w:t>
      </w:r>
    </w:p>
    <w:p w:rsidR="0062600E" w:rsidRPr="00DB0AC3" w:rsidRDefault="00092FBA" w:rsidP="00C06AC5">
      <w:pPr>
        <w:pStyle w:val="210"/>
        <w:shd w:val="clear" w:color="auto" w:fill="auto"/>
        <w:tabs>
          <w:tab w:val="left" w:pos="736"/>
        </w:tabs>
        <w:spacing w:line="216" w:lineRule="exact"/>
        <w:ind w:firstLine="0"/>
        <w:jc w:val="both"/>
        <w:rPr>
          <w:b w:val="0"/>
          <w:sz w:val="20"/>
          <w:szCs w:val="24"/>
        </w:rPr>
      </w:pPr>
      <w:r w:rsidRPr="00DB0AC3">
        <w:rPr>
          <w:rStyle w:val="25"/>
          <w:bCs/>
          <w:color w:val="000000"/>
        </w:rPr>
        <w:t xml:space="preserve">В </w:t>
      </w:r>
      <w:r w:rsidRPr="00DB0AC3">
        <w:rPr>
          <w:b w:val="0"/>
          <w:sz w:val="20"/>
          <w:szCs w:val="24"/>
        </w:rPr>
        <w:t>таблице ниже представлен анализ финансовых инструментов, учитываемых по справедливой стоимости с момента отражения в учете, и сгруппированных по уровням 1-3, исходя из наличия котировок для оценки справедливой стоимости, по состоянию на 31 декабря 2014</w:t>
      </w:r>
      <w:r w:rsidR="00530233" w:rsidRPr="00DB0AC3">
        <w:rPr>
          <w:b w:val="0"/>
          <w:sz w:val="20"/>
          <w:szCs w:val="24"/>
        </w:rPr>
        <w:t>:</w:t>
      </w:r>
    </w:p>
    <w:tbl>
      <w:tblPr>
        <w:tblW w:w="5000" w:type="pct"/>
        <w:tblLook w:val="04A0"/>
      </w:tblPr>
      <w:tblGrid>
        <w:gridCol w:w="4075"/>
        <w:gridCol w:w="1721"/>
        <w:gridCol w:w="2082"/>
        <w:gridCol w:w="1945"/>
      </w:tblGrid>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p>
          <w:p w:rsidR="00530233" w:rsidRPr="005A4594" w:rsidRDefault="00530233" w:rsidP="00530233">
            <w:pPr>
              <w:rPr>
                <w:rFonts w:cs="Arial"/>
                <w:b/>
                <w:bCs/>
                <w:color w:val="000000"/>
                <w:sz w:val="20"/>
                <w:lang w:val="ru-RU"/>
              </w:rPr>
            </w:pPr>
            <w:r w:rsidRPr="005A4594">
              <w:rPr>
                <w:rFonts w:cs="Arial"/>
                <w:b/>
                <w:bCs/>
                <w:color w:val="000000"/>
                <w:sz w:val="20"/>
                <w:lang w:val="ru-RU"/>
              </w:rPr>
              <w:t>На 31 декабря 2014</w:t>
            </w:r>
          </w:p>
        </w:tc>
        <w:tc>
          <w:tcPr>
            <w:tcW w:w="876" w:type="pct"/>
            <w:tcBorders>
              <w:top w:val="nil"/>
              <w:left w:val="nil"/>
              <w:bottom w:val="single" w:sz="4" w:space="0" w:color="auto"/>
              <w:right w:val="nil"/>
            </w:tcBorders>
            <w:shd w:val="clear" w:color="auto" w:fill="auto"/>
            <w:noWrap/>
            <w:vAlign w:val="bottom"/>
            <w:hideMark/>
          </w:tcPr>
          <w:p w:rsidR="0062600E" w:rsidRPr="005A4594" w:rsidRDefault="00530233" w:rsidP="00C06AC5">
            <w:pPr>
              <w:jc w:val="right"/>
              <w:rPr>
                <w:rFonts w:cs="Arial"/>
                <w:b/>
                <w:bCs/>
                <w:color w:val="000000"/>
                <w:sz w:val="20"/>
                <w:lang w:val="ru-RU"/>
              </w:rPr>
            </w:pPr>
            <w:r w:rsidRPr="005A4594">
              <w:rPr>
                <w:rFonts w:cs="Arial"/>
                <w:b/>
                <w:bCs/>
                <w:color w:val="000000"/>
                <w:sz w:val="20"/>
                <w:lang w:val="ru-RU"/>
              </w:rPr>
              <w:t>Уровень 1</w:t>
            </w:r>
          </w:p>
        </w:tc>
        <w:tc>
          <w:tcPr>
            <w:tcW w:w="1060" w:type="pct"/>
            <w:tcBorders>
              <w:top w:val="nil"/>
              <w:left w:val="nil"/>
              <w:bottom w:val="single" w:sz="4" w:space="0" w:color="auto"/>
              <w:right w:val="nil"/>
            </w:tcBorders>
            <w:shd w:val="clear" w:color="auto" w:fill="auto"/>
            <w:noWrap/>
            <w:vAlign w:val="bottom"/>
            <w:hideMark/>
          </w:tcPr>
          <w:p w:rsidR="0062600E" w:rsidRPr="005A4594" w:rsidRDefault="00530233" w:rsidP="00C06AC5">
            <w:pPr>
              <w:jc w:val="right"/>
              <w:rPr>
                <w:rFonts w:cs="Arial"/>
                <w:b/>
                <w:bCs/>
                <w:color w:val="000000"/>
                <w:sz w:val="20"/>
                <w:lang w:val="ru-RU"/>
              </w:rPr>
            </w:pPr>
            <w:r w:rsidRPr="005A4594">
              <w:rPr>
                <w:rFonts w:cs="Arial"/>
                <w:b/>
                <w:bCs/>
                <w:color w:val="000000"/>
                <w:sz w:val="20"/>
                <w:lang w:val="ru-RU"/>
              </w:rPr>
              <w:t xml:space="preserve">Уровень 3 </w:t>
            </w:r>
          </w:p>
        </w:tc>
        <w:tc>
          <w:tcPr>
            <w:tcW w:w="990" w:type="pct"/>
            <w:tcBorders>
              <w:top w:val="nil"/>
              <w:left w:val="nil"/>
              <w:bottom w:val="single" w:sz="4" w:space="0" w:color="auto"/>
              <w:right w:val="nil"/>
            </w:tcBorders>
            <w:shd w:val="clear" w:color="auto" w:fill="auto"/>
            <w:noWrap/>
            <w:vAlign w:val="bottom"/>
            <w:hideMark/>
          </w:tcPr>
          <w:p w:rsidR="0062600E" w:rsidRPr="005A4594" w:rsidRDefault="00530233" w:rsidP="00C06AC5">
            <w:pPr>
              <w:jc w:val="right"/>
              <w:rPr>
                <w:rFonts w:cs="Arial"/>
                <w:b/>
                <w:bCs/>
                <w:color w:val="000000"/>
                <w:sz w:val="20"/>
                <w:lang w:val="ru-RU"/>
              </w:rPr>
            </w:pPr>
            <w:r w:rsidRPr="005A4594">
              <w:rPr>
                <w:rFonts w:cs="Arial"/>
                <w:b/>
                <w:bCs/>
                <w:color w:val="000000"/>
                <w:sz w:val="20"/>
                <w:lang w:val="ru-RU"/>
              </w:rPr>
              <w:t>Итого</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t>Финансовые активы</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 xml:space="preserve">                         -     </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 xml:space="preserve">                                -     </w:t>
            </w:r>
          </w:p>
        </w:tc>
        <w:tc>
          <w:tcPr>
            <w:tcW w:w="990"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 xml:space="preserve">                             -     </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Котируемые акции</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152 493</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0</w:t>
            </w:r>
          </w:p>
        </w:tc>
        <w:tc>
          <w:tcPr>
            <w:tcW w:w="99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152 493</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Акции банков</w:t>
            </w:r>
          </w:p>
        </w:tc>
        <w:tc>
          <w:tcPr>
            <w:tcW w:w="876" w:type="pct"/>
            <w:tcBorders>
              <w:top w:val="nil"/>
              <w:left w:val="nil"/>
              <w:bottom w:val="nil"/>
              <w:right w:val="nil"/>
            </w:tcBorders>
            <w:shd w:val="clear" w:color="auto" w:fill="auto"/>
            <w:noWrap/>
            <w:hideMark/>
          </w:tcPr>
          <w:p w:rsidR="00530233" w:rsidRPr="005A4594" w:rsidRDefault="00530233">
            <w:pPr>
              <w:rPr>
                <w:rFonts w:cs="Arial"/>
                <w:sz w:val="20"/>
              </w:rPr>
            </w:pPr>
            <w:r w:rsidRPr="005A4594">
              <w:rPr>
                <w:rFonts w:cs="Arial"/>
                <w:color w:val="000000"/>
                <w:sz w:val="20"/>
                <w:lang w:val="ru-RU"/>
              </w:rPr>
              <w:t xml:space="preserve">                         -     </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123 326</w:t>
            </w:r>
          </w:p>
        </w:tc>
        <w:tc>
          <w:tcPr>
            <w:tcW w:w="99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123 326</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Прочие корпоративные акции</w:t>
            </w:r>
          </w:p>
        </w:tc>
        <w:tc>
          <w:tcPr>
            <w:tcW w:w="876" w:type="pct"/>
            <w:tcBorders>
              <w:top w:val="nil"/>
              <w:left w:val="nil"/>
              <w:bottom w:val="single" w:sz="4" w:space="0" w:color="auto"/>
              <w:right w:val="nil"/>
            </w:tcBorders>
            <w:shd w:val="clear" w:color="auto" w:fill="auto"/>
            <w:noWrap/>
            <w:hideMark/>
          </w:tcPr>
          <w:p w:rsidR="00530233" w:rsidRPr="005A4594" w:rsidRDefault="00530233">
            <w:pPr>
              <w:rPr>
                <w:rFonts w:cs="Arial"/>
                <w:sz w:val="20"/>
              </w:rPr>
            </w:pPr>
            <w:r w:rsidRPr="005A4594">
              <w:rPr>
                <w:rFonts w:cs="Arial"/>
                <w:color w:val="000000"/>
                <w:sz w:val="20"/>
                <w:lang w:val="ru-RU"/>
              </w:rPr>
              <w:t xml:space="preserve">                         -     </w:t>
            </w:r>
          </w:p>
        </w:tc>
        <w:tc>
          <w:tcPr>
            <w:tcW w:w="106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2 771</w:t>
            </w:r>
          </w:p>
        </w:tc>
        <w:tc>
          <w:tcPr>
            <w:tcW w:w="99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2 771</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c>
          <w:tcPr>
            <w:tcW w:w="876" w:type="pct"/>
            <w:tcBorders>
              <w:top w:val="single" w:sz="4" w:space="0" w:color="auto"/>
              <w:left w:val="nil"/>
              <w:bottom w:val="double" w:sz="4" w:space="0" w:color="auto"/>
              <w:right w:val="nil"/>
            </w:tcBorders>
            <w:shd w:val="clear" w:color="auto" w:fill="auto"/>
            <w:noWrap/>
            <w:vAlign w:val="bottom"/>
            <w:hideMark/>
          </w:tcPr>
          <w:p w:rsidR="00530233" w:rsidRPr="005A4594" w:rsidRDefault="00530233" w:rsidP="00530233">
            <w:pPr>
              <w:jc w:val="right"/>
              <w:rPr>
                <w:rFonts w:cs="Arial"/>
                <w:b/>
                <w:bCs/>
                <w:sz w:val="20"/>
                <w:lang w:val="ru-RU"/>
              </w:rPr>
            </w:pPr>
            <w:r w:rsidRPr="005A4594">
              <w:rPr>
                <w:rFonts w:cs="Arial"/>
                <w:b/>
                <w:bCs/>
                <w:sz w:val="20"/>
                <w:lang w:val="ru-RU"/>
              </w:rPr>
              <w:t>152 493</w:t>
            </w:r>
          </w:p>
        </w:tc>
        <w:tc>
          <w:tcPr>
            <w:tcW w:w="1060" w:type="pct"/>
            <w:tcBorders>
              <w:top w:val="single" w:sz="4" w:space="0" w:color="auto"/>
              <w:left w:val="nil"/>
              <w:bottom w:val="double" w:sz="4" w:space="0" w:color="auto"/>
              <w:right w:val="nil"/>
            </w:tcBorders>
            <w:shd w:val="clear" w:color="auto" w:fill="auto"/>
            <w:noWrap/>
            <w:vAlign w:val="bottom"/>
            <w:hideMark/>
          </w:tcPr>
          <w:p w:rsidR="00530233" w:rsidRPr="005A4594" w:rsidRDefault="00530233" w:rsidP="00530233">
            <w:pPr>
              <w:jc w:val="right"/>
              <w:rPr>
                <w:rFonts w:cs="Arial"/>
                <w:b/>
                <w:bCs/>
                <w:sz w:val="20"/>
                <w:lang w:val="ru-RU"/>
              </w:rPr>
            </w:pPr>
            <w:r w:rsidRPr="005A4594">
              <w:rPr>
                <w:rFonts w:cs="Arial"/>
                <w:b/>
                <w:bCs/>
                <w:sz w:val="20"/>
                <w:lang w:val="ru-RU"/>
              </w:rPr>
              <w:t>126 097</w:t>
            </w:r>
          </w:p>
        </w:tc>
        <w:tc>
          <w:tcPr>
            <w:tcW w:w="990" w:type="pct"/>
            <w:tcBorders>
              <w:top w:val="single" w:sz="4" w:space="0" w:color="auto"/>
              <w:left w:val="nil"/>
              <w:bottom w:val="double" w:sz="4" w:space="0" w:color="auto"/>
              <w:right w:val="nil"/>
            </w:tcBorders>
            <w:shd w:val="clear" w:color="auto" w:fill="auto"/>
            <w:noWrap/>
            <w:vAlign w:val="bottom"/>
            <w:hideMark/>
          </w:tcPr>
          <w:p w:rsidR="00530233" w:rsidRPr="005A4594" w:rsidRDefault="00530233" w:rsidP="00530233">
            <w:pPr>
              <w:jc w:val="right"/>
              <w:rPr>
                <w:rFonts w:cs="Arial"/>
                <w:b/>
                <w:bCs/>
                <w:sz w:val="20"/>
                <w:lang w:val="ru-RU"/>
              </w:rPr>
            </w:pPr>
            <w:r w:rsidRPr="005A4594">
              <w:rPr>
                <w:rFonts w:cs="Arial"/>
                <w:b/>
                <w:bCs/>
                <w:sz w:val="20"/>
                <w:lang w:val="ru-RU"/>
              </w:rPr>
              <w:t>278 590</w:t>
            </w:r>
          </w:p>
        </w:tc>
      </w:tr>
    </w:tbl>
    <w:p w:rsidR="00530233" w:rsidRPr="00DB0AC3" w:rsidRDefault="00530233" w:rsidP="00092FBA">
      <w:pPr>
        <w:pStyle w:val="210"/>
        <w:shd w:val="clear" w:color="auto" w:fill="auto"/>
        <w:tabs>
          <w:tab w:val="left" w:pos="736"/>
        </w:tabs>
        <w:spacing w:line="216" w:lineRule="exact"/>
        <w:ind w:firstLine="0"/>
        <w:rPr>
          <w:b w:val="0"/>
          <w:sz w:val="20"/>
          <w:szCs w:val="24"/>
        </w:rPr>
      </w:pPr>
    </w:p>
    <w:p w:rsidR="00530233" w:rsidRPr="00DB0AC3" w:rsidRDefault="00530233" w:rsidP="00092FBA">
      <w:pPr>
        <w:pStyle w:val="210"/>
        <w:shd w:val="clear" w:color="auto" w:fill="auto"/>
        <w:tabs>
          <w:tab w:val="left" w:pos="736"/>
        </w:tabs>
        <w:spacing w:line="216" w:lineRule="exact"/>
        <w:ind w:firstLine="0"/>
        <w:rPr>
          <w:b w:val="0"/>
          <w:sz w:val="20"/>
          <w:szCs w:val="24"/>
        </w:rPr>
      </w:pPr>
      <w:r w:rsidRPr="00DB0AC3">
        <w:rPr>
          <w:b w:val="0"/>
          <w:sz w:val="20"/>
          <w:szCs w:val="24"/>
        </w:rPr>
        <w:t>Ниже представлены данные о движении инвестиций, относящихся к 3-му уровню:</w:t>
      </w:r>
    </w:p>
    <w:tbl>
      <w:tblPr>
        <w:tblW w:w="5000" w:type="pct"/>
        <w:tblLook w:val="04A0"/>
      </w:tblPr>
      <w:tblGrid>
        <w:gridCol w:w="4075"/>
        <w:gridCol w:w="1721"/>
        <w:gridCol w:w="2082"/>
        <w:gridCol w:w="1945"/>
      </w:tblGrid>
      <w:tr w:rsidR="00530233" w:rsidRPr="00DB0AC3" w:rsidTr="00EF4FA2">
        <w:trPr>
          <w:trHeight w:val="12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c>
          <w:tcPr>
            <w:tcW w:w="876"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center"/>
              <w:rPr>
                <w:rFonts w:cs="Arial"/>
                <w:b/>
                <w:bCs/>
                <w:color w:val="000000"/>
                <w:sz w:val="20"/>
                <w:lang w:val="ru-RU"/>
              </w:rPr>
            </w:pPr>
            <w:r w:rsidRPr="005A4594">
              <w:rPr>
                <w:rFonts w:cs="Arial"/>
                <w:b/>
                <w:bCs/>
                <w:color w:val="000000"/>
                <w:sz w:val="20"/>
                <w:lang w:val="ru-RU"/>
              </w:rPr>
              <w:t>Акции банков</w:t>
            </w:r>
          </w:p>
        </w:tc>
        <w:tc>
          <w:tcPr>
            <w:tcW w:w="1060" w:type="pct"/>
            <w:tcBorders>
              <w:top w:val="nil"/>
              <w:left w:val="nil"/>
              <w:bottom w:val="single" w:sz="4" w:space="0" w:color="auto"/>
              <w:right w:val="nil"/>
            </w:tcBorders>
            <w:shd w:val="clear" w:color="auto" w:fill="auto"/>
            <w:vAlign w:val="bottom"/>
            <w:hideMark/>
          </w:tcPr>
          <w:p w:rsidR="00530233" w:rsidRPr="005A4594" w:rsidRDefault="00530233" w:rsidP="00530233">
            <w:pPr>
              <w:jc w:val="center"/>
              <w:rPr>
                <w:rFonts w:cs="Arial"/>
                <w:b/>
                <w:bCs/>
                <w:color w:val="000000"/>
                <w:sz w:val="20"/>
                <w:lang w:val="ru-RU"/>
              </w:rPr>
            </w:pPr>
            <w:r w:rsidRPr="005A4594">
              <w:rPr>
                <w:rFonts w:cs="Arial"/>
                <w:b/>
                <w:bCs/>
                <w:color w:val="000000"/>
                <w:sz w:val="20"/>
                <w:lang w:val="ru-RU"/>
              </w:rPr>
              <w:t>Корпоративные акции</w:t>
            </w:r>
          </w:p>
        </w:tc>
        <w:tc>
          <w:tcPr>
            <w:tcW w:w="99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center"/>
              <w:rPr>
                <w:rFonts w:cs="Arial"/>
                <w:b/>
                <w:bCs/>
                <w:color w:val="000000"/>
                <w:sz w:val="20"/>
                <w:lang w:val="ru-RU"/>
              </w:rPr>
            </w:pPr>
            <w:r w:rsidRPr="005A4594">
              <w:rPr>
                <w:rFonts w:cs="Arial"/>
                <w:b/>
                <w:bCs/>
                <w:color w:val="000000"/>
                <w:sz w:val="20"/>
                <w:lang w:val="ru-RU"/>
              </w:rPr>
              <w:t>Итого</w:t>
            </w:r>
          </w:p>
        </w:tc>
      </w:tr>
      <w:tr w:rsidR="00530233" w:rsidRPr="00DB0AC3" w:rsidTr="00EF4FA2">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lastRenderedPageBreak/>
              <w:t>На 1 января 2014</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120 547</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41 904</w:t>
            </w:r>
          </w:p>
        </w:tc>
        <w:tc>
          <w:tcPr>
            <w:tcW w:w="99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162 451</w:t>
            </w:r>
          </w:p>
        </w:tc>
      </w:tr>
      <w:tr w:rsidR="00530233" w:rsidRPr="00DB0AC3" w:rsidTr="00EF4FA2">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Поступление</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2 779</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 xml:space="preserve">                                -     </w:t>
            </w:r>
          </w:p>
        </w:tc>
        <w:tc>
          <w:tcPr>
            <w:tcW w:w="99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2 779</w:t>
            </w:r>
          </w:p>
        </w:tc>
      </w:tr>
      <w:tr w:rsidR="00530233" w:rsidRPr="00DB0AC3" w:rsidTr="00EF4FA2">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Выбытие</w:t>
            </w:r>
          </w:p>
        </w:tc>
        <w:tc>
          <w:tcPr>
            <w:tcW w:w="876" w:type="pct"/>
            <w:tcBorders>
              <w:top w:val="nil"/>
              <w:left w:val="nil"/>
              <w:bottom w:val="single" w:sz="4" w:space="0" w:color="auto"/>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 xml:space="preserve">                         -     </w:t>
            </w:r>
          </w:p>
        </w:tc>
        <w:tc>
          <w:tcPr>
            <w:tcW w:w="106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39 133</w:t>
            </w:r>
          </w:p>
        </w:tc>
        <w:tc>
          <w:tcPr>
            <w:tcW w:w="99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39 133</w:t>
            </w:r>
          </w:p>
        </w:tc>
      </w:tr>
      <w:tr w:rsidR="00530233" w:rsidRPr="00DB0AC3" w:rsidTr="00EF4FA2">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t>На 31 декабря 2014</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123 326</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2 771</w:t>
            </w:r>
          </w:p>
        </w:tc>
        <w:tc>
          <w:tcPr>
            <w:tcW w:w="99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126 097</w:t>
            </w:r>
          </w:p>
        </w:tc>
      </w:tr>
    </w:tbl>
    <w:p w:rsidR="00530233" w:rsidRPr="00DB0AC3" w:rsidRDefault="00530233" w:rsidP="00092FBA">
      <w:pPr>
        <w:pStyle w:val="210"/>
        <w:shd w:val="clear" w:color="auto" w:fill="auto"/>
        <w:tabs>
          <w:tab w:val="left" w:pos="736"/>
        </w:tabs>
        <w:spacing w:line="216" w:lineRule="exact"/>
        <w:ind w:firstLine="0"/>
        <w:rPr>
          <w:b w:val="0"/>
          <w:sz w:val="20"/>
          <w:szCs w:val="24"/>
        </w:rPr>
      </w:pPr>
    </w:p>
    <w:p w:rsidR="0062600E" w:rsidRPr="00DB0AC3" w:rsidRDefault="0062600E" w:rsidP="00C06AC5">
      <w:pPr>
        <w:pStyle w:val="210"/>
        <w:shd w:val="clear" w:color="auto" w:fill="auto"/>
        <w:tabs>
          <w:tab w:val="left" w:pos="736"/>
        </w:tabs>
        <w:spacing w:line="216" w:lineRule="exact"/>
        <w:ind w:firstLine="0"/>
        <w:jc w:val="both"/>
        <w:rPr>
          <w:b w:val="0"/>
          <w:sz w:val="20"/>
          <w:szCs w:val="24"/>
        </w:rPr>
      </w:pPr>
    </w:p>
    <w:p w:rsidR="00092FBA" w:rsidRPr="00DB0AC3" w:rsidRDefault="00092FBA" w:rsidP="00F15D5C">
      <w:pPr>
        <w:pStyle w:val="210"/>
        <w:shd w:val="clear" w:color="auto" w:fill="auto"/>
        <w:tabs>
          <w:tab w:val="left" w:pos="736"/>
        </w:tabs>
        <w:spacing w:line="216" w:lineRule="exact"/>
        <w:ind w:firstLine="0"/>
        <w:jc w:val="both"/>
        <w:rPr>
          <w:b w:val="0"/>
          <w:sz w:val="20"/>
          <w:szCs w:val="24"/>
        </w:rPr>
      </w:pPr>
      <w:r w:rsidRPr="00DB0AC3">
        <w:rPr>
          <w:b w:val="0"/>
          <w:sz w:val="20"/>
          <w:szCs w:val="24"/>
        </w:rPr>
        <w:t>В таблице ниже представлен анализ финансовых инструментов, учитываемых по справедливой</w:t>
      </w:r>
      <w:r w:rsidR="00F15D5C" w:rsidRPr="00DB0AC3">
        <w:rPr>
          <w:b w:val="0"/>
          <w:sz w:val="20"/>
          <w:szCs w:val="24"/>
        </w:rPr>
        <w:t xml:space="preserve"> с</w:t>
      </w:r>
      <w:r w:rsidRPr="00DB0AC3">
        <w:rPr>
          <w:b w:val="0"/>
          <w:sz w:val="20"/>
          <w:szCs w:val="24"/>
        </w:rPr>
        <w:t>тоимости с момента отражения в учете, и сгруппированных по уровням 1-3, исходя из наличия</w:t>
      </w:r>
      <w:r w:rsidR="00B84D52">
        <w:rPr>
          <w:b w:val="0"/>
          <w:sz w:val="20"/>
          <w:szCs w:val="24"/>
        </w:rPr>
        <w:t xml:space="preserve"> </w:t>
      </w:r>
      <w:r w:rsidRPr="00DB0AC3">
        <w:rPr>
          <w:b w:val="0"/>
          <w:sz w:val="20"/>
          <w:szCs w:val="24"/>
        </w:rPr>
        <w:t>котировок для оценки справедливой стоимости, по состоянию на 31 декабря 201</w:t>
      </w:r>
      <w:r w:rsidR="00530233" w:rsidRPr="00DB0AC3">
        <w:rPr>
          <w:b w:val="0"/>
          <w:sz w:val="20"/>
          <w:szCs w:val="24"/>
        </w:rPr>
        <w:t>3</w:t>
      </w:r>
      <w:r w:rsidRPr="00DB0AC3">
        <w:rPr>
          <w:b w:val="0"/>
          <w:sz w:val="20"/>
          <w:szCs w:val="24"/>
        </w:rPr>
        <w:t>:</w:t>
      </w:r>
    </w:p>
    <w:p w:rsidR="00530233" w:rsidRPr="00DB0AC3" w:rsidRDefault="00530233" w:rsidP="00530233">
      <w:pPr>
        <w:pStyle w:val="210"/>
        <w:shd w:val="clear" w:color="auto" w:fill="auto"/>
        <w:tabs>
          <w:tab w:val="left" w:pos="736"/>
        </w:tabs>
        <w:spacing w:line="216" w:lineRule="exact"/>
        <w:ind w:firstLine="0"/>
        <w:rPr>
          <w:b w:val="0"/>
          <w:sz w:val="20"/>
          <w:szCs w:val="24"/>
        </w:rPr>
      </w:pPr>
    </w:p>
    <w:tbl>
      <w:tblPr>
        <w:tblW w:w="5000" w:type="pct"/>
        <w:tblLook w:val="04A0"/>
      </w:tblPr>
      <w:tblGrid>
        <w:gridCol w:w="4075"/>
        <w:gridCol w:w="1721"/>
        <w:gridCol w:w="2082"/>
        <w:gridCol w:w="1945"/>
      </w:tblGrid>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t>На 31 декабря 2013</w:t>
            </w:r>
          </w:p>
        </w:tc>
        <w:tc>
          <w:tcPr>
            <w:tcW w:w="876" w:type="pct"/>
            <w:tcBorders>
              <w:top w:val="nil"/>
              <w:left w:val="nil"/>
              <w:bottom w:val="single" w:sz="4" w:space="0" w:color="auto"/>
              <w:right w:val="nil"/>
            </w:tcBorders>
            <w:shd w:val="clear" w:color="auto" w:fill="auto"/>
            <w:noWrap/>
            <w:vAlign w:val="bottom"/>
            <w:hideMark/>
          </w:tcPr>
          <w:p w:rsidR="0062600E" w:rsidRPr="005A4594" w:rsidRDefault="00530233" w:rsidP="00C06AC5">
            <w:pPr>
              <w:jc w:val="right"/>
              <w:rPr>
                <w:rFonts w:cs="Arial"/>
                <w:b/>
                <w:bCs/>
                <w:color w:val="000000"/>
                <w:sz w:val="20"/>
                <w:lang w:val="ru-RU"/>
              </w:rPr>
            </w:pPr>
            <w:r w:rsidRPr="005A4594">
              <w:rPr>
                <w:rFonts w:cs="Arial"/>
                <w:b/>
                <w:bCs/>
                <w:color w:val="000000"/>
                <w:sz w:val="20"/>
                <w:lang w:val="ru-RU"/>
              </w:rPr>
              <w:t>Уровень 1</w:t>
            </w:r>
          </w:p>
        </w:tc>
        <w:tc>
          <w:tcPr>
            <w:tcW w:w="1060" w:type="pct"/>
            <w:tcBorders>
              <w:top w:val="nil"/>
              <w:left w:val="nil"/>
              <w:bottom w:val="single" w:sz="4" w:space="0" w:color="auto"/>
              <w:right w:val="nil"/>
            </w:tcBorders>
            <w:shd w:val="clear" w:color="auto" w:fill="auto"/>
            <w:noWrap/>
            <w:vAlign w:val="bottom"/>
            <w:hideMark/>
          </w:tcPr>
          <w:p w:rsidR="0062600E" w:rsidRPr="005A4594" w:rsidRDefault="00530233" w:rsidP="00C06AC5">
            <w:pPr>
              <w:jc w:val="right"/>
              <w:rPr>
                <w:rFonts w:cs="Arial"/>
                <w:b/>
                <w:bCs/>
                <w:color w:val="000000"/>
                <w:sz w:val="20"/>
                <w:lang w:val="ru-RU"/>
              </w:rPr>
            </w:pPr>
            <w:r w:rsidRPr="005A4594">
              <w:rPr>
                <w:rFonts w:cs="Arial"/>
                <w:b/>
                <w:bCs/>
                <w:color w:val="000000"/>
                <w:sz w:val="20"/>
                <w:lang w:val="ru-RU"/>
              </w:rPr>
              <w:t xml:space="preserve">Уровень 3 </w:t>
            </w:r>
          </w:p>
        </w:tc>
        <w:tc>
          <w:tcPr>
            <w:tcW w:w="991" w:type="pct"/>
            <w:tcBorders>
              <w:top w:val="nil"/>
              <w:left w:val="nil"/>
              <w:bottom w:val="single" w:sz="4" w:space="0" w:color="auto"/>
              <w:right w:val="nil"/>
            </w:tcBorders>
            <w:shd w:val="clear" w:color="auto" w:fill="auto"/>
            <w:noWrap/>
            <w:vAlign w:val="bottom"/>
            <w:hideMark/>
          </w:tcPr>
          <w:p w:rsidR="0062600E" w:rsidRPr="005A4594" w:rsidRDefault="00530233" w:rsidP="00C06AC5">
            <w:pPr>
              <w:jc w:val="right"/>
              <w:rPr>
                <w:rFonts w:cs="Arial"/>
                <w:b/>
                <w:bCs/>
                <w:smallCaps/>
                <w:color w:val="000000"/>
                <w:spacing w:val="-2"/>
                <w:sz w:val="20"/>
                <w:lang w:val="ru-RU"/>
              </w:rPr>
            </w:pPr>
            <w:r w:rsidRPr="005A4594">
              <w:rPr>
                <w:rFonts w:cs="Arial"/>
                <w:b/>
                <w:bCs/>
                <w:color w:val="000000"/>
                <w:sz w:val="20"/>
                <w:lang w:val="ru-RU"/>
              </w:rPr>
              <w:t>Итого</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t>Финансовые активы</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c>
          <w:tcPr>
            <w:tcW w:w="1060"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c>
          <w:tcPr>
            <w:tcW w:w="991"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Котируемые акции</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215 773</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w:t>
            </w:r>
          </w:p>
        </w:tc>
        <w:tc>
          <w:tcPr>
            <w:tcW w:w="991"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215 773</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Акции банков</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120 547</w:t>
            </w:r>
          </w:p>
        </w:tc>
        <w:tc>
          <w:tcPr>
            <w:tcW w:w="991"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120 547</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Прочие корпоративные акции</w:t>
            </w:r>
          </w:p>
        </w:tc>
        <w:tc>
          <w:tcPr>
            <w:tcW w:w="876"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w:t>
            </w:r>
          </w:p>
        </w:tc>
        <w:tc>
          <w:tcPr>
            <w:tcW w:w="106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41 904</w:t>
            </w:r>
          </w:p>
        </w:tc>
        <w:tc>
          <w:tcPr>
            <w:tcW w:w="991"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41 904</w:t>
            </w:r>
          </w:p>
        </w:tc>
      </w:tr>
      <w:tr w:rsidR="00530233" w:rsidRPr="00DB0AC3" w:rsidTr="00530233">
        <w:trPr>
          <w:trHeight w:val="315"/>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c>
          <w:tcPr>
            <w:tcW w:w="876" w:type="pct"/>
            <w:tcBorders>
              <w:top w:val="nil"/>
              <w:left w:val="nil"/>
              <w:bottom w:val="double" w:sz="6"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215 773</w:t>
            </w:r>
          </w:p>
        </w:tc>
        <w:tc>
          <w:tcPr>
            <w:tcW w:w="1060" w:type="pct"/>
            <w:tcBorders>
              <w:top w:val="nil"/>
              <w:left w:val="nil"/>
              <w:bottom w:val="double" w:sz="6"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162 451</w:t>
            </w:r>
          </w:p>
        </w:tc>
        <w:tc>
          <w:tcPr>
            <w:tcW w:w="991" w:type="pct"/>
            <w:tcBorders>
              <w:top w:val="nil"/>
              <w:left w:val="nil"/>
              <w:bottom w:val="double" w:sz="6"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378 224</w:t>
            </w:r>
          </w:p>
        </w:tc>
      </w:tr>
    </w:tbl>
    <w:p w:rsidR="00530233" w:rsidRPr="00DB0AC3" w:rsidRDefault="00530233" w:rsidP="00530233">
      <w:pPr>
        <w:pStyle w:val="210"/>
        <w:shd w:val="clear" w:color="auto" w:fill="auto"/>
        <w:tabs>
          <w:tab w:val="left" w:pos="736"/>
        </w:tabs>
        <w:spacing w:line="216" w:lineRule="exact"/>
        <w:ind w:firstLine="0"/>
        <w:rPr>
          <w:b w:val="0"/>
          <w:sz w:val="20"/>
          <w:szCs w:val="24"/>
        </w:rPr>
      </w:pPr>
    </w:p>
    <w:p w:rsidR="00530233" w:rsidRPr="00DB0AC3" w:rsidRDefault="00530233" w:rsidP="00530233">
      <w:pPr>
        <w:pStyle w:val="210"/>
        <w:shd w:val="clear" w:color="auto" w:fill="auto"/>
        <w:tabs>
          <w:tab w:val="left" w:pos="736"/>
        </w:tabs>
        <w:spacing w:line="216" w:lineRule="exact"/>
        <w:ind w:firstLine="0"/>
        <w:rPr>
          <w:b w:val="0"/>
          <w:sz w:val="20"/>
          <w:szCs w:val="24"/>
        </w:rPr>
      </w:pPr>
      <w:r w:rsidRPr="00DB0AC3">
        <w:rPr>
          <w:b w:val="0"/>
          <w:sz w:val="20"/>
          <w:szCs w:val="24"/>
        </w:rPr>
        <w:t>Ниже представлены данные о движении инвестиций, относящихся к 3-му уровню:</w:t>
      </w:r>
    </w:p>
    <w:tbl>
      <w:tblPr>
        <w:tblW w:w="5000" w:type="pct"/>
        <w:tblLook w:val="04A0"/>
      </w:tblPr>
      <w:tblGrid>
        <w:gridCol w:w="4075"/>
        <w:gridCol w:w="1721"/>
        <w:gridCol w:w="2082"/>
        <w:gridCol w:w="1945"/>
      </w:tblGrid>
      <w:tr w:rsidR="00530233" w:rsidRPr="00DB0AC3" w:rsidTr="00530233">
        <w:trPr>
          <w:trHeight w:val="12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p>
        </w:tc>
        <w:tc>
          <w:tcPr>
            <w:tcW w:w="876"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center"/>
              <w:rPr>
                <w:rFonts w:cs="Arial"/>
                <w:b/>
                <w:bCs/>
                <w:color w:val="000000"/>
                <w:sz w:val="20"/>
                <w:lang w:val="ru-RU"/>
              </w:rPr>
            </w:pPr>
            <w:r w:rsidRPr="005A4594">
              <w:rPr>
                <w:rFonts w:cs="Arial"/>
                <w:b/>
                <w:bCs/>
                <w:color w:val="000000"/>
                <w:sz w:val="20"/>
                <w:lang w:val="ru-RU"/>
              </w:rPr>
              <w:t>Акции банков</w:t>
            </w:r>
          </w:p>
        </w:tc>
        <w:tc>
          <w:tcPr>
            <w:tcW w:w="1060" w:type="pct"/>
            <w:tcBorders>
              <w:top w:val="nil"/>
              <w:left w:val="nil"/>
              <w:bottom w:val="single" w:sz="4" w:space="0" w:color="auto"/>
              <w:right w:val="nil"/>
            </w:tcBorders>
            <w:shd w:val="clear" w:color="auto" w:fill="auto"/>
            <w:vAlign w:val="bottom"/>
            <w:hideMark/>
          </w:tcPr>
          <w:p w:rsidR="00530233" w:rsidRPr="005A4594" w:rsidRDefault="00530233" w:rsidP="00530233">
            <w:pPr>
              <w:jc w:val="center"/>
              <w:rPr>
                <w:rFonts w:cs="Arial"/>
                <w:b/>
                <w:bCs/>
                <w:color w:val="000000"/>
                <w:sz w:val="20"/>
                <w:lang w:val="ru-RU"/>
              </w:rPr>
            </w:pPr>
            <w:r w:rsidRPr="005A4594">
              <w:rPr>
                <w:rFonts w:cs="Arial"/>
                <w:b/>
                <w:bCs/>
                <w:color w:val="000000"/>
                <w:sz w:val="20"/>
                <w:lang w:val="ru-RU"/>
              </w:rPr>
              <w:t>Корпоративные акции</w:t>
            </w:r>
          </w:p>
        </w:tc>
        <w:tc>
          <w:tcPr>
            <w:tcW w:w="991"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center"/>
              <w:rPr>
                <w:rFonts w:cs="Arial"/>
                <w:b/>
                <w:bCs/>
                <w:color w:val="000000"/>
                <w:sz w:val="20"/>
                <w:lang w:val="ru-RU"/>
              </w:rPr>
            </w:pPr>
            <w:r w:rsidRPr="005A4594">
              <w:rPr>
                <w:rFonts w:cs="Arial"/>
                <w:b/>
                <w:bCs/>
                <w:color w:val="000000"/>
                <w:sz w:val="20"/>
                <w:lang w:val="ru-RU"/>
              </w:rPr>
              <w:t>Итого</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t>На 1 января 2013</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120 547</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41 904</w:t>
            </w:r>
          </w:p>
        </w:tc>
        <w:tc>
          <w:tcPr>
            <w:tcW w:w="991"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162 451</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Поступление</w:t>
            </w:r>
          </w:p>
        </w:tc>
        <w:tc>
          <w:tcPr>
            <w:tcW w:w="876"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w:t>
            </w:r>
          </w:p>
        </w:tc>
        <w:tc>
          <w:tcPr>
            <w:tcW w:w="1060"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2 792</w:t>
            </w:r>
          </w:p>
        </w:tc>
        <w:tc>
          <w:tcPr>
            <w:tcW w:w="991" w:type="pct"/>
            <w:tcBorders>
              <w:top w:val="nil"/>
              <w:left w:val="nil"/>
              <w:bottom w:val="nil"/>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2 792</w:t>
            </w:r>
          </w:p>
        </w:tc>
      </w:tr>
      <w:tr w:rsidR="00530233" w:rsidRPr="00DB0AC3" w:rsidTr="00530233">
        <w:trPr>
          <w:trHeight w:val="300"/>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color w:val="000000"/>
                <w:sz w:val="20"/>
                <w:lang w:val="ru-RU"/>
              </w:rPr>
            </w:pPr>
            <w:r w:rsidRPr="005A4594">
              <w:rPr>
                <w:rFonts w:cs="Arial"/>
                <w:color w:val="000000"/>
                <w:sz w:val="20"/>
                <w:lang w:val="ru-RU"/>
              </w:rPr>
              <w:t>Выбытие</w:t>
            </w:r>
          </w:p>
        </w:tc>
        <w:tc>
          <w:tcPr>
            <w:tcW w:w="876"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w:t>
            </w:r>
          </w:p>
        </w:tc>
        <w:tc>
          <w:tcPr>
            <w:tcW w:w="1060"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(2 792)</w:t>
            </w:r>
          </w:p>
        </w:tc>
        <w:tc>
          <w:tcPr>
            <w:tcW w:w="991" w:type="pct"/>
            <w:tcBorders>
              <w:top w:val="nil"/>
              <w:left w:val="nil"/>
              <w:bottom w:val="single" w:sz="4" w:space="0" w:color="auto"/>
              <w:right w:val="nil"/>
            </w:tcBorders>
            <w:shd w:val="clear" w:color="auto" w:fill="auto"/>
            <w:noWrap/>
            <w:vAlign w:val="bottom"/>
            <w:hideMark/>
          </w:tcPr>
          <w:p w:rsidR="00530233" w:rsidRPr="005A4594" w:rsidRDefault="00530233" w:rsidP="00530233">
            <w:pPr>
              <w:jc w:val="right"/>
              <w:rPr>
                <w:rFonts w:cs="Arial"/>
                <w:color w:val="000000"/>
                <w:sz w:val="20"/>
                <w:lang w:val="ru-RU"/>
              </w:rPr>
            </w:pPr>
            <w:r w:rsidRPr="005A4594">
              <w:rPr>
                <w:rFonts w:cs="Arial"/>
                <w:color w:val="000000"/>
                <w:sz w:val="20"/>
                <w:lang w:val="ru-RU"/>
              </w:rPr>
              <w:t>(2 792)</w:t>
            </w:r>
          </w:p>
        </w:tc>
      </w:tr>
      <w:tr w:rsidR="00530233" w:rsidRPr="00DB0AC3" w:rsidTr="00530233">
        <w:trPr>
          <w:trHeight w:val="315"/>
        </w:trPr>
        <w:tc>
          <w:tcPr>
            <w:tcW w:w="2074" w:type="pct"/>
            <w:tcBorders>
              <w:top w:val="nil"/>
              <w:left w:val="nil"/>
              <w:bottom w:val="nil"/>
              <w:right w:val="nil"/>
            </w:tcBorders>
            <w:shd w:val="clear" w:color="auto" w:fill="auto"/>
            <w:noWrap/>
            <w:vAlign w:val="bottom"/>
            <w:hideMark/>
          </w:tcPr>
          <w:p w:rsidR="00530233" w:rsidRPr="005A4594" w:rsidRDefault="00530233" w:rsidP="00530233">
            <w:pPr>
              <w:rPr>
                <w:rFonts w:cs="Arial"/>
                <w:b/>
                <w:bCs/>
                <w:color w:val="000000"/>
                <w:sz w:val="20"/>
                <w:lang w:val="ru-RU"/>
              </w:rPr>
            </w:pPr>
            <w:r w:rsidRPr="005A4594">
              <w:rPr>
                <w:rFonts w:cs="Arial"/>
                <w:b/>
                <w:bCs/>
                <w:color w:val="000000"/>
                <w:sz w:val="20"/>
                <w:lang w:val="ru-RU"/>
              </w:rPr>
              <w:t>На 31 декабря 2013</w:t>
            </w:r>
          </w:p>
        </w:tc>
        <w:tc>
          <w:tcPr>
            <w:tcW w:w="876" w:type="pct"/>
            <w:tcBorders>
              <w:top w:val="nil"/>
              <w:left w:val="nil"/>
              <w:bottom w:val="double" w:sz="6"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120 547</w:t>
            </w:r>
          </w:p>
        </w:tc>
        <w:tc>
          <w:tcPr>
            <w:tcW w:w="1060" w:type="pct"/>
            <w:tcBorders>
              <w:top w:val="nil"/>
              <w:left w:val="nil"/>
              <w:bottom w:val="double" w:sz="6"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41 904</w:t>
            </w:r>
          </w:p>
        </w:tc>
        <w:tc>
          <w:tcPr>
            <w:tcW w:w="991" w:type="pct"/>
            <w:tcBorders>
              <w:top w:val="nil"/>
              <w:left w:val="nil"/>
              <w:bottom w:val="double" w:sz="6" w:space="0" w:color="auto"/>
              <w:right w:val="nil"/>
            </w:tcBorders>
            <w:shd w:val="clear" w:color="auto" w:fill="auto"/>
            <w:noWrap/>
            <w:vAlign w:val="bottom"/>
            <w:hideMark/>
          </w:tcPr>
          <w:p w:rsidR="00530233" w:rsidRPr="005A4594" w:rsidRDefault="00530233" w:rsidP="00530233">
            <w:pPr>
              <w:jc w:val="right"/>
              <w:rPr>
                <w:rFonts w:cs="Arial"/>
                <w:b/>
                <w:bCs/>
                <w:color w:val="000000"/>
                <w:sz w:val="20"/>
                <w:lang w:val="ru-RU"/>
              </w:rPr>
            </w:pPr>
            <w:r w:rsidRPr="005A4594">
              <w:rPr>
                <w:rFonts w:cs="Arial"/>
                <w:b/>
                <w:bCs/>
                <w:color w:val="000000"/>
                <w:sz w:val="20"/>
                <w:lang w:val="ru-RU"/>
              </w:rPr>
              <w:t>162 451</w:t>
            </w:r>
          </w:p>
        </w:tc>
      </w:tr>
    </w:tbl>
    <w:p w:rsidR="00530233" w:rsidRPr="00DB0AC3" w:rsidRDefault="00530233" w:rsidP="00530233">
      <w:pPr>
        <w:pStyle w:val="210"/>
        <w:shd w:val="clear" w:color="auto" w:fill="auto"/>
        <w:tabs>
          <w:tab w:val="left" w:pos="736"/>
        </w:tabs>
        <w:spacing w:line="216" w:lineRule="exact"/>
        <w:ind w:firstLine="0"/>
        <w:rPr>
          <w:b w:val="0"/>
          <w:sz w:val="20"/>
          <w:szCs w:val="24"/>
        </w:rPr>
      </w:pPr>
    </w:p>
    <w:p w:rsidR="00530233" w:rsidRPr="00DB0AC3" w:rsidRDefault="00530233" w:rsidP="00530233">
      <w:pPr>
        <w:pStyle w:val="210"/>
        <w:shd w:val="clear" w:color="auto" w:fill="auto"/>
        <w:tabs>
          <w:tab w:val="left" w:pos="736"/>
        </w:tabs>
        <w:spacing w:line="216" w:lineRule="exact"/>
        <w:ind w:firstLine="0"/>
        <w:rPr>
          <w:b w:val="0"/>
          <w:sz w:val="20"/>
          <w:szCs w:val="24"/>
        </w:rPr>
      </w:pPr>
    </w:p>
    <w:p w:rsidR="00092FBA" w:rsidRPr="00DB0AC3" w:rsidRDefault="00530233" w:rsidP="00530233">
      <w:pPr>
        <w:pStyle w:val="210"/>
        <w:shd w:val="clear" w:color="auto" w:fill="auto"/>
        <w:tabs>
          <w:tab w:val="left" w:pos="736"/>
        </w:tabs>
        <w:spacing w:line="216" w:lineRule="exact"/>
        <w:ind w:firstLine="0"/>
        <w:rPr>
          <w:b w:val="0"/>
          <w:sz w:val="20"/>
          <w:szCs w:val="24"/>
        </w:rPr>
      </w:pPr>
      <w:r w:rsidRPr="00DB0AC3">
        <w:rPr>
          <w:b w:val="0"/>
          <w:sz w:val="20"/>
          <w:szCs w:val="24"/>
        </w:rPr>
        <w:t>В течение 201</w:t>
      </w:r>
      <w:r w:rsidR="00931E40" w:rsidRPr="00DB0AC3">
        <w:rPr>
          <w:b w:val="0"/>
          <w:sz w:val="20"/>
          <w:szCs w:val="24"/>
        </w:rPr>
        <w:t>4</w:t>
      </w:r>
      <w:r w:rsidRPr="00DB0AC3">
        <w:rPr>
          <w:b w:val="0"/>
          <w:sz w:val="20"/>
          <w:szCs w:val="24"/>
        </w:rPr>
        <w:t xml:space="preserve"> года движения между уровнями не было.</w:t>
      </w:r>
    </w:p>
    <w:p w:rsidR="00530233" w:rsidRPr="00DB0AC3" w:rsidRDefault="00530233" w:rsidP="00530233">
      <w:pPr>
        <w:pStyle w:val="212"/>
        <w:shd w:val="clear" w:color="auto" w:fill="auto"/>
        <w:spacing w:line="180" w:lineRule="exact"/>
        <w:rPr>
          <w:b w:val="0"/>
          <w:sz w:val="20"/>
          <w:szCs w:val="24"/>
        </w:rPr>
      </w:pPr>
    </w:p>
    <w:p w:rsidR="00530233" w:rsidRPr="00DB0AC3" w:rsidRDefault="00530233" w:rsidP="00F15D5C">
      <w:pPr>
        <w:pStyle w:val="212"/>
        <w:shd w:val="clear" w:color="auto" w:fill="auto"/>
        <w:spacing w:line="180" w:lineRule="exact"/>
        <w:jc w:val="both"/>
        <w:rPr>
          <w:b w:val="0"/>
          <w:bCs w:val="0"/>
          <w:sz w:val="20"/>
          <w:szCs w:val="24"/>
        </w:rPr>
      </w:pPr>
      <w:r w:rsidRPr="00DB0AC3">
        <w:rPr>
          <w:b w:val="0"/>
          <w:sz w:val="20"/>
          <w:szCs w:val="24"/>
        </w:rPr>
        <w:t>Балансовая стоимость объявленных акций равна их справедливой стоимости. Справедливая стоимость финансовых инструментов, оцениваемых по справедливой стоимости, определяется</w:t>
      </w:r>
      <w:r w:rsidR="00B84D52">
        <w:rPr>
          <w:b w:val="0"/>
          <w:sz w:val="20"/>
          <w:szCs w:val="24"/>
        </w:rPr>
        <w:t xml:space="preserve"> </w:t>
      </w:r>
      <w:r w:rsidRPr="00DB0AC3">
        <w:rPr>
          <w:b w:val="0"/>
          <w:sz w:val="20"/>
          <w:szCs w:val="24"/>
        </w:rPr>
        <w:t>главным образом со ссылкой на рыночные цены (1-го уровня иерархии в IFRS 7).</w:t>
      </w:r>
    </w:p>
    <w:p w:rsidR="00530233" w:rsidRPr="00DB0AC3" w:rsidRDefault="00530233" w:rsidP="00F15D5C">
      <w:pPr>
        <w:pStyle w:val="210"/>
        <w:shd w:val="clear" w:color="auto" w:fill="auto"/>
        <w:spacing w:line="216" w:lineRule="exact"/>
        <w:ind w:firstLine="0"/>
        <w:jc w:val="both"/>
        <w:rPr>
          <w:b w:val="0"/>
          <w:sz w:val="20"/>
          <w:szCs w:val="24"/>
        </w:rPr>
      </w:pPr>
      <w:r w:rsidRPr="00DB0AC3">
        <w:rPr>
          <w:b w:val="0"/>
          <w:sz w:val="20"/>
          <w:szCs w:val="24"/>
        </w:rPr>
        <w:t>Справедливая стоимость других долевых инструментов, для которых нет рыночной цены, не может быть надежно измерена. На 31 декабря 201</w:t>
      </w:r>
      <w:r w:rsidR="005D5652">
        <w:rPr>
          <w:b w:val="0"/>
          <w:sz w:val="20"/>
          <w:szCs w:val="24"/>
        </w:rPr>
        <w:t>4</w:t>
      </w:r>
      <w:r w:rsidRPr="00DB0AC3">
        <w:rPr>
          <w:b w:val="0"/>
          <w:sz w:val="20"/>
          <w:szCs w:val="24"/>
        </w:rPr>
        <w:t xml:space="preserve"> эти инструменты с общей балансовой стоимостью </w:t>
      </w:r>
      <w:r w:rsidR="005D5652">
        <w:rPr>
          <w:b w:val="0"/>
          <w:sz w:val="20"/>
          <w:szCs w:val="24"/>
        </w:rPr>
        <w:t>126</w:t>
      </w:r>
      <w:r w:rsidR="00C92525">
        <w:rPr>
          <w:b w:val="0"/>
          <w:sz w:val="20"/>
          <w:szCs w:val="24"/>
        </w:rPr>
        <w:t>  </w:t>
      </w:r>
      <w:r w:rsidR="005D5652">
        <w:rPr>
          <w:b w:val="0"/>
          <w:sz w:val="20"/>
          <w:szCs w:val="24"/>
        </w:rPr>
        <w:t>097</w:t>
      </w:r>
      <w:r w:rsidR="00223155" w:rsidRPr="00DB0AC3">
        <w:rPr>
          <w:b w:val="0"/>
          <w:sz w:val="20"/>
          <w:szCs w:val="24"/>
        </w:rPr>
        <w:t>тысяч рублей</w:t>
      </w:r>
      <w:r w:rsidR="00B84D52">
        <w:rPr>
          <w:b w:val="0"/>
          <w:sz w:val="20"/>
          <w:szCs w:val="24"/>
        </w:rPr>
        <w:t xml:space="preserve"> </w:t>
      </w:r>
      <w:r w:rsidRPr="00DB0AC3">
        <w:rPr>
          <w:b w:val="0"/>
          <w:sz w:val="20"/>
          <w:szCs w:val="24"/>
        </w:rPr>
        <w:t>включали инвестиции в акционерный капитал ряда юридических лиц и отражались по стоимости за минусом резерва под обесценение (на 31 декабря 2013: 162</w:t>
      </w:r>
      <w:r w:rsidR="003606F4">
        <w:rPr>
          <w:b w:val="0"/>
          <w:sz w:val="20"/>
          <w:szCs w:val="24"/>
        </w:rPr>
        <w:t> </w:t>
      </w:r>
      <w:r w:rsidRPr="00DB0AC3">
        <w:rPr>
          <w:b w:val="0"/>
          <w:sz w:val="20"/>
          <w:szCs w:val="24"/>
        </w:rPr>
        <w:t>451</w:t>
      </w:r>
      <w:r w:rsidR="00223155" w:rsidRPr="00DB0AC3">
        <w:rPr>
          <w:b w:val="0"/>
          <w:sz w:val="20"/>
          <w:szCs w:val="24"/>
        </w:rPr>
        <w:t>тысяч</w:t>
      </w:r>
      <w:r w:rsidR="005D5652">
        <w:rPr>
          <w:b w:val="0"/>
          <w:sz w:val="20"/>
          <w:szCs w:val="24"/>
        </w:rPr>
        <w:t>а</w:t>
      </w:r>
      <w:r w:rsidR="00223155" w:rsidRPr="00DB0AC3">
        <w:rPr>
          <w:b w:val="0"/>
          <w:sz w:val="20"/>
          <w:szCs w:val="24"/>
        </w:rPr>
        <w:t xml:space="preserve"> рублей</w:t>
      </w:r>
      <w:r w:rsidRPr="00DB0AC3">
        <w:rPr>
          <w:b w:val="0"/>
          <w:sz w:val="20"/>
          <w:szCs w:val="24"/>
        </w:rPr>
        <w:t>). Руководство не планировало продавать эти ценные бумаги в ближайшем будущем.</w:t>
      </w:r>
    </w:p>
    <w:p w:rsidR="00931E40" w:rsidRPr="00DB0AC3" w:rsidRDefault="00931E40" w:rsidP="00530233">
      <w:pPr>
        <w:pStyle w:val="210"/>
        <w:shd w:val="clear" w:color="auto" w:fill="auto"/>
        <w:spacing w:line="216" w:lineRule="exact"/>
        <w:ind w:firstLine="0"/>
        <w:rPr>
          <w:b w:val="0"/>
          <w:sz w:val="20"/>
          <w:szCs w:val="24"/>
        </w:rPr>
      </w:pPr>
    </w:p>
    <w:p w:rsidR="00454FD2" w:rsidRPr="00DB0AC3" w:rsidRDefault="00454FD2" w:rsidP="00530233">
      <w:pPr>
        <w:pStyle w:val="210"/>
        <w:shd w:val="clear" w:color="auto" w:fill="auto"/>
        <w:spacing w:line="216" w:lineRule="exact"/>
        <w:ind w:firstLine="0"/>
        <w:rPr>
          <w:b w:val="0"/>
          <w:sz w:val="20"/>
          <w:szCs w:val="24"/>
        </w:rPr>
      </w:pPr>
    </w:p>
    <w:p w:rsidR="00931E40" w:rsidRPr="00DB0AC3" w:rsidRDefault="00931E40" w:rsidP="00530233">
      <w:pPr>
        <w:pStyle w:val="210"/>
        <w:shd w:val="clear" w:color="auto" w:fill="auto"/>
        <w:spacing w:line="216" w:lineRule="exact"/>
        <w:ind w:firstLine="0"/>
        <w:rPr>
          <w:b w:val="0"/>
          <w:sz w:val="20"/>
          <w:szCs w:val="24"/>
        </w:rPr>
      </w:pPr>
    </w:p>
    <w:p w:rsidR="00AC14AB" w:rsidRPr="00DB0AC3" w:rsidRDefault="00931E40" w:rsidP="00F12BD4">
      <w:pPr>
        <w:pStyle w:val="1"/>
        <w:keepLines/>
        <w:numPr>
          <w:ilvl w:val="0"/>
          <w:numId w:val="3"/>
        </w:numPr>
        <w:spacing w:before="0"/>
        <w:rPr>
          <w:rFonts w:cs="Arial"/>
          <w:szCs w:val="24"/>
          <w:lang w:val="ru-RU"/>
        </w:rPr>
      </w:pPr>
      <w:bookmarkStart w:id="231" w:name="_Условные_обязательства"/>
      <w:bookmarkStart w:id="232" w:name="_Toc441479820"/>
      <w:bookmarkEnd w:id="231"/>
      <w:r w:rsidRPr="00DB0AC3">
        <w:rPr>
          <w:rFonts w:cs="Arial"/>
          <w:szCs w:val="24"/>
          <w:lang w:val="ru-RU"/>
        </w:rPr>
        <w:t>Управление финансовым риском</w:t>
      </w:r>
      <w:bookmarkEnd w:id="232"/>
    </w:p>
    <w:p w:rsidR="00454FD2" w:rsidRPr="00DB0AC3" w:rsidRDefault="00454FD2" w:rsidP="003B6D3B">
      <w:pPr>
        <w:pStyle w:val="210"/>
        <w:shd w:val="clear" w:color="auto" w:fill="auto"/>
        <w:ind w:firstLine="0"/>
        <w:jc w:val="both"/>
        <w:rPr>
          <w:b w:val="0"/>
          <w:sz w:val="20"/>
          <w:szCs w:val="24"/>
        </w:rPr>
      </w:pPr>
      <w:bookmarkStart w:id="233" w:name="_Ref113425772"/>
      <w:bookmarkStart w:id="234" w:name="_Ref113434777"/>
      <w:bookmarkStart w:id="235" w:name="_Ref383702755"/>
      <w:r w:rsidRPr="00DB0AC3">
        <w:rPr>
          <w:b w:val="0"/>
          <w:sz w:val="20"/>
          <w:szCs w:val="24"/>
        </w:rPr>
        <w:t>Управление рисками Банка осуществляется в отношении финансовых рисков (кредитный риск, географический риск, рыночные риски - валютный риск, риск процентной ставки и риск ликвидности), операционного и правового рисков. Главной задачей управления финансовыми рисками является определение лимитов риска и дальнейшее обеспечение соблюдения установленных лимитов и других мер внутреннего контроля.</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Управление операционными и правовым рисками должно обеспечивать надлежащее соблюдение внутренних регламентов и процедур в целях минимизации операционного и правового рисков.</w:t>
      </w:r>
    </w:p>
    <w:p w:rsidR="00454FD2" w:rsidRPr="00DB0AC3" w:rsidRDefault="00454FD2" w:rsidP="003B6D3B">
      <w:pPr>
        <w:pStyle w:val="210"/>
        <w:shd w:val="clear" w:color="auto" w:fill="auto"/>
        <w:ind w:firstLine="0"/>
        <w:jc w:val="both"/>
        <w:rPr>
          <w:b w:val="0"/>
          <w:sz w:val="20"/>
          <w:szCs w:val="24"/>
        </w:rPr>
      </w:pPr>
      <w:r w:rsidRPr="00DB0AC3">
        <w:rPr>
          <w:b w:val="0"/>
          <w:sz w:val="20"/>
          <w:szCs w:val="24"/>
        </w:rPr>
        <w:t>Система управления финансовыми рисками Банка включает установление, внедрение и мониторинг политик и процедур управления финансовыми рисками и их последующее обновление с учетом изменений в экономике, бизнесе и регулятивной среде. Ключевыми органами, осуществляющими управление финансовыми рисками Банка, являются Совет Директоров Банка и Правление Банка.</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 xml:space="preserve">Совет Директоров Банка утверждает основные принципы управления банковскими рисками; несет ответственность за создание организационной структуры Банка, соответствующей основным принципам управления банковскими рисками; отвечает за учет факторов риска при утверждении им </w:t>
      </w:r>
      <w:r w:rsidRPr="00DB0AC3">
        <w:rPr>
          <w:b w:val="0"/>
          <w:sz w:val="20"/>
          <w:szCs w:val="24"/>
        </w:rPr>
        <w:lastRenderedPageBreak/>
        <w:t>стратегических целей и задач.</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Совет Директоров осуществляет оценку эффективности управления банковскими рисками. Ежегодно Советом Директоров рассматриваются и утверждаются отчеты исполнительных органов о выполнении стратегического плана развития Банка и отчеты о кредитной деятельности Банка, содержащие информацию о кредитном риске, как основном финансовом риске Банка.</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Совет Директоров также осуществляет контроль за своевременностью и полнотой проверок службой внутреннего контроля соблюдения основных принципов управления банковскими рисками отдельными подразделениями и Банком в целом.</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Председатель Правления в целях соблюдения основных принципов управления рисками, утвержденных Советом Директоров, обеспечивает принятие внутренних документов, определяющих правила и процедуры управления банковскими рисками. Председатель Правления распределяет полномочия и ответственность по управлению банковскими рисками между руководителями подразделений различных уровней, осуществляет обеспечение их необходимыми ресурсами, устанавливает порядок взаимодействия и представления отчетности.</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Правлением Банка осуществляется текущий контроль соблюдения Политики по управлению рисками, т.е. контроль за своевременностью выявления банковских рисков, адекватностью оценки их размера, своевременностью внедрения необходимых процедур управления рисками.</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Правление Банка принимает решение о том, какие риски Банк может принимать на себя,  и о проведении мер по поддержанию непрерывности бизнеса Банка в кризисной ситуации.</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Правление Банка отвечает за разработку проектов предельных значений уровня риска - лимитов и мер по их выполнению.</w:t>
      </w:r>
    </w:p>
    <w:p w:rsidR="00454FD2" w:rsidRPr="00DB0AC3" w:rsidRDefault="00454FD2" w:rsidP="003B6D3B">
      <w:pPr>
        <w:pStyle w:val="210"/>
        <w:shd w:val="clear" w:color="auto" w:fill="auto"/>
        <w:spacing w:line="230" w:lineRule="exact"/>
        <w:ind w:firstLine="0"/>
        <w:jc w:val="both"/>
        <w:rPr>
          <w:b w:val="0"/>
          <w:sz w:val="20"/>
          <w:szCs w:val="24"/>
        </w:rPr>
      </w:pPr>
      <w:r w:rsidRPr="00DB0AC3">
        <w:rPr>
          <w:b w:val="0"/>
          <w:sz w:val="20"/>
          <w:szCs w:val="24"/>
        </w:rPr>
        <w:t>Правлением Банка осуществляется текущий мониторинг стратегических показателей (как бизнес - показателей, так и показателей, устанавливающих предельные значения уровня рисков).</w:t>
      </w:r>
    </w:p>
    <w:p w:rsidR="00B86B88" w:rsidRPr="00DB0AC3" w:rsidRDefault="00B86B88" w:rsidP="003B6D3B">
      <w:pPr>
        <w:pStyle w:val="210"/>
        <w:shd w:val="clear" w:color="auto" w:fill="auto"/>
        <w:spacing w:line="230" w:lineRule="exact"/>
        <w:ind w:firstLine="0"/>
        <w:jc w:val="both"/>
        <w:rPr>
          <w:b w:val="0"/>
          <w:sz w:val="20"/>
          <w:szCs w:val="24"/>
        </w:rPr>
      </w:pPr>
    </w:p>
    <w:p w:rsidR="003B6D3B" w:rsidRPr="00DB0AC3" w:rsidRDefault="00B86B88" w:rsidP="00B86B88">
      <w:pPr>
        <w:pStyle w:val="310"/>
        <w:shd w:val="clear" w:color="auto" w:fill="auto"/>
        <w:spacing w:line="200" w:lineRule="exact"/>
        <w:ind w:firstLine="0"/>
        <w:jc w:val="both"/>
        <w:rPr>
          <w:rStyle w:val="34"/>
          <w:b/>
          <w:i/>
          <w:color w:val="000000"/>
        </w:rPr>
      </w:pPr>
      <w:r w:rsidRPr="00DB0AC3">
        <w:rPr>
          <w:rStyle w:val="34"/>
          <w:b/>
          <w:i/>
          <w:color w:val="000000"/>
        </w:rPr>
        <w:t>Финансовые риски</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Правление Банка несет ответственность за текущее управление финансовыми рисками. В рамках заседаний Правления принимаются решения по управлению структурой баланса Банка и связанными с ней рисками ликвидности, по установлению и изменению лимитов на рыночные риски.</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Правление Банка, Кредитный комитет, Расширенный Кредитный комитет и Кредитные комитеты филиалов Банка являются органами, принимающими решения по управлению кредитными рисками Банка.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Казначейство осуществляет оперативное управление и оперативный контроль за отдельными видами риска, в частности, риском ликвидности, валютным и процентным рисками.</w:t>
      </w:r>
    </w:p>
    <w:p w:rsidR="00454FD2" w:rsidRPr="00DB0AC3" w:rsidRDefault="00454FD2" w:rsidP="003B6D3B">
      <w:pPr>
        <w:pStyle w:val="210"/>
        <w:shd w:val="clear" w:color="auto" w:fill="auto"/>
        <w:spacing w:line="230" w:lineRule="exact"/>
        <w:ind w:firstLine="0"/>
        <w:jc w:val="both"/>
      </w:pPr>
    </w:p>
    <w:p w:rsidR="00454FD2" w:rsidRPr="00DB0AC3" w:rsidRDefault="00454FD2" w:rsidP="003B6D3B">
      <w:pPr>
        <w:pStyle w:val="310"/>
        <w:shd w:val="clear" w:color="auto" w:fill="auto"/>
        <w:spacing w:line="200" w:lineRule="exact"/>
        <w:ind w:firstLine="0"/>
        <w:jc w:val="both"/>
      </w:pPr>
      <w:r w:rsidRPr="00DB0AC3">
        <w:rPr>
          <w:rStyle w:val="34"/>
          <w:b/>
          <w:bCs/>
          <w:i/>
          <w:iCs/>
          <w:color w:val="000000"/>
        </w:rPr>
        <w:t>Кредитный риск</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Банк подвержен кредитному риску, который является риском того, что неисполнение обязательства по финансовому инструменту одной стороной приведет к возникновению финансового убытка у другой стороны. Кредитный риск возникает в результате кредитных и прочих операций Банка с контрагентами, вследствие которых возникают финансовые активы.</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Максимальный уровень кредитного риска Банка отражается в балансовой стоимости финансовых активов в бухгалтерском балансе. Возможность взаимозачета активов и обязательств не имеет существенного значения для снижения потенциального кредитного риска. Для гарантий и обязательств по предоставлению кредита максимальный уровень кредитного риска равен сумме обязательства. Однако фактическая сумма убытка будет значительно меньше, так как большая часть обязательств по предоставлению кредитов зависит от определенных условий, указанных в кредитных соглашениях.</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Кредитная политика Банка отражает основные способы управления кредитным риском, принципы данного управления, функции банковских структурных подразделений и особенности мониторинга кредитного риска в части кредитов, выданных физическим лицам и заинтересованным сторонам.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Кредитный комитет Банка принимает решения по отдельным операциям, связанным с кредитными рисками, или устанавливает лимиты кредитного риска на отдельных контрагентов (в пределах полномочий, установленных в Кредитной политике).</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В филиалах созданы Кредитные комитеты, которым установлены лимиты кредитования отдельных категорий заемщиков. После одобрения Кредитным комитетом филиала заявок на кредиты, решение о выдаче кредитов филиалом санкционируется Кредитным комитетом Банка. В случаях, когда полномочий Кредитного комитета не</w:t>
      </w:r>
      <w:r w:rsidR="00325C83" w:rsidRPr="00DB0AC3">
        <w:rPr>
          <w:b w:val="0"/>
          <w:sz w:val="20"/>
          <w:szCs w:val="24"/>
        </w:rPr>
        <w:t xml:space="preserve">достаточно </w:t>
      </w:r>
      <w:r w:rsidRPr="00DB0AC3">
        <w:rPr>
          <w:b w:val="0"/>
          <w:sz w:val="20"/>
          <w:szCs w:val="24"/>
        </w:rPr>
        <w:t>для принятия решений, решение таких вопросов делегируется на Расширенный Кредитный комитет. Кредиты связанным с Банком заемщикам, признаваемые в соответствии с действующим законодательством сделками с заинтересованностью, предоставляются после их предварительного одобрения Советом Директоров Банка независимо от величины кредита.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Текущее управление кредитными рисками реализуется Кредитным Управлением Банка, которое осуществляет оперативный контроль за уровнем кредитного риска.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 xml:space="preserve">В целях поддержания кредитных рисков на приемлемом уровне Банк использует следующие </w:t>
      </w:r>
      <w:r w:rsidRPr="00DB0AC3">
        <w:rPr>
          <w:b w:val="0"/>
          <w:sz w:val="20"/>
          <w:szCs w:val="24"/>
        </w:rPr>
        <w:lastRenderedPageBreak/>
        <w:t>инструменты управления риском: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В целом по ссудному портфелю:</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Разработка процедур и методик, определяющих единый по Банку порядок</w:t>
      </w:r>
      <w:r w:rsidR="00325C83" w:rsidRPr="00DB0AC3">
        <w:rPr>
          <w:b w:val="0"/>
          <w:sz w:val="20"/>
          <w:szCs w:val="24"/>
        </w:rPr>
        <w:t xml:space="preserve"> выдачи и мониторинга кредитов </w:t>
      </w:r>
      <w:r w:rsidRPr="00DB0AC3">
        <w:rPr>
          <w:b w:val="0"/>
          <w:sz w:val="20"/>
          <w:szCs w:val="24"/>
        </w:rPr>
        <w:t>и своевременное получение информации о состоянии заемщиков;</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Контроль за выполнением подразделениями решений полномочных органов и внутренних документов Банка в отношении кредитной политики, внутренних лимитов и т.д.</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По отдельным заемщикам: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Установление лимитов на отдельных заемщиков и группу связанных заемщиков;</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Оценка финансового состояния заемщиков на этапе анализа кредитной заявки и в течение срока действия ссуды;</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Оценка рыночной стоимости обеспечения кредита в форме залога, оценка финансового состояния залогодателей и поручителей по кредиту;</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Контроль за наличием и сохранностью предмета залога, как предварительный (до заключения договора залога), так и последующий контроль в течение срока действия договора;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Контроль за своевременным выполнением заемщиком обязательств перед Банком;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Определение уровня обесценения ссуды и создание адекватных резервов.</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Контроль со стороны руководства Банка за кредитными рисками и качеством кредитного портфеля осуществляется на основании следующих форм отчетности:</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Ежедневная отчетность, на основании которой в основном принимаются управленческие решения, предоставляемая руководителю Кредитного управления:</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Расчет фактической задолженности на одного заемщика Банка и связанных заемщиков.</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Состояние кредитного портфеля, в части появления признаков обесценения.</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Расчет размера совокупных кредитов, предоставленных 20 крупнейшим заемщикам Банка.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Расчет показателей для соблюдения особых условий (отраслевые риски, риски вложений в крупные кредиты, ссуды, предоставленные связанным заемщикам).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Ежемесячная отчетность, предоставляемая для целей заседаний Кредитного комитета, Правления и Совета Директоров Банка: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Структура предоставленных кредитов в целом по Банку с разделением по филиалам;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Движение по кредитам (с разделением на выданные, пролонгированные, просроченные, погашенные);</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Выполнение показателей (объем предоставленных кредитов, отраслевая принадлежность заемщиков и т.д.) с разделением по филиалам.</w:t>
      </w:r>
    </w:p>
    <w:p w:rsidR="00325C83" w:rsidRPr="00DB0AC3" w:rsidRDefault="00325C83" w:rsidP="003B6D3B">
      <w:pPr>
        <w:pStyle w:val="210"/>
        <w:shd w:val="clear" w:color="auto" w:fill="auto"/>
        <w:tabs>
          <w:tab w:val="left" w:pos="773"/>
        </w:tabs>
        <w:ind w:left="360" w:firstLine="0"/>
        <w:jc w:val="both"/>
      </w:pPr>
    </w:p>
    <w:p w:rsidR="00454FD2" w:rsidRPr="00DB0AC3" w:rsidRDefault="00454FD2" w:rsidP="003B6D3B">
      <w:pPr>
        <w:pStyle w:val="310"/>
        <w:shd w:val="clear" w:color="auto" w:fill="auto"/>
        <w:spacing w:line="200" w:lineRule="exact"/>
        <w:ind w:firstLine="0"/>
        <w:jc w:val="both"/>
      </w:pPr>
      <w:r w:rsidRPr="00DB0AC3">
        <w:rPr>
          <w:rStyle w:val="34"/>
          <w:b/>
          <w:bCs/>
          <w:i/>
          <w:iCs/>
          <w:color w:val="000000"/>
        </w:rPr>
        <w:t>Лимиты, устанавливаемые Банком для целей управления кредитным риском: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Банк устанавливает индивидуальные лимиты в отношении заемщиков и групп связанных заемщиков. Для установления данного лимита принимается во внимание вся информация, имеющаяся в распоряжении Банка.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При установлении индивидуального лимита Банком делается комплексный анализ финансовой отчетности, денежных потоков, имеющейся кредитной истории каждого заемщика, входящего в группу связанных заемщиков, также анализируется потребность всей группы связанных заемщиков в кредитных ресурсах и наличие источников погашения. В целях оценки размера лимита также рассматривается предоставляемое обеспечение кредитов.</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При оценке ликвидности обеспечения Банк расставляет следующие приоритеты:</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Депозиты в Банке и векселя, выпущенные Банком;</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Объекты недвижимости;</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Гарантии и поручительства юридических лиц;</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Основные средства;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Прочие активы.</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Лимиты в целом по ссудному портфелю:</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Размер совокупных кредитных требований Банка к одному заемщику или группе связанных заемщиков (не более 25% капитала Банка);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Совокупная величина кредитов, банковских гарантий и поручительств, предоставленная Банком своим акционерам (имеющим право распоряжаться 5 и более процентами голосующих акций Банка) - (не более 20% капитала Банка);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Для внебалансовых финансовых инструментов Банк применяет ту же кредитную политику,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 мониторинга.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Заемщик имеет право пользоваться любыми предлагаемыми Банком продуктами (гарантиями, аккредитивами, кредитными линиями, и т.д.) в рамках установленного на него лимита.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 xml:space="preserve">Банк использует систему лимитов, ограничивающих максимальный объем задолженности банков- контрагентов при проведении операций на межбанковском рынке кредитования и сделок покупки/продажи финансовых активов, в т.ч. конверсионных сделок, при которых возникает кредитный риск на контрагента при проведении расчетов. Соответствующие лимиты устанавливаются на каждую кредитную организацию, являющуюся контрагентом Банка, исходя из анализа ее кредитного качества, который проводится уполномоченными подразделениями Банка, и </w:t>
      </w:r>
      <w:r w:rsidRPr="00DB0AC3">
        <w:rPr>
          <w:b w:val="0"/>
          <w:sz w:val="20"/>
          <w:szCs w:val="24"/>
        </w:rPr>
        <w:lastRenderedPageBreak/>
        <w:t>утверждаются Правлением Банка. Лимиты на банки-резиденты пересматриваются не реже одного раза в месяц. Лимиты на банки-контрагенты пересматриваются не реже одного раза в месяц.</w:t>
      </w:r>
    </w:p>
    <w:p w:rsidR="00325C83" w:rsidRPr="00DB0AC3" w:rsidRDefault="00325C83" w:rsidP="003B6D3B">
      <w:pPr>
        <w:pStyle w:val="310"/>
        <w:shd w:val="clear" w:color="auto" w:fill="auto"/>
        <w:spacing w:line="200" w:lineRule="exact"/>
        <w:ind w:firstLine="0"/>
        <w:jc w:val="both"/>
        <w:rPr>
          <w:rStyle w:val="34"/>
          <w:b/>
          <w:bCs/>
          <w:i/>
          <w:iCs/>
          <w:color w:val="000000"/>
        </w:rPr>
      </w:pPr>
    </w:p>
    <w:p w:rsidR="00454FD2" w:rsidRPr="00DB0AC3" w:rsidRDefault="00454FD2" w:rsidP="003B6D3B">
      <w:pPr>
        <w:pStyle w:val="310"/>
        <w:shd w:val="clear" w:color="auto" w:fill="auto"/>
        <w:spacing w:line="200" w:lineRule="exact"/>
        <w:ind w:firstLine="0"/>
        <w:jc w:val="both"/>
      </w:pPr>
      <w:r w:rsidRPr="00DB0AC3">
        <w:rPr>
          <w:rStyle w:val="34"/>
          <w:b/>
          <w:bCs/>
          <w:i/>
          <w:iCs/>
          <w:color w:val="000000"/>
        </w:rPr>
        <w:t>Оценка кредитного риска</w:t>
      </w:r>
    </w:p>
    <w:p w:rsidR="00325C83"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При оценке кредитного риска по кредитам и ссудам клиентам и</w:t>
      </w:r>
      <w:r w:rsidR="00325C83" w:rsidRPr="00DB0AC3">
        <w:rPr>
          <w:b w:val="0"/>
          <w:sz w:val="20"/>
          <w:szCs w:val="24"/>
        </w:rPr>
        <w:t xml:space="preserve"> банкам для каждого контрагента </w:t>
      </w:r>
      <w:r w:rsidRPr="00DB0AC3">
        <w:rPr>
          <w:b w:val="0"/>
          <w:sz w:val="20"/>
          <w:szCs w:val="24"/>
        </w:rPr>
        <w:t xml:space="preserve"> Банк учитывает три компонента</w:t>
      </w:r>
      <w:r w:rsidR="00325C83" w:rsidRPr="00DB0AC3">
        <w:rPr>
          <w:b w:val="0"/>
          <w:sz w:val="20"/>
          <w:szCs w:val="24"/>
        </w:rPr>
        <w:t>:</w:t>
      </w:r>
    </w:p>
    <w:p w:rsidR="00325C83"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 xml:space="preserve">(а) вероятность невыполнения обязательств клиентом или контрагентом по кредитному договору; </w:t>
      </w:r>
    </w:p>
    <w:p w:rsidR="00325C83"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(б) текущие риски клиентов и их возможное возникнове</w:t>
      </w:r>
      <w:r w:rsidR="00325C83" w:rsidRPr="00DB0AC3">
        <w:rPr>
          <w:b w:val="0"/>
          <w:sz w:val="20"/>
          <w:szCs w:val="24"/>
        </w:rPr>
        <w:t xml:space="preserve">ние, из которых Банк оценивает </w:t>
      </w:r>
      <w:r w:rsidRPr="00DB0AC3">
        <w:rPr>
          <w:b w:val="0"/>
          <w:sz w:val="20"/>
          <w:szCs w:val="24"/>
        </w:rPr>
        <w:t>уровень подверженности невыполнени</w:t>
      </w:r>
      <w:r w:rsidR="00325C83" w:rsidRPr="00DB0AC3">
        <w:rPr>
          <w:b w:val="0"/>
          <w:sz w:val="20"/>
          <w:szCs w:val="24"/>
        </w:rPr>
        <w:t>ю</w:t>
      </w:r>
      <w:r w:rsidRPr="00DB0AC3">
        <w:rPr>
          <w:b w:val="0"/>
          <w:sz w:val="20"/>
          <w:szCs w:val="24"/>
        </w:rPr>
        <w:t xml:space="preserve"> обязательств</w:t>
      </w:r>
      <w:r w:rsidR="00325C83" w:rsidRPr="00DB0AC3">
        <w:rPr>
          <w:b w:val="0"/>
          <w:sz w:val="20"/>
          <w:szCs w:val="24"/>
        </w:rPr>
        <w:t>;</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 возможный уровень возмещения по невыполненным обязательствам (уровень возможного убытка).</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Эти оценки кредитного риска, отражающие ожидаемые потери («модель ожидаемых потерь»)</w:t>
      </w:r>
      <w:r w:rsidR="00325C83" w:rsidRPr="00DB0AC3">
        <w:rPr>
          <w:b w:val="0"/>
          <w:sz w:val="20"/>
          <w:szCs w:val="24"/>
        </w:rPr>
        <w:t xml:space="preserve"> и</w:t>
      </w:r>
      <w:r w:rsidRPr="00DB0AC3">
        <w:rPr>
          <w:b w:val="0"/>
          <w:sz w:val="20"/>
          <w:szCs w:val="24"/>
        </w:rPr>
        <w:t xml:space="preserve"> устанавливаемые Центральным Банком Российской Федерации, являются составной частью оперативного управления деятельностью Банка. Оценки кредитного риска, сделанные в процессе операционного управления</w:t>
      </w:r>
      <w:r w:rsidR="00325C83" w:rsidRPr="00DB0AC3">
        <w:rPr>
          <w:b w:val="0"/>
          <w:sz w:val="20"/>
          <w:szCs w:val="24"/>
        </w:rPr>
        <w:t xml:space="preserve">, </w:t>
      </w:r>
      <w:r w:rsidRPr="00DB0AC3">
        <w:rPr>
          <w:b w:val="0"/>
          <w:sz w:val="20"/>
          <w:szCs w:val="24"/>
        </w:rPr>
        <w:t xml:space="preserve"> могут отличаться от резервов под обесценение, рассчитанных в соответствии с требованиями МСБУ 39, которые основаны на убытках, возникших на дату составления финансовой отчетности («модель понесенных потерь»), а не на ожидаемых потерях.</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Банк оценивает вероятность невыполнения обязательств индивидуальных контрагентов с использованием внутренних инструментов, разработанных для различных категорий контрагентов. Они разрабатываются Банком на основе положений Центрального Банка Российской Федерации с использованием методов статистического анализа, суждений Руководства, и их применимость оценивается по мере необходимости путем сравнения с внешней доступной информацией.</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Клиенты Банка разделяются на 5 категорий риска (категорий качества ссуды):</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Стандартная - ставка резерва 0%</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Нестандартная - ставка резерва от 1% до 20%</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Сомнительная - ставка резерв от 21% до 50%</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Проблемная - ставка резерва от 51% до 100%</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Безнадежная - ставка резерва 100%</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Ставка резерва под обесценение представляет собой отношение сумм резервов к остаткам по кредитам, включенным в соответствующие портфели ссуд со схожими кредитными характеристиками, либо по индивидуально обесцененным кредитам. Для более подробной классификации заемщиков, каждая из категорий (за исключением низшей) включает подкатегории, более детально характеризующие способность заемщика погасить долг.</w:t>
      </w:r>
    </w:p>
    <w:p w:rsidR="00EE4454" w:rsidRPr="00DB0AC3" w:rsidRDefault="00EE4454" w:rsidP="003B6D3B">
      <w:pPr>
        <w:pStyle w:val="210"/>
        <w:shd w:val="clear" w:color="auto" w:fill="auto"/>
        <w:spacing w:line="216" w:lineRule="exact"/>
        <w:ind w:firstLine="0"/>
        <w:jc w:val="both"/>
      </w:pPr>
    </w:p>
    <w:p w:rsidR="00454FD2" w:rsidRPr="00DB0AC3" w:rsidRDefault="00454FD2" w:rsidP="003B6D3B">
      <w:pPr>
        <w:pStyle w:val="310"/>
        <w:shd w:val="clear" w:color="auto" w:fill="auto"/>
        <w:spacing w:line="216" w:lineRule="exact"/>
        <w:ind w:firstLine="0"/>
        <w:jc w:val="both"/>
      </w:pPr>
      <w:r w:rsidRPr="00DB0AC3">
        <w:rPr>
          <w:rStyle w:val="34"/>
          <w:b/>
          <w:bCs/>
          <w:i/>
          <w:iCs/>
          <w:color w:val="000000"/>
        </w:rPr>
        <w:t>Обесценение и политика создания резервов</w:t>
      </w:r>
    </w:p>
    <w:p w:rsidR="00454FD2" w:rsidRPr="00DB0AC3" w:rsidRDefault="00454FD2" w:rsidP="003B6D3B">
      <w:pPr>
        <w:pStyle w:val="210"/>
        <w:shd w:val="clear" w:color="auto" w:fill="auto"/>
        <w:spacing w:line="216" w:lineRule="exact"/>
        <w:ind w:firstLine="0"/>
        <w:jc w:val="both"/>
        <w:rPr>
          <w:b w:val="0"/>
          <w:sz w:val="20"/>
          <w:szCs w:val="24"/>
        </w:rPr>
      </w:pPr>
      <w:r w:rsidRPr="00DB0AC3">
        <w:rPr>
          <w:b w:val="0"/>
          <w:sz w:val="20"/>
          <w:szCs w:val="24"/>
        </w:rPr>
        <w:t>Внутренняя классификация, опис</w:t>
      </w:r>
      <w:r w:rsidR="00EE4454" w:rsidRPr="00DB0AC3">
        <w:rPr>
          <w:b w:val="0"/>
          <w:sz w:val="20"/>
          <w:szCs w:val="24"/>
        </w:rPr>
        <w:t xml:space="preserve">анная выше в данном примечании </w:t>
      </w:r>
      <w:r w:rsidRPr="00DB0AC3">
        <w:rPr>
          <w:b w:val="0"/>
          <w:sz w:val="20"/>
          <w:szCs w:val="24"/>
        </w:rPr>
        <w:t xml:space="preserve">и используемая для учета и отчетности в соответствии с требованиями Центрального Банка Российской Федерации, направлена в большей степени на отображение качества кредитов с самого начала выдачи кредита. Напротив, резервы </w:t>
      </w:r>
      <w:r w:rsidR="00310949">
        <w:rPr>
          <w:b w:val="0"/>
          <w:sz w:val="20"/>
          <w:szCs w:val="24"/>
        </w:rPr>
        <w:t xml:space="preserve">под </w:t>
      </w:r>
      <w:r w:rsidRPr="00DB0AC3">
        <w:rPr>
          <w:b w:val="0"/>
          <w:sz w:val="20"/>
          <w:szCs w:val="24"/>
        </w:rPr>
        <w:t>обесценение в соответствии с МСФО создаются на основе фактически понесенных убытков на дату составления финансовой отчетности, определенных на основе объективных признаков обесценения. Из-за применения различных методик, сумма потерь по кредитам, представленная в финансовой отчетности в соответствии с МСФО</w:t>
      </w:r>
      <w:r w:rsidR="003B6D3B" w:rsidRPr="00DB0AC3">
        <w:rPr>
          <w:b w:val="0"/>
          <w:sz w:val="20"/>
          <w:szCs w:val="24"/>
        </w:rPr>
        <w:t xml:space="preserve">может существенно отличаться от </w:t>
      </w:r>
      <w:r w:rsidRPr="00DB0AC3">
        <w:rPr>
          <w:b w:val="0"/>
          <w:sz w:val="20"/>
          <w:szCs w:val="24"/>
        </w:rPr>
        <w:t xml:space="preserve"> суммы резерва, рассчитанного на основе модели ожидаемых потерь, используемой для внутреннего операционного и налогового учета.</w:t>
      </w:r>
    </w:p>
    <w:p w:rsidR="00454FD2" w:rsidRPr="00DB0AC3" w:rsidRDefault="00454FD2" w:rsidP="003B6D3B">
      <w:pPr>
        <w:pStyle w:val="210"/>
        <w:shd w:val="clear" w:color="auto" w:fill="auto"/>
        <w:ind w:firstLine="0"/>
        <w:jc w:val="both"/>
        <w:rPr>
          <w:b w:val="0"/>
          <w:sz w:val="20"/>
          <w:szCs w:val="24"/>
        </w:rPr>
      </w:pPr>
      <w:r w:rsidRPr="00DB0AC3">
        <w:rPr>
          <w:b w:val="0"/>
          <w:sz w:val="20"/>
          <w:szCs w:val="24"/>
        </w:rPr>
        <w:t>Инструмент внутреннего рейтинга позволяет руководству определить наличие объективных признаков обесценения согласно МСБУ 39, основываясь на следующих факторах, установленных Банком:</w:t>
      </w:r>
    </w:p>
    <w:p w:rsidR="00454FD2" w:rsidRPr="00DB0AC3" w:rsidRDefault="00454FD2" w:rsidP="003B6D3B">
      <w:pPr>
        <w:pStyle w:val="210"/>
        <w:numPr>
          <w:ilvl w:val="0"/>
          <w:numId w:val="26"/>
        </w:numPr>
        <w:shd w:val="clear" w:color="auto" w:fill="auto"/>
        <w:tabs>
          <w:tab w:val="left" w:pos="739"/>
        </w:tabs>
        <w:ind w:firstLine="0"/>
        <w:jc w:val="both"/>
        <w:rPr>
          <w:b w:val="0"/>
          <w:sz w:val="20"/>
          <w:szCs w:val="24"/>
        </w:rPr>
      </w:pPr>
      <w:r w:rsidRPr="00DB0AC3">
        <w:rPr>
          <w:b w:val="0"/>
          <w:sz w:val="20"/>
          <w:szCs w:val="24"/>
        </w:rPr>
        <w:t>Нарушение платежей процентного и основного долга по контракту</w:t>
      </w:r>
      <w:r w:rsidR="003B6D3B" w:rsidRPr="00DB0AC3">
        <w:rPr>
          <w:b w:val="0"/>
          <w:sz w:val="20"/>
          <w:szCs w:val="24"/>
        </w:rPr>
        <w:t>;</w:t>
      </w:r>
    </w:p>
    <w:p w:rsidR="00454FD2" w:rsidRPr="00DB0AC3" w:rsidRDefault="00454FD2" w:rsidP="003B6D3B">
      <w:pPr>
        <w:pStyle w:val="210"/>
        <w:numPr>
          <w:ilvl w:val="0"/>
          <w:numId w:val="26"/>
        </w:numPr>
        <w:shd w:val="clear" w:color="auto" w:fill="auto"/>
        <w:tabs>
          <w:tab w:val="left" w:pos="739"/>
        </w:tabs>
        <w:ind w:firstLine="0"/>
        <w:jc w:val="both"/>
        <w:rPr>
          <w:b w:val="0"/>
          <w:sz w:val="20"/>
          <w:szCs w:val="24"/>
        </w:rPr>
      </w:pPr>
      <w:r w:rsidRPr="00DB0AC3">
        <w:rPr>
          <w:b w:val="0"/>
          <w:sz w:val="20"/>
          <w:szCs w:val="24"/>
        </w:rPr>
        <w:t>Наличие финансовых трудностей у заемщика;</w:t>
      </w:r>
    </w:p>
    <w:p w:rsidR="00454FD2" w:rsidRPr="00DB0AC3" w:rsidRDefault="00454FD2" w:rsidP="003B6D3B">
      <w:pPr>
        <w:pStyle w:val="210"/>
        <w:numPr>
          <w:ilvl w:val="0"/>
          <w:numId w:val="26"/>
        </w:numPr>
        <w:shd w:val="clear" w:color="auto" w:fill="auto"/>
        <w:tabs>
          <w:tab w:val="left" w:pos="739"/>
        </w:tabs>
        <w:ind w:firstLine="0"/>
        <w:jc w:val="both"/>
        <w:rPr>
          <w:b w:val="0"/>
          <w:sz w:val="20"/>
          <w:szCs w:val="24"/>
        </w:rPr>
      </w:pPr>
      <w:r w:rsidRPr="00DB0AC3">
        <w:rPr>
          <w:b w:val="0"/>
          <w:sz w:val="20"/>
          <w:szCs w:val="24"/>
        </w:rPr>
        <w:t>Нарушение условий или соглашений по кредиту;</w:t>
      </w:r>
    </w:p>
    <w:p w:rsidR="00454FD2" w:rsidRPr="00DB0AC3" w:rsidRDefault="00454FD2" w:rsidP="003B6D3B">
      <w:pPr>
        <w:pStyle w:val="210"/>
        <w:numPr>
          <w:ilvl w:val="0"/>
          <w:numId w:val="26"/>
        </w:numPr>
        <w:shd w:val="clear" w:color="auto" w:fill="auto"/>
        <w:tabs>
          <w:tab w:val="left" w:pos="739"/>
        </w:tabs>
        <w:ind w:firstLine="0"/>
        <w:jc w:val="both"/>
        <w:rPr>
          <w:b w:val="0"/>
          <w:sz w:val="20"/>
          <w:szCs w:val="24"/>
        </w:rPr>
      </w:pPr>
      <w:r w:rsidRPr="00DB0AC3">
        <w:rPr>
          <w:b w:val="0"/>
          <w:sz w:val="20"/>
          <w:szCs w:val="24"/>
        </w:rPr>
        <w:t>Начало процедуры банкротства;</w:t>
      </w:r>
    </w:p>
    <w:p w:rsidR="00454FD2" w:rsidRPr="00DB0AC3" w:rsidRDefault="00454FD2" w:rsidP="003B6D3B">
      <w:pPr>
        <w:pStyle w:val="210"/>
        <w:numPr>
          <w:ilvl w:val="0"/>
          <w:numId w:val="26"/>
        </w:numPr>
        <w:shd w:val="clear" w:color="auto" w:fill="auto"/>
        <w:tabs>
          <w:tab w:val="left" w:pos="739"/>
        </w:tabs>
        <w:ind w:firstLine="0"/>
        <w:jc w:val="both"/>
        <w:rPr>
          <w:b w:val="0"/>
          <w:sz w:val="20"/>
          <w:szCs w:val="24"/>
        </w:rPr>
      </w:pPr>
      <w:r w:rsidRPr="00DB0AC3">
        <w:rPr>
          <w:b w:val="0"/>
          <w:sz w:val="20"/>
          <w:szCs w:val="24"/>
        </w:rPr>
        <w:t>Ухудшение конкурентоспособности заемщика;</w:t>
      </w:r>
    </w:p>
    <w:p w:rsidR="00454FD2" w:rsidRPr="00DB0AC3" w:rsidRDefault="00454FD2" w:rsidP="003B6D3B">
      <w:pPr>
        <w:pStyle w:val="210"/>
        <w:numPr>
          <w:ilvl w:val="0"/>
          <w:numId w:val="26"/>
        </w:numPr>
        <w:shd w:val="clear" w:color="auto" w:fill="auto"/>
        <w:tabs>
          <w:tab w:val="left" w:pos="739"/>
        </w:tabs>
        <w:ind w:firstLine="0"/>
        <w:jc w:val="both"/>
        <w:rPr>
          <w:b w:val="0"/>
          <w:sz w:val="20"/>
          <w:szCs w:val="24"/>
        </w:rPr>
      </w:pPr>
      <w:r w:rsidRPr="00DB0AC3">
        <w:rPr>
          <w:b w:val="0"/>
          <w:sz w:val="20"/>
          <w:szCs w:val="24"/>
        </w:rPr>
        <w:t>Снижение стоимости залога;</w:t>
      </w:r>
    </w:p>
    <w:p w:rsidR="003B6D3B" w:rsidRPr="00DB0AC3" w:rsidRDefault="003B6D3B" w:rsidP="0062600E">
      <w:pPr>
        <w:pStyle w:val="210"/>
        <w:shd w:val="clear" w:color="auto" w:fill="auto"/>
        <w:tabs>
          <w:tab w:val="left" w:pos="739"/>
        </w:tabs>
        <w:ind w:firstLine="0"/>
        <w:jc w:val="both"/>
        <w:rPr>
          <w:b w:val="0"/>
          <w:sz w:val="20"/>
          <w:szCs w:val="24"/>
        </w:rPr>
      </w:pPr>
    </w:p>
    <w:p w:rsidR="00454FD2" w:rsidRPr="00DB0AC3" w:rsidRDefault="00454FD2" w:rsidP="003B6D3B">
      <w:pPr>
        <w:pStyle w:val="210"/>
        <w:shd w:val="clear" w:color="auto" w:fill="auto"/>
        <w:ind w:firstLine="0"/>
        <w:jc w:val="both"/>
        <w:rPr>
          <w:b w:val="0"/>
          <w:sz w:val="20"/>
          <w:szCs w:val="24"/>
        </w:rPr>
      </w:pPr>
      <w:r w:rsidRPr="00DB0AC3">
        <w:rPr>
          <w:b w:val="0"/>
          <w:sz w:val="20"/>
          <w:szCs w:val="24"/>
        </w:rPr>
        <w:t>Политика Банка требует проверки индивидуальных финансовых активов, которые находятся выше порогов материальности как минимум ежеквартально или более регулярно при возникновении особых обстоятельств. Резерв по</w:t>
      </w:r>
      <w:r w:rsidR="00310949">
        <w:rPr>
          <w:b w:val="0"/>
          <w:sz w:val="20"/>
          <w:szCs w:val="24"/>
        </w:rPr>
        <w:t>д</w:t>
      </w:r>
      <w:r w:rsidRPr="00DB0AC3">
        <w:rPr>
          <w:b w:val="0"/>
          <w:sz w:val="20"/>
          <w:szCs w:val="24"/>
        </w:rPr>
        <w:t xml:space="preserve"> обесценени</w:t>
      </w:r>
      <w:r w:rsidR="00310949">
        <w:rPr>
          <w:b w:val="0"/>
          <w:sz w:val="20"/>
          <w:szCs w:val="24"/>
        </w:rPr>
        <w:t>е</w:t>
      </w:r>
      <w:r w:rsidRPr="00DB0AC3">
        <w:rPr>
          <w:b w:val="0"/>
          <w:sz w:val="20"/>
          <w:szCs w:val="24"/>
        </w:rPr>
        <w:t xml:space="preserve"> индивидуально оцениваемых статей определяется путем определения убытка на дату представления отчетности на частной основе (индивидуально), и применяется ко всем индивидуально значимым счетам. Данная оценка обычно принимает во внимание залог (включая проверки его правового обеспечения), а также ожидаемую выручку для данного индивидуального счета.</w:t>
      </w:r>
    </w:p>
    <w:p w:rsidR="003B6D3B" w:rsidRPr="00DB0AC3" w:rsidRDefault="003B6D3B" w:rsidP="003B6D3B">
      <w:pPr>
        <w:pStyle w:val="210"/>
        <w:shd w:val="clear" w:color="auto" w:fill="auto"/>
        <w:ind w:firstLine="0"/>
        <w:jc w:val="both"/>
        <w:rPr>
          <w:b w:val="0"/>
          <w:sz w:val="20"/>
          <w:szCs w:val="24"/>
        </w:rPr>
      </w:pPr>
    </w:p>
    <w:p w:rsidR="00454FD2" w:rsidRPr="00DB0AC3" w:rsidRDefault="00454FD2" w:rsidP="003B6D3B">
      <w:pPr>
        <w:pStyle w:val="210"/>
        <w:shd w:val="clear" w:color="auto" w:fill="auto"/>
        <w:spacing w:line="180" w:lineRule="exact"/>
        <w:ind w:firstLine="0"/>
        <w:jc w:val="both"/>
        <w:rPr>
          <w:b w:val="0"/>
          <w:sz w:val="20"/>
          <w:szCs w:val="24"/>
        </w:rPr>
      </w:pPr>
      <w:r w:rsidRPr="00DB0AC3">
        <w:rPr>
          <w:b w:val="0"/>
          <w:sz w:val="20"/>
          <w:szCs w:val="24"/>
        </w:rPr>
        <w:t xml:space="preserve">Резервы </w:t>
      </w:r>
      <w:r w:rsidR="00310949">
        <w:rPr>
          <w:b w:val="0"/>
          <w:sz w:val="20"/>
          <w:szCs w:val="24"/>
        </w:rPr>
        <w:t xml:space="preserve">под </w:t>
      </w:r>
      <w:r w:rsidRPr="00DB0AC3">
        <w:rPr>
          <w:b w:val="0"/>
          <w:sz w:val="20"/>
          <w:szCs w:val="24"/>
        </w:rPr>
        <w:t>обесценение, созданные на основе совокупной оценки</w:t>
      </w:r>
      <w:r w:rsidR="00B52DFF">
        <w:rPr>
          <w:b w:val="0"/>
          <w:sz w:val="20"/>
          <w:szCs w:val="24"/>
        </w:rPr>
        <w:t>,</w:t>
      </w:r>
      <w:r w:rsidRPr="00DB0AC3">
        <w:rPr>
          <w:b w:val="0"/>
          <w:sz w:val="20"/>
          <w:szCs w:val="24"/>
        </w:rPr>
        <w:t xml:space="preserve"> создаются для:</w:t>
      </w:r>
    </w:p>
    <w:p w:rsidR="003B6D3B" w:rsidRPr="00DB0AC3" w:rsidRDefault="003B6D3B" w:rsidP="003B6D3B">
      <w:pPr>
        <w:pStyle w:val="210"/>
        <w:shd w:val="clear" w:color="auto" w:fill="auto"/>
        <w:spacing w:line="180" w:lineRule="exact"/>
        <w:ind w:firstLine="0"/>
        <w:jc w:val="both"/>
        <w:rPr>
          <w:b w:val="0"/>
          <w:sz w:val="20"/>
          <w:szCs w:val="24"/>
        </w:rPr>
      </w:pPr>
    </w:p>
    <w:p w:rsidR="00454FD2" w:rsidRPr="00DB0AC3" w:rsidRDefault="00454FD2" w:rsidP="003B6D3B">
      <w:pPr>
        <w:pStyle w:val="210"/>
        <w:numPr>
          <w:ilvl w:val="0"/>
          <w:numId w:val="29"/>
        </w:numPr>
        <w:shd w:val="clear" w:color="auto" w:fill="auto"/>
        <w:tabs>
          <w:tab w:val="left" w:pos="1024"/>
        </w:tabs>
        <w:spacing w:line="230" w:lineRule="exact"/>
        <w:ind w:firstLine="0"/>
        <w:jc w:val="both"/>
        <w:rPr>
          <w:b w:val="0"/>
          <w:sz w:val="20"/>
          <w:szCs w:val="24"/>
        </w:rPr>
      </w:pPr>
      <w:r w:rsidRPr="00DB0AC3">
        <w:rPr>
          <w:b w:val="0"/>
          <w:sz w:val="20"/>
          <w:szCs w:val="24"/>
        </w:rPr>
        <w:lastRenderedPageBreak/>
        <w:t>портфелей с однородными активами, отдельные суммы которых ниже материальности</w:t>
      </w:r>
      <w:r w:rsidR="003B6D3B" w:rsidRPr="00DB0AC3">
        <w:rPr>
          <w:b w:val="0"/>
          <w:sz w:val="20"/>
          <w:szCs w:val="24"/>
        </w:rPr>
        <w:t>;</w:t>
      </w:r>
    </w:p>
    <w:p w:rsidR="00454FD2" w:rsidRPr="00DB0AC3" w:rsidRDefault="00454FD2" w:rsidP="003B6D3B">
      <w:pPr>
        <w:pStyle w:val="210"/>
        <w:numPr>
          <w:ilvl w:val="0"/>
          <w:numId w:val="29"/>
        </w:numPr>
        <w:shd w:val="clear" w:color="auto" w:fill="auto"/>
        <w:tabs>
          <w:tab w:val="left" w:pos="1024"/>
        </w:tabs>
        <w:spacing w:line="230" w:lineRule="exact"/>
        <w:ind w:left="360" w:hanging="360"/>
        <w:jc w:val="both"/>
        <w:rPr>
          <w:b w:val="0"/>
          <w:sz w:val="20"/>
          <w:szCs w:val="24"/>
        </w:rPr>
      </w:pPr>
      <w:r w:rsidRPr="00DB0AC3">
        <w:rPr>
          <w:b w:val="0"/>
          <w:sz w:val="20"/>
          <w:szCs w:val="24"/>
        </w:rPr>
        <w:t>убытков, которые уже понесены, но еще не определены, основываясь на историческом опыте, квалифицированном суждении и статистических методах.</w:t>
      </w:r>
    </w:p>
    <w:p w:rsidR="003B6D3B" w:rsidRPr="00DB0AC3" w:rsidRDefault="003B6D3B" w:rsidP="003B6D3B">
      <w:pPr>
        <w:pStyle w:val="210"/>
        <w:shd w:val="clear" w:color="auto" w:fill="auto"/>
        <w:tabs>
          <w:tab w:val="left" w:pos="1024"/>
        </w:tabs>
        <w:spacing w:line="230" w:lineRule="exact"/>
        <w:ind w:left="360" w:firstLine="0"/>
        <w:jc w:val="both"/>
        <w:rPr>
          <w:b w:val="0"/>
          <w:sz w:val="20"/>
          <w:szCs w:val="24"/>
        </w:rPr>
      </w:pPr>
    </w:p>
    <w:p w:rsidR="003B6D3B" w:rsidRPr="00DB0AC3" w:rsidRDefault="00454FD2" w:rsidP="003B6D3B">
      <w:pPr>
        <w:pStyle w:val="210"/>
        <w:shd w:val="clear" w:color="auto" w:fill="auto"/>
        <w:spacing w:line="180" w:lineRule="exact"/>
        <w:ind w:firstLine="0"/>
        <w:jc w:val="both"/>
        <w:rPr>
          <w:b w:val="0"/>
          <w:sz w:val="20"/>
          <w:szCs w:val="24"/>
        </w:rPr>
      </w:pPr>
      <w:r w:rsidRPr="00DB0AC3">
        <w:rPr>
          <w:b w:val="0"/>
          <w:sz w:val="20"/>
          <w:szCs w:val="24"/>
        </w:rPr>
        <w:t>Кредиты и авансы клиентам могут быть представлены следующими портфелями:</w:t>
      </w:r>
    </w:p>
    <w:p w:rsidR="003B6D3B" w:rsidRPr="00DB0AC3" w:rsidRDefault="003B6D3B" w:rsidP="003B6D3B">
      <w:pPr>
        <w:rPr>
          <w:rFonts w:cs="Arial"/>
          <w:lang w:val="ru-RU"/>
        </w:rPr>
      </w:pPr>
    </w:p>
    <w:tbl>
      <w:tblPr>
        <w:tblW w:w="5000" w:type="pct"/>
        <w:jc w:val="center"/>
        <w:tblLook w:val="04A0"/>
      </w:tblPr>
      <w:tblGrid>
        <w:gridCol w:w="5640"/>
        <w:gridCol w:w="2326"/>
        <w:gridCol w:w="1857"/>
      </w:tblGrid>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p>
        </w:tc>
        <w:tc>
          <w:tcPr>
            <w:tcW w:w="1184" w:type="pct"/>
            <w:tcBorders>
              <w:top w:val="nil"/>
              <w:left w:val="nil"/>
              <w:bottom w:val="single" w:sz="4" w:space="0" w:color="auto"/>
              <w:right w:val="nil"/>
            </w:tcBorders>
            <w:shd w:val="clear" w:color="auto" w:fill="auto"/>
            <w:vAlign w:val="bottom"/>
            <w:hideMark/>
          </w:tcPr>
          <w:p w:rsidR="009B5FC3" w:rsidRPr="009652D5" w:rsidRDefault="009B5FC3" w:rsidP="009B5FC3">
            <w:pPr>
              <w:jc w:val="center"/>
              <w:rPr>
                <w:rFonts w:cs="Arial"/>
                <w:b/>
                <w:bCs/>
                <w:color w:val="000000"/>
                <w:sz w:val="20"/>
                <w:lang w:val="ru-RU"/>
              </w:rPr>
            </w:pPr>
            <w:r w:rsidRPr="009652D5">
              <w:rPr>
                <w:rFonts w:cs="Arial"/>
                <w:b/>
                <w:bCs/>
                <w:color w:val="000000"/>
                <w:sz w:val="20"/>
                <w:lang w:val="ru-RU"/>
              </w:rPr>
              <w:t>31 декабря 2014</w:t>
            </w:r>
          </w:p>
        </w:tc>
        <w:tc>
          <w:tcPr>
            <w:tcW w:w="945" w:type="pct"/>
            <w:tcBorders>
              <w:top w:val="nil"/>
              <w:left w:val="nil"/>
              <w:bottom w:val="single" w:sz="4" w:space="0" w:color="auto"/>
              <w:right w:val="nil"/>
            </w:tcBorders>
            <w:shd w:val="clear" w:color="auto" w:fill="auto"/>
            <w:vAlign w:val="bottom"/>
            <w:hideMark/>
          </w:tcPr>
          <w:p w:rsidR="009B5FC3" w:rsidRPr="009652D5" w:rsidRDefault="009B5FC3" w:rsidP="009B5FC3">
            <w:pPr>
              <w:jc w:val="center"/>
              <w:rPr>
                <w:rFonts w:cs="Arial"/>
                <w:b/>
                <w:bCs/>
                <w:color w:val="000000"/>
                <w:sz w:val="20"/>
                <w:lang w:val="ru-RU"/>
              </w:rPr>
            </w:pPr>
            <w:r w:rsidRPr="009652D5">
              <w:rPr>
                <w:rFonts w:cs="Arial"/>
                <w:b/>
                <w:bCs/>
                <w:color w:val="000000"/>
                <w:sz w:val="20"/>
                <w:lang w:val="ru-RU"/>
              </w:rPr>
              <w:t>31 декабря 2013</w:t>
            </w: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b/>
                <w:bCs/>
                <w:color w:val="000000"/>
                <w:sz w:val="20"/>
                <w:lang w:val="ru-RU"/>
              </w:rPr>
            </w:pPr>
            <w:r w:rsidRPr="009652D5">
              <w:rPr>
                <w:rFonts w:cs="Arial"/>
                <w:b/>
                <w:bCs/>
                <w:color w:val="000000"/>
                <w:sz w:val="20"/>
                <w:lang w:val="ru-RU"/>
              </w:rPr>
              <w:t>Кредиты клиентам</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i/>
                <w:iCs/>
                <w:color w:val="000000"/>
                <w:sz w:val="20"/>
                <w:lang w:val="ru-RU"/>
              </w:rPr>
            </w:pPr>
            <w:r w:rsidRPr="009652D5">
              <w:rPr>
                <w:rFonts w:cs="Arial"/>
                <w:i/>
                <w:iCs/>
                <w:color w:val="000000"/>
                <w:sz w:val="20"/>
                <w:lang w:val="ru-RU"/>
              </w:rPr>
              <w:t>Физические лица (розничные клиенты)</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r w:rsidRPr="009652D5">
              <w:rPr>
                <w:rFonts w:cs="Arial"/>
                <w:color w:val="000000"/>
                <w:sz w:val="20"/>
                <w:lang w:val="ru-RU"/>
              </w:rPr>
              <w:t>Потребительские кредиты</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1 153 558</w:t>
            </w: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1 363 247</w:t>
            </w: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i/>
                <w:iCs/>
                <w:color w:val="000000"/>
                <w:sz w:val="20"/>
                <w:lang w:val="ru-RU"/>
              </w:rPr>
            </w:pPr>
            <w:r w:rsidRPr="009652D5">
              <w:rPr>
                <w:rFonts w:cs="Arial"/>
                <w:i/>
                <w:iCs/>
                <w:color w:val="000000"/>
                <w:sz w:val="20"/>
                <w:lang w:val="ru-RU"/>
              </w:rPr>
              <w:t>Юридические лица</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r w:rsidRPr="009652D5">
              <w:rPr>
                <w:rFonts w:cs="Arial"/>
                <w:color w:val="000000"/>
                <w:sz w:val="20"/>
                <w:lang w:val="ru-RU"/>
              </w:rPr>
              <w:t>Крупный бизнес</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11 951 884</w:t>
            </w: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8 365 078</w:t>
            </w: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r w:rsidRPr="009652D5">
              <w:rPr>
                <w:rFonts w:cs="Arial"/>
                <w:color w:val="000000"/>
                <w:sz w:val="20"/>
                <w:lang w:val="ru-RU"/>
              </w:rPr>
              <w:t>Средний бизнес</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32 025 819</w:t>
            </w: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29 170 058</w:t>
            </w: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r w:rsidRPr="009652D5">
              <w:rPr>
                <w:rFonts w:cs="Arial"/>
                <w:color w:val="000000"/>
                <w:sz w:val="20"/>
                <w:lang w:val="ru-RU"/>
              </w:rPr>
              <w:t>Частные предприниматели</w:t>
            </w:r>
          </w:p>
        </w:tc>
        <w:tc>
          <w:tcPr>
            <w:tcW w:w="1184" w:type="pct"/>
            <w:tcBorders>
              <w:top w:val="nil"/>
              <w:left w:val="nil"/>
              <w:bottom w:val="single" w:sz="4" w:space="0" w:color="auto"/>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7 764</w:t>
            </w:r>
          </w:p>
        </w:tc>
        <w:tc>
          <w:tcPr>
            <w:tcW w:w="945" w:type="pct"/>
            <w:tcBorders>
              <w:top w:val="nil"/>
              <w:left w:val="nil"/>
              <w:bottom w:val="single" w:sz="4" w:space="0" w:color="auto"/>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23 627</w:t>
            </w: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r w:rsidRPr="009652D5">
              <w:rPr>
                <w:rFonts w:cs="Arial"/>
                <w:color w:val="000000"/>
                <w:sz w:val="20"/>
                <w:lang w:val="ru-RU"/>
              </w:rPr>
              <w:t>Кредиты клиентам, валовые</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45 139 025</w:t>
            </w: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38 922 010</w:t>
            </w:r>
          </w:p>
        </w:tc>
      </w:tr>
      <w:tr w:rsidR="009B5FC3" w:rsidRPr="009652D5" w:rsidTr="009B5FC3">
        <w:trPr>
          <w:trHeight w:val="300"/>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color w:val="000000"/>
                <w:sz w:val="20"/>
                <w:lang w:val="ru-RU"/>
              </w:rPr>
            </w:pPr>
            <w:r w:rsidRPr="009652D5">
              <w:rPr>
                <w:rFonts w:cs="Arial"/>
                <w:color w:val="000000"/>
                <w:sz w:val="20"/>
                <w:lang w:val="ru-RU"/>
              </w:rPr>
              <w:t>Минус: резерв под обесценение</w:t>
            </w:r>
          </w:p>
        </w:tc>
        <w:tc>
          <w:tcPr>
            <w:tcW w:w="1184"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(34 163 772)</w:t>
            </w:r>
          </w:p>
        </w:tc>
        <w:tc>
          <w:tcPr>
            <w:tcW w:w="945" w:type="pct"/>
            <w:tcBorders>
              <w:top w:val="nil"/>
              <w:left w:val="nil"/>
              <w:bottom w:val="nil"/>
              <w:right w:val="nil"/>
            </w:tcBorders>
            <w:shd w:val="clear" w:color="auto" w:fill="auto"/>
            <w:noWrap/>
            <w:vAlign w:val="bottom"/>
            <w:hideMark/>
          </w:tcPr>
          <w:p w:rsidR="009B5FC3" w:rsidRPr="009652D5" w:rsidRDefault="009B5FC3" w:rsidP="009B5FC3">
            <w:pPr>
              <w:jc w:val="center"/>
              <w:rPr>
                <w:rFonts w:cs="Arial"/>
                <w:color w:val="000000"/>
                <w:sz w:val="20"/>
                <w:lang w:val="ru-RU"/>
              </w:rPr>
            </w:pPr>
            <w:r w:rsidRPr="009652D5">
              <w:rPr>
                <w:rFonts w:cs="Arial"/>
                <w:color w:val="000000"/>
                <w:sz w:val="20"/>
                <w:lang w:val="ru-RU"/>
              </w:rPr>
              <w:t>(1 831 921)</w:t>
            </w:r>
          </w:p>
        </w:tc>
      </w:tr>
      <w:tr w:rsidR="009B5FC3" w:rsidRPr="009652D5" w:rsidTr="009B5FC3">
        <w:trPr>
          <w:trHeight w:val="315"/>
          <w:jc w:val="center"/>
        </w:trPr>
        <w:tc>
          <w:tcPr>
            <w:tcW w:w="2871" w:type="pct"/>
            <w:tcBorders>
              <w:top w:val="nil"/>
              <w:left w:val="nil"/>
              <w:bottom w:val="nil"/>
              <w:right w:val="nil"/>
            </w:tcBorders>
            <w:shd w:val="clear" w:color="auto" w:fill="auto"/>
            <w:noWrap/>
            <w:vAlign w:val="bottom"/>
            <w:hideMark/>
          </w:tcPr>
          <w:p w:rsidR="009B5FC3" w:rsidRPr="009652D5" w:rsidRDefault="009B5FC3" w:rsidP="009B5FC3">
            <w:pPr>
              <w:rPr>
                <w:rFonts w:cs="Arial"/>
                <w:b/>
                <w:color w:val="000000"/>
                <w:sz w:val="20"/>
                <w:lang w:val="ru-RU"/>
              </w:rPr>
            </w:pPr>
            <w:r w:rsidRPr="009652D5">
              <w:rPr>
                <w:rFonts w:cs="Arial"/>
                <w:b/>
                <w:color w:val="000000"/>
                <w:sz w:val="20"/>
                <w:lang w:val="ru-RU"/>
              </w:rPr>
              <w:t>Кредиты клиентам, чистые</w:t>
            </w:r>
          </w:p>
        </w:tc>
        <w:tc>
          <w:tcPr>
            <w:tcW w:w="1184" w:type="pct"/>
            <w:tcBorders>
              <w:top w:val="single" w:sz="4" w:space="0" w:color="auto"/>
              <w:left w:val="nil"/>
              <w:bottom w:val="double" w:sz="6" w:space="0" w:color="auto"/>
              <w:right w:val="nil"/>
            </w:tcBorders>
            <w:shd w:val="clear" w:color="auto" w:fill="auto"/>
            <w:noWrap/>
            <w:vAlign w:val="bottom"/>
            <w:hideMark/>
          </w:tcPr>
          <w:p w:rsidR="009B5FC3" w:rsidRPr="009652D5" w:rsidRDefault="009B5FC3" w:rsidP="009B5FC3">
            <w:pPr>
              <w:jc w:val="center"/>
              <w:rPr>
                <w:rFonts w:cs="Arial"/>
                <w:b/>
                <w:bCs/>
                <w:color w:val="000000"/>
                <w:sz w:val="20"/>
                <w:lang w:val="ru-RU"/>
              </w:rPr>
            </w:pPr>
            <w:r w:rsidRPr="009652D5">
              <w:rPr>
                <w:rFonts w:cs="Arial"/>
                <w:b/>
                <w:bCs/>
                <w:color w:val="000000"/>
                <w:sz w:val="20"/>
                <w:lang w:val="ru-RU"/>
              </w:rPr>
              <w:t>10 975 253</w:t>
            </w:r>
          </w:p>
        </w:tc>
        <w:tc>
          <w:tcPr>
            <w:tcW w:w="945" w:type="pct"/>
            <w:tcBorders>
              <w:top w:val="single" w:sz="4" w:space="0" w:color="auto"/>
              <w:left w:val="nil"/>
              <w:bottom w:val="double" w:sz="6" w:space="0" w:color="auto"/>
              <w:right w:val="nil"/>
            </w:tcBorders>
            <w:shd w:val="clear" w:color="auto" w:fill="auto"/>
            <w:noWrap/>
            <w:vAlign w:val="bottom"/>
            <w:hideMark/>
          </w:tcPr>
          <w:p w:rsidR="009B5FC3" w:rsidRPr="009652D5" w:rsidRDefault="009B5FC3" w:rsidP="009B5FC3">
            <w:pPr>
              <w:jc w:val="center"/>
              <w:rPr>
                <w:rFonts w:cs="Arial"/>
                <w:b/>
                <w:bCs/>
                <w:color w:val="000000"/>
                <w:sz w:val="20"/>
                <w:lang w:val="ru-RU"/>
              </w:rPr>
            </w:pPr>
            <w:r w:rsidRPr="009652D5">
              <w:rPr>
                <w:rFonts w:cs="Arial"/>
                <w:b/>
                <w:bCs/>
                <w:color w:val="000000"/>
                <w:sz w:val="20"/>
                <w:lang w:val="ru-RU"/>
              </w:rPr>
              <w:t>37 090 089</w:t>
            </w:r>
          </w:p>
        </w:tc>
      </w:tr>
    </w:tbl>
    <w:p w:rsidR="00CB2696" w:rsidRPr="00DB0AC3" w:rsidRDefault="00CB2696" w:rsidP="003B6D3B">
      <w:pPr>
        <w:rPr>
          <w:rFonts w:cs="Arial"/>
          <w:lang w:val="ru-RU"/>
        </w:rPr>
      </w:pPr>
    </w:p>
    <w:p w:rsidR="00CB2696" w:rsidRPr="00DB0AC3" w:rsidRDefault="00CB2696" w:rsidP="00CB2696">
      <w:pPr>
        <w:pStyle w:val="210"/>
        <w:shd w:val="clear" w:color="auto" w:fill="auto"/>
        <w:ind w:firstLine="0"/>
        <w:rPr>
          <w:b w:val="0"/>
          <w:sz w:val="20"/>
          <w:szCs w:val="24"/>
        </w:rPr>
      </w:pPr>
      <w:r w:rsidRPr="00DB0AC3">
        <w:rPr>
          <w:b w:val="0"/>
          <w:sz w:val="20"/>
          <w:szCs w:val="24"/>
        </w:rPr>
        <w:t>Кредитные портфели юридических, физических лиц и частных предпринимателей на 31 декабря 201</w:t>
      </w:r>
      <w:r w:rsidR="00E637B9" w:rsidRPr="00DB0AC3">
        <w:rPr>
          <w:b w:val="0"/>
          <w:sz w:val="20"/>
          <w:szCs w:val="24"/>
        </w:rPr>
        <w:t>4</w:t>
      </w:r>
      <w:r w:rsidRPr="00DB0AC3">
        <w:rPr>
          <w:b w:val="0"/>
          <w:sz w:val="20"/>
          <w:szCs w:val="24"/>
        </w:rPr>
        <w:t xml:space="preserve"> года представлены следующим образом:</w:t>
      </w:r>
    </w:p>
    <w:p w:rsidR="00CB2696" w:rsidRPr="00DB0AC3" w:rsidRDefault="00CB2696" w:rsidP="00CB2696">
      <w:pPr>
        <w:pStyle w:val="210"/>
        <w:shd w:val="clear" w:color="auto" w:fill="auto"/>
        <w:ind w:firstLine="0"/>
        <w:rPr>
          <w:b w:val="0"/>
          <w:sz w:val="20"/>
          <w:szCs w:val="24"/>
        </w:rPr>
      </w:pPr>
    </w:p>
    <w:tbl>
      <w:tblPr>
        <w:tblW w:w="5000" w:type="pct"/>
        <w:tblLayout w:type="fixed"/>
        <w:tblLook w:val="04A0"/>
      </w:tblPr>
      <w:tblGrid>
        <w:gridCol w:w="3019"/>
        <w:gridCol w:w="1892"/>
        <w:gridCol w:w="1747"/>
        <w:gridCol w:w="1456"/>
        <w:gridCol w:w="1709"/>
      </w:tblGrid>
      <w:tr w:rsidR="00E637B9" w:rsidRPr="009652D5" w:rsidTr="00D23CD0">
        <w:trPr>
          <w:trHeight w:val="12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p>
        </w:tc>
        <w:tc>
          <w:tcPr>
            <w:tcW w:w="963" w:type="pct"/>
            <w:tcBorders>
              <w:top w:val="nil"/>
              <w:left w:val="nil"/>
              <w:bottom w:val="single" w:sz="4" w:space="0" w:color="auto"/>
              <w:right w:val="nil"/>
            </w:tcBorders>
            <w:shd w:val="clear" w:color="auto" w:fill="auto"/>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Крупный бизнес</w:t>
            </w:r>
          </w:p>
        </w:tc>
        <w:tc>
          <w:tcPr>
            <w:tcW w:w="889" w:type="pct"/>
            <w:tcBorders>
              <w:top w:val="nil"/>
              <w:left w:val="nil"/>
              <w:bottom w:val="single" w:sz="4" w:space="0" w:color="auto"/>
              <w:right w:val="nil"/>
            </w:tcBorders>
            <w:shd w:val="clear" w:color="auto" w:fill="auto"/>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Средний бизнес и частные предприни-матели</w:t>
            </w:r>
          </w:p>
        </w:tc>
        <w:tc>
          <w:tcPr>
            <w:tcW w:w="741" w:type="pct"/>
            <w:tcBorders>
              <w:top w:val="nil"/>
              <w:left w:val="nil"/>
              <w:bottom w:val="single" w:sz="4" w:space="0" w:color="auto"/>
              <w:right w:val="nil"/>
            </w:tcBorders>
            <w:shd w:val="clear" w:color="auto" w:fill="auto"/>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Кредиты физическим лицам</w:t>
            </w:r>
          </w:p>
        </w:tc>
        <w:tc>
          <w:tcPr>
            <w:tcW w:w="870" w:type="pct"/>
            <w:tcBorders>
              <w:top w:val="nil"/>
              <w:left w:val="nil"/>
              <w:bottom w:val="single" w:sz="4" w:space="0" w:color="auto"/>
              <w:right w:val="nil"/>
            </w:tcBorders>
            <w:shd w:val="clear" w:color="auto" w:fill="auto"/>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Итого</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 xml:space="preserve">Текущие и индивидуально необесцененные кредиты </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670 822</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416 186</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988 302</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2 075 310</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Резерв под обесценение</w:t>
            </w:r>
          </w:p>
        </w:tc>
        <w:tc>
          <w:tcPr>
            <w:tcW w:w="963"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889"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741"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870"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b/>
                <w:bCs/>
                <w:color w:val="000000"/>
                <w:sz w:val="20"/>
                <w:lang w:val="ru-RU"/>
              </w:rPr>
            </w:pPr>
            <w:r w:rsidRPr="009652D5">
              <w:rPr>
                <w:rFonts w:cs="Arial"/>
                <w:b/>
                <w:bCs/>
                <w:color w:val="000000"/>
                <w:sz w:val="20"/>
                <w:lang w:val="ru-RU"/>
              </w:rPr>
              <w:t>Текущие и необесцененные кредиты, чистые</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670 822</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416 186</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988 302</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2 075 310</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 xml:space="preserve">Текущие и индивидуально обесцененные кредиты </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11 281 062</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30 434 557</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61 073</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41 776 692</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 xml:space="preserve">Резерв под обесценение </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(10 727 138)</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(22 791 933)</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(3 368)</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(33 522 439)</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b/>
                <w:bCs/>
                <w:color w:val="000000"/>
                <w:sz w:val="20"/>
                <w:lang w:val="ru-RU"/>
              </w:rPr>
            </w:pPr>
            <w:r w:rsidRPr="009652D5">
              <w:rPr>
                <w:rFonts w:cs="Arial"/>
                <w:b/>
                <w:bCs/>
                <w:color w:val="000000"/>
                <w:sz w:val="20"/>
                <w:lang w:val="ru-RU"/>
              </w:rPr>
              <w:t xml:space="preserve">Текущие и обесцененные кредиты, чистые </w:t>
            </w:r>
          </w:p>
        </w:tc>
        <w:tc>
          <w:tcPr>
            <w:tcW w:w="963"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553 924</w:t>
            </w:r>
          </w:p>
        </w:tc>
        <w:tc>
          <w:tcPr>
            <w:tcW w:w="889"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7 642 624</w:t>
            </w:r>
          </w:p>
        </w:tc>
        <w:tc>
          <w:tcPr>
            <w:tcW w:w="741"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57 705</w:t>
            </w:r>
          </w:p>
        </w:tc>
        <w:tc>
          <w:tcPr>
            <w:tcW w:w="870"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8 254 253</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Просроченные, но необесцененные кредиты</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2 999</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8 872</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11 871</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Резерв под обесценение</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b/>
                <w:bCs/>
                <w:color w:val="000000"/>
                <w:sz w:val="20"/>
                <w:lang w:val="ru-RU"/>
              </w:rPr>
            </w:pPr>
            <w:r w:rsidRPr="009652D5">
              <w:rPr>
                <w:rFonts w:cs="Arial"/>
                <w:b/>
                <w:bCs/>
                <w:color w:val="000000"/>
                <w:sz w:val="20"/>
                <w:lang w:val="ru-RU"/>
              </w:rPr>
              <w:t>Просроченные, но необесцененные кредиты, чистые</w:t>
            </w:r>
          </w:p>
        </w:tc>
        <w:tc>
          <w:tcPr>
            <w:tcW w:w="963"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889"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2999</w:t>
            </w:r>
          </w:p>
        </w:tc>
        <w:tc>
          <w:tcPr>
            <w:tcW w:w="741"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8872</w:t>
            </w:r>
          </w:p>
        </w:tc>
        <w:tc>
          <w:tcPr>
            <w:tcW w:w="870" w:type="pct"/>
            <w:tcBorders>
              <w:top w:val="nil"/>
              <w:left w:val="nil"/>
              <w:bottom w:val="sing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11871</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 xml:space="preserve">Просроченные и индивидуально обесцененные кредиты </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1 179 841</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95 311</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1 275 152</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color w:val="000000"/>
                <w:sz w:val="20"/>
                <w:lang w:val="ru-RU"/>
              </w:rPr>
            </w:pPr>
            <w:r w:rsidRPr="009652D5">
              <w:rPr>
                <w:rFonts w:cs="Arial"/>
                <w:color w:val="000000"/>
                <w:sz w:val="20"/>
                <w:lang w:val="ru-RU"/>
              </w:rPr>
              <w:t>Резерв под обесценение</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(578 993)</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(62 340)</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(641 333)</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b/>
                <w:bCs/>
                <w:color w:val="000000"/>
                <w:sz w:val="20"/>
                <w:lang w:val="ru-RU"/>
              </w:rPr>
            </w:pPr>
            <w:r w:rsidRPr="009652D5">
              <w:rPr>
                <w:rFonts w:cs="Arial"/>
                <w:b/>
                <w:bCs/>
                <w:color w:val="000000"/>
                <w:sz w:val="20"/>
                <w:lang w:val="ru-RU"/>
              </w:rPr>
              <w:t>Просроченные и индивидуально обесцененные кредиты, чистые</w:t>
            </w:r>
          </w:p>
        </w:tc>
        <w:tc>
          <w:tcPr>
            <w:tcW w:w="963"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color w:val="000000"/>
                <w:sz w:val="20"/>
                <w:lang w:val="ru-RU"/>
              </w:rPr>
            </w:pPr>
            <w:r w:rsidRPr="009652D5">
              <w:rPr>
                <w:rFonts w:cs="Arial"/>
                <w:color w:val="000000"/>
                <w:sz w:val="20"/>
                <w:lang w:val="ru-RU"/>
              </w:rPr>
              <w:t>-</w:t>
            </w:r>
          </w:p>
        </w:tc>
        <w:tc>
          <w:tcPr>
            <w:tcW w:w="889"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600 848</w:t>
            </w:r>
          </w:p>
        </w:tc>
        <w:tc>
          <w:tcPr>
            <w:tcW w:w="741"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32 971</w:t>
            </w:r>
          </w:p>
        </w:tc>
        <w:tc>
          <w:tcPr>
            <w:tcW w:w="870" w:type="pct"/>
            <w:tcBorders>
              <w:top w:val="nil"/>
              <w:left w:val="nil"/>
              <w:bottom w:val="nil"/>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633 819</w:t>
            </w:r>
          </w:p>
        </w:tc>
      </w:tr>
      <w:tr w:rsidR="00E637B9" w:rsidRPr="009652D5" w:rsidTr="00D23CD0">
        <w:trPr>
          <w:trHeight w:val="300"/>
        </w:trPr>
        <w:tc>
          <w:tcPr>
            <w:tcW w:w="1537" w:type="pct"/>
            <w:tcBorders>
              <w:top w:val="nil"/>
              <w:left w:val="nil"/>
              <w:bottom w:val="nil"/>
              <w:right w:val="nil"/>
            </w:tcBorders>
            <w:shd w:val="clear" w:color="auto" w:fill="auto"/>
            <w:noWrap/>
            <w:vAlign w:val="bottom"/>
            <w:hideMark/>
          </w:tcPr>
          <w:p w:rsidR="00E637B9" w:rsidRPr="009652D5" w:rsidRDefault="00E637B9" w:rsidP="00E637B9">
            <w:pPr>
              <w:rPr>
                <w:rFonts w:cs="Arial"/>
                <w:b/>
                <w:bCs/>
                <w:color w:val="000000"/>
                <w:sz w:val="20"/>
                <w:lang w:val="ru-RU"/>
              </w:rPr>
            </w:pPr>
            <w:r w:rsidRPr="009652D5">
              <w:rPr>
                <w:rFonts w:cs="Arial"/>
                <w:b/>
                <w:bCs/>
                <w:color w:val="000000"/>
                <w:sz w:val="20"/>
                <w:lang w:val="ru-RU"/>
              </w:rPr>
              <w:t>Итого кредиты и авансы клиентам, чистые</w:t>
            </w:r>
          </w:p>
        </w:tc>
        <w:tc>
          <w:tcPr>
            <w:tcW w:w="963" w:type="pct"/>
            <w:tcBorders>
              <w:top w:val="nil"/>
              <w:left w:val="nil"/>
              <w:bottom w:val="doub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1 224 746</w:t>
            </w:r>
          </w:p>
        </w:tc>
        <w:tc>
          <w:tcPr>
            <w:tcW w:w="889" w:type="pct"/>
            <w:tcBorders>
              <w:top w:val="nil"/>
              <w:left w:val="nil"/>
              <w:bottom w:val="doub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8 662 657</w:t>
            </w:r>
          </w:p>
        </w:tc>
        <w:tc>
          <w:tcPr>
            <w:tcW w:w="741" w:type="pct"/>
            <w:tcBorders>
              <w:top w:val="nil"/>
              <w:left w:val="nil"/>
              <w:bottom w:val="doub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1 087 850</w:t>
            </w:r>
          </w:p>
        </w:tc>
        <w:tc>
          <w:tcPr>
            <w:tcW w:w="870" w:type="pct"/>
            <w:tcBorders>
              <w:top w:val="nil"/>
              <w:left w:val="nil"/>
              <w:bottom w:val="double" w:sz="4" w:space="0" w:color="auto"/>
              <w:right w:val="nil"/>
            </w:tcBorders>
            <w:shd w:val="clear" w:color="auto" w:fill="auto"/>
            <w:noWrap/>
            <w:vAlign w:val="bottom"/>
            <w:hideMark/>
          </w:tcPr>
          <w:p w:rsidR="00E637B9" w:rsidRPr="009652D5" w:rsidRDefault="00E637B9" w:rsidP="00E637B9">
            <w:pPr>
              <w:jc w:val="center"/>
              <w:rPr>
                <w:rFonts w:cs="Arial"/>
                <w:b/>
                <w:bCs/>
                <w:color w:val="000000"/>
                <w:sz w:val="20"/>
                <w:lang w:val="ru-RU"/>
              </w:rPr>
            </w:pPr>
            <w:r w:rsidRPr="009652D5">
              <w:rPr>
                <w:rFonts w:cs="Arial"/>
                <w:b/>
                <w:bCs/>
                <w:color w:val="000000"/>
                <w:sz w:val="20"/>
                <w:lang w:val="ru-RU"/>
              </w:rPr>
              <w:t>10 975 253</w:t>
            </w:r>
          </w:p>
        </w:tc>
      </w:tr>
    </w:tbl>
    <w:p w:rsidR="00CB2696" w:rsidRPr="009652D5" w:rsidRDefault="00CB2696" w:rsidP="00CB2696">
      <w:pPr>
        <w:pStyle w:val="210"/>
        <w:shd w:val="clear" w:color="auto" w:fill="auto"/>
        <w:ind w:firstLine="0"/>
        <w:rPr>
          <w:b w:val="0"/>
          <w:sz w:val="20"/>
          <w:szCs w:val="20"/>
        </w:rPr>
      </w:pPr>
    </w:p>
    <w:p w:rsidR="00AF2BD8" w:rsidRPr="00DB0AC3" w:rsidRDefault="00AF2BD8" w:rsidP="00AF2BD8">
      <w:pPr>
        <w:rPr>
          <w:rFonts w:cs="Arial"/>
          <w:lang w:val="ru-RU"/>
        </w:rPr>
      </w:pPr>
    </w:p>
    <w:p w:rsidR="00786D87" w:rsidRPr="00DB0AC3" w:rsidRDefault="00786D87" w:rsidP="00AF2BD8">
      <w:pPr>
        <w:pStyle w:val="210"/>
        <w:shd w:val="clear" w:color="auto" w:fill="auto"/>
        <w:ind w:firstLine="0"/>
        <w:rPr>
          <w:b w:val="0"/>
          <w:sz w:val="20"/>
          <w:szCs w:val="24"/>
        </w:rPr>
      </w:pPr>
    </w:p>
    <w:p w:rsidR="00AF2BD8" w:rsidRPr="00DB0AC3" w:rsidRDefault="00AF2BD8" w:rsidP="00AF2BD8">
      <w:pPr>
        <w:pStyle w:val="210"/>
        <w:shd w:val="clear" w:color="auto" w:fill="auto"/>
        <w:ind w:firstLine="0"/>
        <w:rPr>
          <w:b w:val="0"/>
          <w:sz w:val="20"/>
          <w:szCs w:val="24"/>
        </w:rPr>
      </w:pPr>
      <w:r w:rsidRPr="00DB0AC3">
        <w:rPr>
          <w:b w:val="0"/>
          <w:sz w:val="20"/>
          <w:szCs w:val="24"/>
        </w:rPr>
        <w:t>Кредитные портфели юридических, физических лиц и частных предпринимателей на 31 декабря 2013 года представлены следующим образом:</w:t>
      </w:r>
    </w:p>
    <w:tbl>
      <w:tblPr>
        <w:tblW w:w="5000" w:type="pct"/>
        <w:tblLayout w:type="fixed"/>
        <w:tblLook w:val="04A0"/>
      </w:tblPr>
      <w:tblGrid>
        <w:gridCol w:w="2877"/>
        <w:gridCol w:w="2035"/>
        <w:gridCol w:w="1892"/>
        <w:gridCol w:w="1310"/>
        <w:gridCol w:w="1709"/>
      </w:tblGrid>
      <w:tr w:rsidR="00AF2BD8" w:rsidRPr="00DB0AC3" w:rsidTr="00B54C87">
        <w:trPr>
          <w:trHeight w:val="12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p>
        </w:tc>
        <w:tc>
          <w:tcPr>
            <w:tcW w:w="1036" w:type="pct"/>
            <w:tcBorders>
              <w:top w:val="nil"/>
              <w:left w:val="nil"/>
              <w:bottom w:val="single" w:sz="4" w:space="0" w:color="auto"/>
              <w:right w:val="nil"/>
            </w:tcBorders>
            <w:shd w:val="clear" w:color="auto" w:fill="auto"/>
            <w:vAlign w:val="bottom"/>
            <w:hideMark/>
          </w:tcPr>
          <w:p w:rsidR="00AF2BD8" w:rsidRPr="009652D5" w:rsidRDefault="00AF2BD8" w:rsidP="00B54C87">
            <w:pPr>
              <w:jc w:val="center"/>
              <w:rPr>
                <w:rFonts w:cs="Arial"/>
                <w:b/>
                <w:bCs/>
                <w:color w:val="000000"/>
                <w:sz w:val="20"/>
                <w:lang w:val="ru-RU"/>
              </w:rPr>
            </w:pPr>
            <w:r w:rsidRPr="009652D5">
              <w:rPr>
                <w:rFonts w:cs="Arial"/>
                <w:b/>
                <w:bCs/>
                <w:color w:val="000000"/>
                <w:sz w:val="20"/>
                <w:lang w:val="ru-RU"/>
              </w:rPr>
              <w:t>Крупный бизнес</w:t>
            </w:r>
          </w:p>
        </w:tc>
        <w:tc>
          <w:tcPr>
            <w:tcW w:w="963" w:type="pct"/>
            <w:tcBorders>
              <w:top w:val="nil"/>
              <w:left w:val="nil"/>
              <w:bottom w:val="single" w:sz="4" w:space="0" w:color="auto"/>
              <w:right w:val="nil"/>
            </w:tcBorders>
            <w:shd w:val="clear" w:color="auto" w:fill="auto"/>
            <w:vAlign w:val="bottom"/>
            <w:hideMark/>
          </w:tcPr>
          <w:p w:rsidR="00AF2BD8" w:rsidRPr="009652D5" w:rsidRDefault="00AF2BD8" w:rsidP="00B54C87">
            <w:pPr>
              <w:jc w:val="center"/>
              <w:rPr>
                <w:rFonts w:cs="Arial"/>
                <w:b/>
                <w:bCs/>
                <w:color w:val="000000"/>
                <w:sz w:val="20"/>
                <w:lang w:val="ru-RU"/>
              </w:rPr>
            </w:pPr>
            <w:r w:rsidRPr="009652D5">
              <w:rPr>
                <w:rFonts w:cs="Arial"/>
                <w:b/>
                <w:bCs/>
                <w:color w:val="000000"/>
                <w:sz w:val="20"/>
                <w:lang w:val="ru-RU"/>
              </w:rPr>
              <w:t>Средний бизнес и частные предприни-матели</w:t>
            </w:r>
          </w:p>
        </w:tc>
        <w:tc>
          <w:tcPr>
            <w:tcW w:w="667" w:type="pct"/>
            <w:tcBorders>
              <w:top w:val="nil"/>
              <w:left w:val="nil"/>
              <w:bottom w:val="single" w:sz="4" w:space="0" w:color="auto"/>
              <w:right w:val="nil"/>
            </w:tcBorders>
            <w:shd w:val="clear" w:color="auto" w:fill="auto"/>
            <w:vAlign w:val="bottom"/>
            <w:hideMark/>
          </w:tcPr>
          <w:p w:rsidR="00AF2BD8" w:rsidRPr="009652D5" w:rsidRDefault="00AF2BD8" w:rsidP="00B54C87">
            <w:pPr>
              <w:jc w:val="center"/>
              <w:rPr>
                <w:rFonts w:cs="Arial"/>
                <w:b/>
                <w:bCs/>
                <w:color w:val="000000"/>
                <w:sz w:val="20"/>
                <w:lang w:val="ru-RU"/>
              </w:rPr>
            </w:pPr>
            <w:r w:rsidRPr="009652D5">
              <w:rPr>
                <w:rFonts w:cs="Arial"/>
                <w:b/>
                <w:bCs/>
                <w:color w:val="000000"/>
                <w:sz w:val="20"/>
                <w:lang w:val="ru-RU"/>
              </w:rPr>
              <w:t>Кредиты физическим лицам</w:t>
            </w:r>
          </w:p>
        </w:tc>
        <w:tc>
          <w:tcPr>
            <w:tcW w:w="870" w:type="pct"/>
            <w:tcBorders>
              <w:top w:val="nil"/>
              <w:left w:val="nil"/>
              <w:bottom w:val="single" w:sz="4" w:space="0" w:color="auto"/>
              <w:right w:val="nil"/>
            </w:tcBorders>
            <w:shd w:val="clear" w:color="auto" w:fill="auto"/>
            <w:vAlign w:val="bottom"/>
            <w:hideMark/>
          </w:tcPr>
          <w:p w:rsidR="00AF2BD8" w:rsidRPr="009652D5" w:rsidRDefault="00AF2BD8" w:rsidP="00B54C87">
            <w:pPr>
              <w:jc w:val="center"/>
              <w:rPr>
                <w:rFonts w:cs="Arial"/>
                <w:b/>
                <w:bCs/>
                <w:color w:val="000000"/>
                <w:sz w:val="20"/>
                <w:lang w:val="ru-RU"/>
              </w:rPr>
            </w:pPr>
            <w:r w:rsidRPr="009652D5">
              <w:rPr>
                <w:rFonts w:cs="Arial"/>
                <w:b/>
                <w:bCs/>
                <w:color w:val="000000"/>
                <w:sz w:val="20"/>
                <w:lang w:val="ru-RU"/>
              </w:rPr>
              <w:t>Итого</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r w:rsidRPr="009652D5">
              <w:rPr>
                <w:rFonts w:cs="Arial"/>
                <w:color w:val="000000"/>
                <w:sz w:val="20"/>
                <w:lang w:val="ru-RU"/>
              </w:rPr>
              <w:t xml:space="preserve">Текущие и индивидуально необесцененные кредиты </w:t>
            </w:r>
          </w:p>
        </w:tc>
        <w:tc>
          <w:tcPr>
            <w:tcW w:w="1036"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8 365 078</w:t>
            </w:r>
          </w:p>
        </w:tc>
        <w:tc>
          <w:tcPr>
            <w:tcW w:w="963"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27 747 179</w:t>
            </w:r>
          </w:p>
        </w:tc>
        <w:tc>
          <w:tcPr>
            <w:tcW w:w="667"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1 102 712</w:t>
            </w:r>
          </w:p>
        </w:tc>
        <w:tc>
          <w:tcPr>
            <w:tcW w:w="870"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37 214 969</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r w:rsidRPr="009652D5">
              <w:rPr>
                <w:rFonts w:cs="Arial"/>
                <w:color w:val="000000"/>
                <w:sz w:val="20"/>
                <w:lang w:val="ru-RU"/>
              </w:rPr>
              <w:t>Резерв под обесценение</w:t>
            </w:r>
          </w:p>
        </w:tc>
        <w:tc>
          <w:tcPr>
            <w:tcW w:w="1036"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(130 344)</w:t>
            </w:r>
          </w:p>
        </w:tc>
        <w:tc>
          <w:tcPr>
            <w:tcW w:w="963"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(475 871)</w:t>
            </w:r>
          </w:p>
        </w:tc>
        <w:tc>
          <w:tcPr>
            <w:tcW w:w="667"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(5 597)</w:t>
            </w:r>
          </w:p>
        </w:tc>
        <w:tc>
          <w:tcPr>
            <w:tcW w:w="870"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(611 812)</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r w:rsidRPr="009652D5">
              <w:rPr>
                <w:rFonts w:cs="Arial"/>
                <w:b/>
                <w:bCs/>
                <w:color w:val="000000"/>
                <w:sz w:val="20"/>
                <w:lang w:val="ru-RU"/>
              </w:rPr>
              <w:t>Текущие и необесцененные кредиты, чистые</w:t>
            </w:r>
          </w:p>
        </w:tc>
        <w:tc>
          <w:tcPr>
            <w:tcW w:w="1036"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8 234 734</w:t>
            </w:r>
          </w:p>
        </w:tc>
        <w:tc>
          <w:tcPr>
            <w:tcW w:w="963"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27 271 308</w:t>
            </w:r>
          </w:p>
        </w:tc>
        <w:tc>
          <w:tcPr>
            <w:tcW w:w="667"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1 097 115</w:t>
            </w:r>
          </w:p>
        </w:tc>
        <w:tc>
          <w:tcPr>
            <w:tcW w:w="870"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36 603 157</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1036"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963"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667"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870"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r w:rsidRPr="009652D5">
              <w:rPr>
                <w:rFonts w:cs="Arial"/>
                <w:color w:val="000000"/>
                <w:sz w:val="20"/>
                <w:lang w:val="ru-RU"/>
              </w:rPr>
              <w:t>Просроченные, но необесцененные кредиты</w:t>
            </w:r>
          </w:p>
        </w:tc>
        <w:tc>
          <w:tcPr>
            <w:tcW w:w="1036"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w:t>
            </w:r>
          </w:p>
        </w:tc>
        <w:tc>
          <w:tcPr>
            <w:tcW w:w="963"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536 731</w:t>
            </w:r>
          </w:p>
        </w:tc>
        <w:tc>
          <w:tcPr>
            <w:tcW w:w="667"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47 087</w:t>
            </w:r>
          </w:p>
        </w:tc>
        <w:tc>
          <w:tcPr>
            <w:tcW w:w="870"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583 818</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r w:rsidRPr="009652D5">
              <w:rPr>
                <w:rFonts w:cs="Arial"/>
                <w:color w:val="000000"/>
                <w:sz w:val="20"/>
                <w:lang w:val="ru-RU"/>
              </w:rPr>
              <w:t>Резерв под обесценение</w:t>
            </w:r>
          </w:p>
        </w:tc>
        <w:tc>
          <w:tcPr>
            <w:tcW w:w="1036"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w:t>
            </w:r>
          </w:p>
        </w:tc>
        <w:tc>
          <w:tcPr>
            <w:tcW w:w="963"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(95 742)</w:t>
            </w:r>
          </w:p>
        </w:tc>
        <w:tc>
          <w:tcPr>
            <w:tcW w:w="667"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(1 144)</w:t>
            </w:r>
          </w:p>
        </w:tc>
        <w:tc>
          <w:tcPr>
            <w:tcW w:w="870"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(96 886)</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r w:rsidRPr="009652D5">
              <w:rPr>
                <w:rFonts w:cs="Arial"/>
                <w:b/>
                <w:bCs/>
                <w:color w:val="000000"/>
                <w:sz w:val="20"/>
                <w:lang w:val="ru-RU"/>
              </w:rPr>
              <w:t>Просроченные, но необесцененные кредиты, чистые</w:t>
            </w:r>
          </w:p>
        </w:tc>
        <w:tc>
          <w:tcPr>
            <w:tcW w:w="1036"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w:t>
            </w:r>
          </w:p>
        </w:tc>
        <w:tc>
          <w:tcPr>
            <w:tcW w:w="963"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440 989</w:t>
            </w:r>
          </w:p>
        </w:tc>
        <w:tc>
          <w:tcPr>
            <w:tcW w:w="667"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45 943</w:t>
            </w:r>
          </w:p>
        </w:tc>
        <w:tc>
          <w:tcPr>
            <w:tcW w:w="870"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486 932</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1036"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p>
        </w:tc>
        <w:tc>
          <w:tcPr>
            <w:tcW w:w="963"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667"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c>
          <w:tcPr>
            <w:tcW w:w="870"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r w:rsidRPr="009652D5">
              <w:rPr>
                <w:rFonts w:cs="Arial"/>
                <w:color w:val="000000"/>
                <w:sz w:val="20"/>
                <w:lang w:val="ru-RU"/>
              </w:rPr>
              <w:t xml:space="preserve">Просроченные и индивидуально обесцененные кредиты </w:t>
            </w:r>
          </w:p>
        </w:tc>
        <w:tc>
          <w:tcPr>
            <w:tcW w:w="1036"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w:t>
            </w:r>
          </w:p>
        </w:tc>
        <w:tc>
          <w:tcPr>
            <w:tcW w:w="963"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909 775</w:t>
            </w:r>
          </w:p>
        </w:tc>
        <w:tc>
          <w:tcPr>
            <w:tcW w:w="667"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213 448</w:t>
            </w:r>
          </w:p>
        </w:tc>
        <w:tc>
          <w:tcPr>
            <w:tcW w:w="870" w:type="pct"/>
            <w:tcBorders>
              <w:top w:val="nil"/>
              <w:left w:val="nil"/>
              <w:bottom w:val="nil"/>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1 123 223</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color w:val="000000"/>
                <w:sz w:val="20"/>
                <w:lang w:val="ru-RU"/>
              </w:rPr>
            </w:pPr>
            <w:r w:rsidRPr="009652D5">
              <w:rPr>
                <w:rFonts w:cs="Arial"/>
                <w:color w:val="000000"/>
                <w:sz w:val="20"/>
                <w:lang w:val="ru-RU"/>
              </w:rPr>
              <w:t>Резерв под обесценение</w:t>
            </w:r>
          </w:p>
        </w:tc>
        <w:tc>
          <w:tcPr>
            <w:tcW w:w="1036"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w:t>
            </w:r>
          </w:p>
        </w:tc>
        <w:tc>
          <w:tcPr>
            <w:tcW w:w="963"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(909 775)</w:t>
            </w:r>
          </w:p>
        </w:tc>
        <w:tc>
          <w:tcPr>
            <w:tcW w:w="667"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color w:val="000000"/>
                <w:sz w:val="20"/>
                <w:lang w:val="ru-RU"/>
              </w:rPr>
            </w:pPr>
            <w:r w:rsidRPr="009652D5">
              <w:rPr>
                <w:rFonts w:cs="Arial"/>
                <w:color w:val="000000"/>
                <w:sz w:val="20"/>
                <w:lang w:val="ru-RU"/>
              </w:rPr>
              <w:t>(213 448)</w:t>
            </w:r>
          </w:p>
        </w:tc>
        <w:tc>
          <w:tcPr>
            <w:tcW w:w="870"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(1 123 223)</w:t>
            </w:r>
          </w:p>
        </w:tc>
      </w:tr>
      <w:tr w:rsidR="00AF2BD8" w:rsidRPr="00DB0AC3" w:rsidTr="00B54C87">
        <w:trPr>
          <w:trHeight w:val="300"/>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r w:rsidRPr="009652D5">
              <w:rPr>
                <w:rFonts w:cs="Arial"/>
                <w:b/>
                <w:bCs/>
                <w:color w:val="000000"/>
                <w:sz w:val="20"/>
                <w:lang w:val="ru-RU"/>
              </w:rPr>
              <w:t>Просроченные и индивидуально обесцененные кредиты, чистые</w:t>
            </w:r>
          </w:p>
        </w:tc>
        <w:tc>
          <w:tcPr>
            <w:tcW w:w="1036"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w:t>
            </w:r>
          </w:p>
        </w:tc>
        <w:tc>
          <w:tcPr>
            <w:tcW w:w="963"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w:t>
            </w:r>
          </w:p>
        </w:tc>
        <w:tc>
          <w:tcPr>
            <w:tcW w:w="667"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w:t>
            </w:r>
          </w:p>
        </w:tc>
        <w:tc>
          <w:tcPr>
            <w:tcW w:w="870" w:type="pct"/>
            <w:tcBorders>
              <w:top w:val="nil"/>
              <w:left w:val="nil"/>
              <w:bottom w:val="single" w:sz="4"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w:t>
            </w:r>
          </w:p>
        </w:tc>
      </w:tr>
      <w:tr w:rsidR="00AF2BD8" w:rsidRPr="00DB0AC3" w:rsidTr="00B54C87">
        <w:trPr>
          <w:trHeight w:val="315"/>
        </w:trPr>
        <w:tc>
          <w:tcPr>
            <w:tcW w:w="1464" w:type="pct"/>
            <w:tcBorders>
              <w:top w:val="nil"/>
              <w:left w:val="nil"/>
              <w:bottom w:val="nil"/>
              <w:right w:val="nil"/>
            </w:tcBorders>
            <w:shd w:val="clear" w:color="auto" w:fill="auto"/>
            <w:noWrap/>
            <w:vAlign w:val="bottom"/>
            <w:hideMark/>
          </w:tcPr>
          <w:p w:rsidR="00AF2BD8" w:rsidRPr="009652D5" w:rsidRDefault="00AF2BD8" w:rsidP="00B54C87">
            <w:pPr>
              <w:rPr>
                <w:rFonts w:cs="Arial"/>
                <w:b/>
                <w:bCs/>
                <w:color w:val="000000"/>
                <w:sz w:val="20"/>
                <w:lang w:val="ru-RU"/>
              </w:rPr>
            </w:pPr>
            <w:r w:rsidRPr="009652D5">
              <w:rPr>
                <w:rFonts w:cs="Arial"/>
                <w:b/>
                <w:bCs/>
                <w:color w:val="000000"/>
                <w:sz w:val="20"/>
                <w:lang w:val="ru-RU"/>
              </w:rPr>
              <w:t>Итого кредиты и авансы клиентам, чистые</w:t>
            </w:r>
          </w:p>
        </w:tc>
        <w:tc>
          <w:tcPr>
            <w:tcW w:w="1036" w:type="pct"/>
            <w:tcBorders>
              <w:top w:val="nil"/>
              <w:left w:val="nil"/>
              <w:bottom w:val="double" w:sz="6"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8 234 734</w:t>
            </w:r>
          </w:p>
        </w:tc>
        <w:tc>
          <w:tcPr>
            <w:tcW w:w="963" w:type="pct"/>
            <w:tcBorders>
              <w:top w:val="nil"/>
              <w:left w:val="nil"/>
              <w:bottom w:val="double" w:sz="6"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27 712 297</w:t>
            </w:r>
          </w:p>
        </w:tc>
        <w:tc>
          <w:tcPr>
            <w:tcW w:w="667" w:type="pct"/>
            <w:tcBorders>
              <w:top w:val="nil"/>
              <w:left w:val="nil"/>
              <w:bottom w:val="double" w:sz="6"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1 143 058</w:t>
            </w:r>
          </w:p>
        </w:tc>
        <w:tc>
          <w:tcPr>
            <w:tcW w:w="870" w:type="pct"/>
            <w:tcBorders>
              <w:top w:val="nil"/>
              <w:left w:val="nil"/>
              <w:bottom w:val="double" w:sz="6" w:space="0" w:color="auto"/>
              <w:right w:val="nil"/>
            </w:tcBorders>
            <w:shd w:val="clear" w:color="auto" w:fill="auto"/>
            <w:noWrap/>
            <w:vAlign w:val="bottom"/>
            <w:hideMark/>
          </w:tcPr>
          <w:p w:rsidR="00AF2BD8" w:rsidRPr="009652D5" w:rsidRDefault="00AF2BD8" w:rsidP="00B54C87">
            <w:pPr>
              <w:jc w:val="right"/>
              <w:rPr>
                <w:rFonts w:cs="Arial"/>
                <w:b/>
                <w:bCs/>
                <w:color w:val="000000"/>
                <w:sz w:val="20"/>
                <w:lang w:val="ru-RU"/>
              </w:rPr>
            </w:pPr>
            <w:r w:rsidRPr="009652D5">
              <w:rPr>
                <w:rFonts w:cs="Arial"/>
                <w:b/>
                <w:bCs/>
                <w:color w:val="000000"/>
                <w:sz w:val="20"/>
                <w:lang w:val="ru-RU"/>
              </w:rPr>
              <w:t>37 090 089</w:t>
            </w:r>
          </w:p>
        </w:tc>
      </w:tr>
    </w:tbl>
    <w:p w:rsidR="00AF2BD8" w:rsidRPr="00DB0AC3" w:rsidRDefault="00AF2BD8" w:rsidP="00CB2696">
      <w:pPr>
        <w:rPr>
          <w:rFonts w:cs="Arial"/>
          <w:color w:val="000000"/>
          <w:sz w:val="22"/>
          <w:szCs w:val="22"/>
          <w:lang w:val="ru-RU"/>
        </w:rPr>
      </w:pPr>
    </w:p>
    <w:p w:rsidR="00E637B9" w:rsidRPr="009652D5" w:rsidRDefault="005C776B" w:rsidP="00CB2696">
      <w:pPr>
        <w:rPr>
          <w:rFonts w:cs="Arial"/>
          <w:color w:val="000000"/>
          <w:sz w:val="20"/>
          <w:lang w:val="ru-RU"/>
        </w:rPr>
      </w:pPr>
      <w:r w:rsidRPr="009652D5">
        <w:rPr>
          <w:rFonts w:cs="Arial"/>
          <w:color w:val="000000"/>
          <w:sz w:val="20"/>
          <w:lang w:val="ru-RU"/>
        </w:rPr>
        <w:t>Анализ возраста кредитов, просроченных, но не обесцененных представлен ниже:</w:t>
      </w:r>
    </w:p>
    <w:p w:rsidR="00CD5A5A" w:rsidRPr="009652D5" w:rsidRDefault="00CD5A5A" w:rsidP="00CB2696">
      <w:pPr>
        <w:rPr>
          <w:rFonts w:cs="Arial"/>
          <w:color w:val="000000"/>
          <w:sz w:val="20"/>
          <w:lang w:val="ru-RU"/>
        </w:rPr>
      </w:pPr>
    </w:p>
    <w:tbl>
      <w:tblPr>
        <w:tblW w:w="5000" w:type="pct"/>
        <w:tblLook w:val="04A0"/>
      </w:tblPr>
      <w:tblGrid>
        <w:gridCol w:w="4780"/>
        <w:gridCol w:w="1149"/>
        <w:gridCol w:w="1226"/>
        <w:gridCol w:w="1450"/>
        <w:gridCol w:w="1218"/>
      </w:tblGrid>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p>
        </w:tc>
        <w:tc>
          <w:tcPr>
            <w:tcW w:w="1229" w:type="pct"/>
            <w:gridSpan w:val="2"/>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31 декабря 2014</w:t>
            </w:r>
          </w:p>
        </w:tc>
        <w:tc>
          <w:tcPr>
            <w:tcW w:w="1328" w:type="pct"/>
            <w:gridSpan w:val="2"/>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31 декабря 2013</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p>
        </w:tc>
        <w:tc>
          <w:tcPr>
            <w:tcW w:w="595" w:type="pct"/>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Юр. лица</w:t>
            </w:r>
          </w:p>
        </w:tc>
        <w:tc>
          <w:tcPr>
            <w:tcW w:w="634" w:type="pct"/>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Физ. Лица</w:t>
            </w:r>
          </w:p>
        </w:tc>
        <w:tc>
          <w:tcPr>
            <w:tcW w:w="748" w:type="pct"/>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Юр. лица</w:t>
            </w:r>
          </w:p>
        </w:tc>
        <w:tc>
          <w:tcPr>
            <w:tcW w:w="579" w:type="pct"/>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Физ. Лица</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Менее 30 дней</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2999</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257</w:t>
            </w:r>
          </w:p>
        </w:tc>
        <w:tc>
          <w:tcPr>
            <w:tcW w:w="748"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579"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21 258</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31 - 90 дней просрочки</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748"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16 715</w:t>
            </w:r>
          </w:p>
        </w:tc>
        <w:tc>
          <w:tcPr>
            <w:tcW w:w="579"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4 299</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91 - 180 дней просрочки</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748"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579"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227</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181 - 270 дней</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8365</w:t>
            </w:r>
          </w:p>
        </w:tc>
        <w:tc>
          <w:tcPr>
            <w:tcW w:w="748"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579"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21 303</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271 - 365 дней</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748"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520 016</w:t>
            </w:r>
          </w:p>
        </w:tc>
        <w:tc>
          <w:tcPr>
            <w:tcW w:w="579"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1 год - 2 лет</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748"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579"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r>
      <w:tr w:rsidR="004271C9" w:rsidRPr="009652D5" w:rsidTr="004271C9">
        <w:trPr>
          <w:trHeight w:val="300"/>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r w:rsidRPr="009652D5">
              <w:rPr>
                <w:rFonts w:cs="Arial"/>
                <w:color w:val="000000"/>
                <w:sz w:val="20"/>
                <w:lang w:val="ru-RU"/>
              </w:rPr>
              <w:t>свыше 2 лет</w:t>
            </w:r>
          </w:p>
        </w:tc>
        <w:tc>
          <w:tcPr>
            <w:tcW w:w="595"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634" w:type="pct"/>
            <w:tcBorders>
              <w:top w:val="nil"/>
              <w:left w:val="nil"/>
              <w:bottom w:val="nil"/>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250</w:t>
            </w:r>
          </w:p>
        </w:tc>
        <w:tc>
          <w:tcPr>
            <w:tcW w:w="748" w:type="pct"/>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c>
          <w:tcPr>
            <w:tcW w:w="579" w:type="pct"/>
            <w:tcBorders>
              <w:top w:val="nil"/>
              <w:left w:val="nil"/>
              <w:bottom w:val="single" w:sz="4" w:space="0" w:color="auto"/>
              <w:right w:val="nil"/>
            </w:tcBorders>
            <w:shd w:val="clear" w:color="auto" w:fill="auto"/>
            <w:noWrap/>
            <w:vAlign w:val="bottom"/>
            <w:hideMark/>
          </w:tcPr>
          <w:p w:rsidR="004271C9" w:rsidRPr="009652D5" w:rsidRDefault="004271C9" w:rsidP="004271C9">
            <w:pPr>
              <w:jc w:val="center"/>
              <w:rPr>
                <w:rFonts w:cs="Arial"/>
                <w:color w:val="000000"/>
                <w:sz w:val="20"/>
                <w:lang w:val="ru-RU"/>
              </w:rPr>
            </w:pPr>
            <w:r w:rsidRPr="009652D5">
              <w:rPr>
                <w:rFonts w:cs="Arial"/>
                <w:color w:val="000000"/>
                <w:sz w:val="20"/>
                <w:lang w:val="ru-RU"/>
              </w:rPr>
              <w:t>-</w:t>
            </w:r>
          </w:p>
        </w:tc>
      </w:tr>
      <w:tr w:rsidR="004271C9" w:rsidRPr="009652D5" w:rsidTr="004271C9">
        <w:trPr>
          <w:trHeight w:val="315"/>
        </w:trPr>
        <w:tc>
          <w:tcPr>
            <w:tcW w:w="2444" w:type="pct"/>
            <w:tcBorders>
              <w:top w:val="nil"/>
              <w:left w:val="nil"/>
              <w:bottom w:val="nil"/>
              <w:right w:val="nil"/>
            </w:tcBorders>
            <w:shd w:val="clear" w:color="auto" w:fill="auto"/>
            <w:noWrap/>
            <w:vAlign w:val="bottom"/>
            <w:hideMark/>
          </w:tcPr>
          <w:p w:rsidR="004271C9" w:rsidRPr="009652D5" w:rsidRDefault="004271C9" w:rsidP="004271C9">
            <w:pPr>
              <w:rPr>
                <w:rFonts w:cs="Arial"/>
                <w:color w:val="000000"/>
                <w:sz w:val="20"/>
                <w:lang w:val="ru-RU"/>
              </w:rPr>
            </w:pPr>
          </w:p>
        </w:tc>
        <w:tc>
          <w:tcPr>
            <w:tcW w:w="595" w:type="pct"/>
            <w:tcBorders>
              <w:top w:val="single" w:sz="4" w:space="0" w:color="auto"/>
              <w:left w:val="nil"/>
              <w:bottom w:val="double" w:sz="6"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2 999</w:t>
            </w:r>
          </w:p>
        </w:tc>
        <w:tc>
          <w:tcPr>
            <w:tcW w:w="634" w:type="pct"/>
            <w:tcBorders>
              <w:top w:val="single" w:sz="4" w:space="0" w:color="auto"/>
              <w:left w:val="nil"/>
              <w:bottom w:val="double" w:sz="6"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8 872</w:t>
            </w:r>
          </w:p>
        </w:tc>
        <w:tc>
          <w:tcPr>
            <w:tcW w:w="748" w:type="pct"/>
            <w:tcBorders>
              <w:top w:val="nil"/>
              <w:left w:val="nil"/>
              <w:bottom w:val="double" w:sz="6"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536 731</w:t>
            </w:r>
          </w:p>
        </w:tc>
        <w:tc>
          <w:tcPr>
            <w:tcW w:w="579" w:type="pct"/>
            <w:tcBorders>
              <w:top w:val="nil"/>
              <w:left w:val="nil"/>
              <w:bottom w:val="double" w:sz="6" w:space="0" w:color="auto"/>
              <w:right w:val="nil"/>
            </w:tcBorders>
            <w:shd w:val="clear" w:color="auto" w:fill="auto"/>
            <w:noWrap/>
            <w:vAlign w:val="bottom"/>
            <w:hideMark/>
          </w:tcPr>
          <w:p w:rsidR="004271C9" w:rsidRPr="009652D5" w:rsidRDefault="004271C9" w:rsidP="004271C9">
            <w:pPr>
              <w:jc w:val="center"/>
              <w:rPr>
                <w:rFonts w:cs="Arial"/>
                <w:b/>
                <w:bCs/>
                <w:color w:val="000000"/>
                <w:sz w:val="20"/>
                <w:lang w:val="ru-RU"/>
              </w:rPr>
            </w:pPr>
            <w:r w:rsidRPr="009652D5">
              <w:rPr>
                <w:rFonts w:cs="Arial"/>
                <w:b/>
                <w:bCs/>
                <w:color w:val="000000"/>
                <w:sz w:val="20"/>
                <w:lang w:val="ru-RU"/>
              </w:rPr>
              <w:t>47 087</w:t>
            </w:r>
          </w:p>
        </w:tc>
      </w:tr>
    </w:tbl>
    <w:p w:rsidR="005C776B" w:rsidRPr="009652D5" w:rsidRDefault="005C776B" w:rsidP="00CB2696">
      <w:pPr>
        <w:rPr>
          <w:rFonts w:cs="Arial"/>
          <w:color w:val="000000"/>
          <w:sz w:val="20"/>
          <w:lang w:val="ru-RU"/>
        </w:rPr>
      </w:pPr>
    </w:p>
    <w:p w:rsidR="005C776B" w:rsidRPr="009652D5" w:rsidRDefault="005C776B" w:rsidP="00CB2696">
      <w:pPr>
        <w:rPr>
          <w:rFonts w:cs="Arial"/>
          <w:sz w:val="20"/>
          <w:lang w:val="ru-RU"/>
        </w:rPr>
      </w:pPr>
    </w:p>
    <w:p w:rsidR="00E637B9" w:rsidRPr="009652D5" w:rsidRDefault="00E637B9" w:rsidP="00CB2696">
      <w:pPr>
        <w:rPr>
          <w:rFonts w:cs="Arial"/>
          <w:sz w:val="20"/>
          <w:lang w:val="ru-RU"/>
        </w:rPr>
      </w:pPr>
    </w:p>
    <w:p w:rsidR="00E637B9" w:rsidRDefault="00E637B9" w:rsidP="00CB2696">
      <w:pPr>
        <w:rPr>
          <w:rFonts w:cs="Arial"/>
          <w:sz w:val="20"/>
          <w:lang w:val="ru-RU"/>
        </w:rPr>
      </w:pPr>
    </w:p>
    <w:p w:rsidR="00B84D52" w:rsidRDefault="00B84D52" w:rsidP="00CB2696">
      <w:pPr>
        <w:rPr>
          <w:rFonts w:cs="Arial"/>
          <w:sz w:val="20"/>
          <w:lang w:val="ru-RU"/>
        </w:rPr>
      </w:pPr>
    </w:p>
    <w:p w:rsidR="00B84D52" w:rsidRPr="009652D5" w:rsidRDefault="00B84D52" w:rsidP="00CB2696">
      <w:pPr>
        <w:rPr>
          <w:rFonts w:cs="Arial"/>
          <w:sz w:val="20"/>
          <w:lang w:val="ru-RU"/>
        </w:rPr>
      </w:pPr>
    </w:p>
    <w:p w:rsidR="004271C9" w:rsidRPr="009652D5" w:rsidRDefault="004271C9" w:rsidP="004271C9">
      <w:pPr>
        <w:pStyle w:val="710"/>
        <w:shd w:val="clear" w:color="auto" w:fill="auto"/>
        <w:spacing w:line="190" w:lineRule="exact"/>
        <w:rPr>
          <w:sz w:val="20"/>
          <w:szCs w:val="20"/>
        </w:rPr>
      </w:pPr>
      <w:r w:rsidRPr="009652D5">
        <w:rPr>
          <w:sz w:val="20"/>
          <w:szCs w:val="20"/>
        </w:rPr>
        <w:t>Кредиты и ссуды, пересмотренные и реструктурированные</w:t>
      </w:r>
    </w:p>
    <w:p w:rsidR="004271C9" w:rsidRPr="009652D5" w:rsidRDefault="004271C9" w:rsidP="004271C9">
      <w:pPr>
        <w:pStyle w:val="710"/>
        <w:shd w:val="clear" w:color="auto" w:fill="auto"/>
        <w:spacing w:line="190" w:lineRule="exact"/>
        <w:rPr>
          <w:i w:val="0"/>
          <w:iCs w:val="0"/>
          <w:color w:val="000000"/>
          <w:sz w:val="20"/>
          <w:szCs w:val="20"/>
        </w:rPr>
      </w:pPr>
    </w:p>
    <w:p w:rsidR="004271C9" w:rsidRPr="009652D5" w:rsidRDefault="004271C9" w:rsidP="004271C9">
      <w:pPr>
        <w:pStyle w:val="210"/>
        <w:shd w:val="clear" w:color="auto" w:fill="auto"/>
        <w:spacing w:line="230" w:lineRule="exact"/>
        <w:ind w:firstLine="0"/>
        <w:rPr>
          <w:b w:val="0"/>
          <w:sz w:val="20"/>
          <w:szCs w:val="20"/>
        </w:rPr>
      </w:pPr>
      <w:r w:rsidRPr="009652D5">
        <w:rPr>
          <w:b w:val="0"/>
          <w:sz w:val="20"/>
          <w:szCs w:val="20"/>
        </w:rPr>
        <w:t xml:space="preserve">Реструктурирование включает одобрение внешних планов управления, изменение и отсрочку сроков платежей. Политика и практика реструктурирования основаны на индикаторах и критериях, которые, </w:t>
      </w:r>
      <w:r w:rsidRPr="009652D5">
        <w:rPr>
          <w:b w:val="0"/>
          <w:sz w:val="20"/>
          <w:szCs w:val="20"/>
        </w:rPr>
        <w:lastRenderedPageBreak/>
        <w:t>по мнению Руководства, указывают на дальнейшую платежеспособность клиента. Данная политика пересматривается периодически.</w:t>
      </w:r>
    </w:p>
    <w:p w:rsidR="004271C9" w:rsidRPr="009652D5" w:rsidRDefault="004271C9" w:rsidP="004271C9">
      <w:pPr>
        <w:pStyle w:val="210"/>
        <w:shd w:val="clear" w:color="auto" w:fill="auto"/>
        <w:spacing w:line="230" w:lineRule="exact"/>
        <w:ind w:firstLine="0"/>
        <w:rPr>
          <w:b w:val="0"/>
          <w:bCs w:val="0"/>
          <w:color w:val="000000"/>
          <w:sz w:val="20"/>
          <w:szCs w:val="20"/>
        </w:rPr>
      </w:pPr>
    </w:p>
    <w:p w:rsidR="004271C9" w:rsidRPr="009652D5" w:rsidRDefault="004271C9" w:rsidP="004271C9">
      <w:pPr>
        <w:pStyle w:val="710"/>
        <w:shd w:val="clear" w:color="auto" w:fill="auto"/>
        <w:spacing w:line="190" w:lineRule="exact"/>
        <w:rPr>
          <w:sz w:val="20"/>
          <w:szCs w:val="20"/>
        </w:rPr>
      </w:pPr>
      <w:r w:rsidRPr="009652D5">
        <w:rPr>
          <w:sz w:val="20"/>
          <w:szCs w:val="20"/>
        </w:rPr>
        <w:t>Кредитный риск концентрации</w:t>
      </w:r>
    </w:p>
    <w:p w:rsidR="004271C9" w:rsidRPr="009652D5" w:rsidRDefault="004271C9" w:rsidP="004271C9">
      <w:pPr>
        <w:pStyle w:val="710"/>
        <w:shd w:val="clear" w:color="auto" w:fill="auto"/>
        <w:spacing w:line="190" w:lineRule="exact"/>
        <w:rPr>
          <w:i w:val="0"/>
          <w:iCs w:val="0"/>
          <w:color w:val="000000"/>
          <w:sz w:val="20"/>
          <w:szCs w:val="20"/>
        </w:rPr>
      </w:pPr>
    </w:p>
    <w:p w:rsidR="004271C9" w:rsidRPr="009652D5" w:rsidRDefault="004271C9" w:rsidP="00223155">
      <w:pPr>
        <w:jc w:val="both"/>
        <w:rPr>
          <w:rFonts w:cs="Arial"/>
          <w:b/>
          <w:bCs/>
          <w:color w:val="000000"/>
          <w:sz w:val="20"/>
          <w:lang w:val="ru-RU"/>
        </w:rPr>
      </w:pPr>
      <w:r w:rsidRPr="009652D5">
        <w:rPr>
          <w:rFonts w:cs="Arial"/>
          <w:sz w:val="20"/>
          <w:lang w:val="ru-RU"/>
        </w:rPr>
        <w:t xml:space="preserve">По состоянию на 31 декабря 2014 года доля десяти крупнейших заемщиков составляла </w:t>
      </w:r>
      <w:r w:rsidR="007C2778" w:rsidRPr="009652D5">
        <w:rPr>
          <w:rFonts w:cs="Arial"/>
          <w:color w:val="000000"/>
          <w:sz w:val="20"/>
          <w:lang w:val="ru-RU"/>
        </w:rPr>
        <w:t>13 654</w:t>
      </w:r>
      <w:r w:rsidR="00C92525">
        <w:rPr>
          <w:rFonts w:cs="Arial"/>
          <w:color w:val="000000"/>
          <w:sz w:val="20"/>
          <w:lang w:val="ru-RU"/>
        </w:rPr>
        <w:t> </w:t>
      </w:r>
      <w:r w:rsidR="007C2778" w:rsidRPr="009652D5">
        <w:rPr>
          <w:rFonts w:cs="Arial"/>
          <w:color w:val="000000"/>
          <w:sz w:val="20"/>
          <w:lang w:val="ru-RU"/>
        </w:rPr>
        <w:t>992</w:t>
      </w:r>
      <w:r w:rsidR="00223155" w:rsidRPr="009652D5">
        <w:rPr>
          <w:rFonts w:cs="Arial"/>
          <w:bCs/>
          <w:sz w:val="20"/>
          <w:lang w:val="ru-RU"/>
        </w:rPr>
        <w:t>тысяч рублей</w:t>
      </w:r>
      <w:r w:rsidR="00B84D52">
        <w:rPr>
          <w:rFonts w:cs="Arial"/>
          <w:bCs/>
          <w:sz w:val="20"/>
          <w:lang w:val="ru-RU"/>
        </w:rPr>
        <w:t xml:space="preserve"> </w:t>
      </w:r>
      <w:r w:rsidRPr="009652D5">
        <w:rPr>
          <w:rFonts w:cs="Arial"/>
          <w:sz w:val="20"/>
          <w:lang w:val="ru-RU"/>
        </w:rPr>
        <w:t>или 30,</w:t>
      </w:r>
      <w:r w:rsidR="007C2778" w:rsidRPr="009652D5">
        <w:rPr>
          <w:rFonts w:cs="Arial"/>
          <w:sz w:val="20"/>
          <w:lang w:val="ru-RU"/>
        </w:rPr>
        <w:t>25</w:t>
      </w:r>
      <w:r w:rsidRPr="009652D5">
        <w:rPr>
          <w:rFonts w:cs="Arial"/>
          <w:sz w:val="20"/>
          <w:lang w:val="ru-RU"/>
        </w:rPr>
        <w:t>% от всего кредитного портфеля (31 декабря 2013: 11</w:t>
      </w:r>
      <w:r w:rsidR="00345071" w:rsidRPr="009652D5">
        <w:rPr>
          <w:rFonts w:cs="Arial"/>
          <w:sz w:val="20"/>
          <w:lang w:val="ru-RU"/>
        </w:rPr>
        <w:t> </w:t>
      </w:r>
      <w:r w:rsidRPr="009652D5">
        <w:rPr>
          <w:rFonts w:cs="Arial"/>
          <w:sz w:val="20"/>
          <w:lang w:val="ru-RU"/>
        </w:rPr>
        <w:t>794</w:t>
      </w:r>
      <w:r w:rsidR="00345071" w:rsidRPr="009652D5">
        <w:rPr>
          <w:rFonts w:cs="Arial"/>
          <w:sz w:val="20"/>
          <w:lang w:val="ru-RU"/>
        </w:rPr>
        <w:t> </w:t>
      </w:r>
      <w:r w:rsidRPr="009652D5">
        <w:rPr>
          <w:rFonts w:cs="Arial"/>
          <w:sz w:val="20"/>
          <w:lang w:val="ru-RU"/>
        </w:rPr>
        <w:t xml:space="preserve">723 </w:t>
      </w:r>
      <w:r w:rsidR="00223155" w:rsidRPr="009652D5">
        <w:rPr>
          <w:rFonts w:cs="Arial"/>
          <w:bCs/>
          <w:sz w:val="20"/>
          <w:lang w:val="ru-RU"/>
        </w:rPr>
        <w:t>тысяч рублей</w:t>
      </w:r>
      <w:r w:rsidR="00B84D52">
        <w:rPr>
          <w:rFonts w:cs="Arial"/>
          <w:bCs/>
          <w:sz w:val="20"/>
          <w:lang w:val="ru-RU"/>
        </w:rPr>
        <w:t xml:space="preserve"> </w:t>
      </w:r>
      <w:r w:rsidRPr="009652D5">
        <w:rPr>
          <w:rFonts w:cs="Arial"/>
          <w:sz w:val="20"/>
          <w:lang w:val="ru-RU"/>
        </w:rPr>
        <w:t xml:space="preserve">или 30,3%). Для этих кредитов был создан резерв под обесценение в размере </w:t>
      </w:r>
      <w:r w:rsidR="007C2778" w:rsidRPr="009652D5">
        <w:rPr>
          <w:rFonts w:cs="Arial"/>
          <w:sz w:val="20"/>
          <w:lang w:val="ru-RU"/>
        </w:rPr>
        <w:t>11</w:t>
      </w:r>
      <w:r w:rsidR="00ED3E6F">
        <w:rPr>
          <w:rFonts w:cs="Arial"/>
          <w:sz w:val="20"/>
        </w:rPr>
        <w:t> </w:t>
      </w:r>
      <w:r w:rsidR="007C2778" w:rsidRPr="009652D5">
        <w:rPr>
          <w:rFonts w:cs="Arial"/>
          <w:sz w:val="20"/>
          <w:lang w:val="ru-RU"/>
        </w:rPr>
        <w:t>662422</w:t>
      </w:r>
      <w:r w:rsidR="00B84D52">
        <w:rPr>
          <w:rFonts w:cs="Arial"/>
          <w:sz w:val="20"/>
          <w:lang w:val="ru-RU"/>
        </w:rPr>
        <w:t xml:space="preserve"> </w:t>
      </w:r>
      <w:r w:rsidR="00223155" w:rsidRPr="009652D5">
        <w:rPr>
          <w:rFonts w:cs="Arial"/>
          <w:bCs/>
          <w:sz w:val="20"/>
          <w:lang w:val="ru-RU"/>
        </w:rPr>
        <w:t>тысяч рублей</w:t>
      </w:r>
      <w:r w:rsidRPr="009652D5">
        <w:rPr>
          <w:rFonts w:cs="Arial"/>
          <w:sz w:val="20"/>
          <w:lang w:val="ru-RU"/>
        </w:rPr>
        <w:t>(31 декабря 2013: 198</w:t>
      </w:r>
      <w:r w:rsidR="00B84D52">
        <w:rPr>
          <w:rFonts w:cs="Arial"/>
          <w:sz w:val="20"/>
        </w:rPr>
        <w:t> </w:t>
      </w:r>
      <w:r w:rsidRPr="009652D5">
        <w:rPr>
          <w:rFonts w:cs="Arial"/>
          <w:sz w:val="20"/>
          <w:lang w:val="ru-RU"/>
        </w:rPr>
        <w:t>435</w:t>
      </w:r>
      <w:r w:rsidR="00B84D52">
        <w:rPr>
          <w:rFonts w:cs="Arial"/>
          <w:sz w:val="20"/>
          <w:lang w:val="ru-RU"/>
        </w:rPr>
        <w:t xml:space="preserve"> </w:t>
      </w:r>
      <w:r w:rsidR="00223155" w:rsidRPr="009652D5">
        <w:rPr>
          <w:rFonts w:cs="Arial"/>
          <w:bCs/>
          <w:sz w:val="20"/>
          <w:lang w:val="ru-RU"/>
        </w:rPr>
        <w:t>тысяч рублей</w:t>
      </w:r>
      <w:r w:rsidRPr="009652D5">
        <w:rPr>
          <w:rFonts w:cs="Arial"/>
          <w:sz w:val="20"/>
          <w:lang w:val="ru-RU"/>
        </w:rPr>
        <w:t>).</w:t>
      </w:r>
    </w:p>
    <w:p w:rsidR="004271C9" w:rsidRPr="009652D5" w:rsidRDefault="004271C9" w:rsidP="00C06AC5">
      <w:pPr>
        <w:pStyle w:val="210"/>
        <w:shd w:val="clear" w:color="auto" w:fill="auto"/>
        <w:spacing w:line="230" w:lineRule="exact"/>
        <w:ind w:firstLine="0"/>
        <w:jc w:val="both"/>
        <w:rPr>
          <w:b w:val="0"/>
          <w:sz w:val="20"/>
          <w:szCs w:val="20"/>
        </w:rPr>
      </w:pPr>
      <w:r w:rsidRPr="009652D5">
        <w:rPr>
          <w:b w:val="0"/>
          <w:sz w:val="20"/>
          <w:szCs w:val="20"/>
        </w:rPr>
        <w:t>По состоянию на 31 декабря 2014 и 31 декабря 2013 года стратификация кредитного портфеля выглядела следующим образом:</w:t>
      </w:r>
    </w:p>
    <w:p w:rsidR="004271C9" w:rsidRPr="009652D5" w:rsidRDefault="004271C9" w:rsidP="004271C9">
      <w:pPr>
        <w:pStyle w:val="210"/>
        <w:shd w:val="clear" w:color="auto" w:fill="auto"/>
        <w:spacing w:line="230" w:lineRule="exact"/>
        <w:ind w:firstLine="0"/>
        <w:rPr>
          <w:b w:val="0"/>
          <w:sz w:val="20"/>
          <w:szCs w:val="20"/>
        </w:rPr>
      </w:pPr>
    </w:p>
    <w:tbl>
      <w:tblPr>
        <w:tblW w:w="5000" w:type="pct"/>
        <w:tblLook w:val="04A0"/>
      </w:tblPr>
      <w:tblGrid>
        <w:gridCol w:w="2725"/>
        <w:gridCol w:w="1672"/>
        <w:gridCol w:w="1027"/>
        <w:gridCol w:w="851"/>
        <w:gridCol w:w="1672"/>
        <w:gridCol w:w="1027"/>
        <w:gridCol w:w="849"/>
      </w:tblGrid>
      <w:tr w:rsidR="00235B0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p>
        </w:tc>
        <w:tc>
          <w:tcPr>
            <w:tcW w:w="1807" w:type="pct"/>
            <w:gridSpan w:val="3"/>
            <w:tcBorders>
              <w:top w:val="nil"/>
              <w:left w:val="nil"/>
              <w:bottom w:val="single" w:sz="4" w:space="0" w:color="auto"/>
              <w:right w:val="nil"/>
            </w:tcBorders>
            <w:shd w:val="clear" w:color="auto" w:fill="auto"/>
            <w:noWrap/>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31 декабря 2014</w:t>
            </w:r>
          </w:p>
        </w:tc>
        <w:tc>
          <w:tcPr>
            <w:tcW w:w="1807" w:type="pct"/>
            <w:gridSpan w:val="3"/>
            <w:tcBorders>
              <w:top w:val="nil"/>
              <w:left w:val="nil"/>
              <w:bottom w:val="single" w:sz="4" w:space="0" w:color="auto"/>
              <w:right w:val="nil"/>
            </w:tcBorders>
            <w:shd w:val="clear" w:color="auto" w:fill="auto"/>
            <w:noWrap/>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31 декабря 2013</w:t>
            </w:r>
          </w:p>
        </w:tc>
      </w:tr>
      <w:tr w:rsidR="00763F88" w:rsidRPr="009652D5" w:rsidTr="00235B08">
        <w:trPr>
          <w:trHeight w:val="900"/>
        </w:trPr>
        <w:tc>
          <w:tcPr>
            <w:tcW w:w="1387" w:type="pct"/>
            <w:tcBorders>
              <w:top w:val="nil"/>
              <w:left w:val="nil"/>
              <w:bottom w:val="single" w:sz="4" w:space="0" w:color="auto"/>
              <w:right w:val="nil"/>
            </w:tcBorders>
            <w:shd w:val="clear" w:color="auto" w:fill="auto"/>
            <w:vAlign w:val="bottom"/>
            <w:hideMark/>
          </w:tcPr>
          <w:p w:rsidR="00235B08" w:rsidRPr="009652D5" w:rsidRDefault="00235B08" w:rsidP="00235B08">
            <w:pPr>
              <w:rPr>
                <w:rFonts w:cs="Arial"/>
                <w:b/>
                <w:bCs/>
                <w:color w:val="000000"/>
                <w:sz w:val="20"/>
                <w:lang w:val="ru-RU"/>
              </w:rPr>
            </w:pPr>
            <w:r w:rsidRPr="009652D5">
              <w:rPr>
                <w:rFonts w:cs="Arial"/>
                <w:b/>
                <w:bCs/>
                <w:color w:val="000000"/>
                <w:sz w:val="20"/>
                <w:lang w:val="ru-RU"/>
              </w:rPr>
              <w:t>Диапазон остатка по кредиту</w:t>
            </w:r>
          </w:p>
        </w:tc>
        <w:tc>
          <w:tcPr>
            <w:tcW w:w="851" w:type="pct"/>
            <w:tcBorders>
              <w:top w:val="nil"/>
              <w:left w:val="nil"/>
              <w:bottom w:val="single" w:sz="4" w:space="0" w:color="auto"/>
              <w:right w:val="nil"/>
            </w:tcBorders>
            <w:shd w:val="clear" w:color="auto" w:fill="auto"/>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Сумма</w:t>
            </w:r>
          </w:p>
        </w:tc>
        <w:tc>
          <w:tcPr>
            <w:tcW w:w="523" w:type="pct"/>
            <w:tcBorders>
              <w:top w:val="nil"/>
              <w:left w:val="nil"/>
              <w:bottom w:val="single" w:sz="4" w:space="0" w:color="auto"/>
              <w:right w:val="nil"/>
            </w:tcBorders>
            <w:shd w:val="clear" w:color="auto" w:fill="auto"/>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Число заем-щиков</w:t>
            </w:r>
          </w:p>
        </w:tc>
        <w:tc>
          <w:tcPr>
            <w:tcW w:w="432" w:type="pct"/>
            <w:tcBorders>
              <w:top w:val="nil"/>
              <w:left w:val="nil"/>
              <w:bottom w:val="single" w:sz="4" w:space="0" w:color="auto"/>
              <w:right w:val="nil"/>
            </w:tcBorders>
            <w:shd w:val="clear" w:color="auto" w:fill="auto"/>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w:t>
            </w:r>
          </w:p>
        </w:tc>
        <w:tc>
          <w:tcPr>
            <w:tcW w:w="851" w:type="pct"/>
            <w:tcBorders>
              <w:top w:val="nil"/>
              <w:left w:val="nil"/>
              <w:bottom w:val="single" w:sz="4" w:space="0" w:color="auto"/>
              <w:right w:val="nil"/>
            </w:tcBorders>
            <w:shd w:val="clear" w:color="auto" w:fill="auto"/>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Сумма</w:t>
            </w:r>
          </w:p>
        </w:tc>
        <w:tc>
          <w:tcPr>
            <w:tcW w:w="523" w:type="pct"/>
            <w:tcBorders>
              <w:top w:val="nil"/>
              <w:left w:val="nil"/>
              <w:bottom w:val="single" w:sz="4" w:space="0" w:color="auto"/>
              <w:right w:val="nil"/>
            </w:tcBorders>
            <w:shd w:val="clear" w:color="auto" w:fill="auto"/>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Число заем-щиков</w:t>
            </w:r>
          </w:p>
        </w:tc>
        <w:tc>
          <w:tcPr>
            <w:tcW w:w="432" w:type="pct"/>
            <w:tcBorders>
              <w:top w:val="nil"/>
              <w:left w:val="nil"/>
              <w:bottom w:val="single" w:sz="4" w:space="0" w:color="auto"/>
              <w:right w:val="nil"/>
            </w:tcBorders>
            <w:shd w:val="clear" w:color="auto" w:fill="auto"/>
            <w:vAlign w:val="bottom"/>
            <w:hideMark/>
          </w:tcPr>
          <w:p w:rsidR="00235B08" w:rsidRPr="009652D5" w:rsidRDefault="00235B08" w:rsidP="00235B08">
            <w:pPr>
              <w:jc w:val="center"/>
              <w:rPr>
                <w:rFonts w:cs="Arial"/>
                <w:b/>
                <w:bCs/>
                <w:color w:val="000000"/>
                <w:sz w:val="20"/>
                <w:lang w:val="ru-RU"/>
              </w:rPr>
            </w:pPr>
            <w:r w:rsidRPr="009652D5">
              <w:rPr>
                <w:rFonts w:cs="Arial"/>
                <w:b/>
                <w:bCs/>
                <w:color w:val="000000"/>
                <w:sz w:val="20"/>
                <w:lang w:val="ru-RU"/>
              </w:rPr>
              <w:t>%</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Менее 500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22 216</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153</w:t>
            </w:r>
          </w:p>
        </w:tc>
        <w:tc>
          <w:tcPr>
            <w:tcW w:w="432" w:type="pct"/>
            <w:tcBorders>
              <w:top w:val="nil"/>
              <w:left w:val="nil"/>
              <w:bottom w:val="nil"/>
              <w:right w:val="nil"/>
            </w:tcBorders>
            <w:shd w:val="clear" w:color="auto" w:fill="auto"/>
            <w:noWrap/>
            <w:vAlign w:val="bottom"/>
            <w:hideMark/>
          </w:tcPr>
          <w:p w:rsidR="00235B08" w:rsidRPr="009652D5" w:rsidRDefault="00235B08" w:rsidP="002678D7">
            <w:pPr>
              <w:jc w:val="right"/>
              <w:rPr>
                <w:rFonts w:cs="Arial"/>
                <w:color w:val="000000"/>
                <w:sz w:val="20"/>
                <w:lang w:val="ru-RU"/>
              </w:rPr>
            </w:pPr>
            <w:r w:rsidRPr="009652D5">
              <w:rPr>
                <w:rFonts w:cs="Arial"/>
                <w:color w:val="000000"/>
                <w:sz w:val="20"/>
                <w:lang w:val="ru-RU"/>
              </w:rPr>
              <w:t>0.</w:t>
            </w:r>
            <w:r w:rsidR="002678D7">
              <w:rPr>
                <w:rFonts w:cs="Arial"/>
                <w:color w:val="000000"/>
                <w:sz w:val="20"/>
                <w:lang w:val="ru-RU"/>
              </w:rPr>
              <w:t>1</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4 300</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271</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0.0</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От 500 до 5 000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305 951</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178</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0.7</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542 533</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337</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1.4</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От 5 000 до 10 000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177 941</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25</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0.4</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235 716</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30</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0.6</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От 10 001 до 50 000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1 499 278</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57</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3.3</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1 735 129</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66</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4.5</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От 50 001 до 100 000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1 285 213</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19</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2.8</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1 638 979</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25</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4.2</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От 100 001 до 250 000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3 128 855</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21</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6.9</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3 190 289</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19</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8.2</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От 250 001 до 1 000 000</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12 264 585</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23</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27.2</w:t>
            </w:r>
          </w:p>
        </w:tc>
        <w:tc>
          <w:tcPr>
            <w:tcW w:w="851"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18 772 697</w:t>
            </w:r>
          </w:p>
        </w:tc>
        <w:tc>
          <w:tcPr>
            <w:tcW w:w="523"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30</w:t>
            </w:r>
          </w:p>
        </w:tc>
        <w:tc>
          <w:tcPr>
            <w:tcW w:w="432" w:type="pct"/>
            <w:tcBorders>
              <w:top w:val="nil"/>
              <w:left w:val="nil"/>
              <w:bottom w:val="nil"/>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48.2</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r w:rsidRPr="009652D5">
              <w:rPr>
                <w:rFonts w:cs="Arial"/>
                <w:color w:val="000000"/>
                <w:sz w:val="20"/>
                <w:lang w:val="ru-RU"/>
              </w:rPr>
              <w:t xml:space="preserve">Более 1 000 000 </w:t>
            </w:r>
          </w:p>
        </w:tc>
        <w:tc>
          <w:tcPr>
            <w:tcW w:w="851" w:type="pct"/>
            <w:tcBorders>
              <w:top w:val="nil"/>
              <w:left w:val="nil"/>
              <w:bottom w:val="single" w:sz="4" w:space="0" w:color="auto"/>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26 454 986</w:t>
            </w:r>
          </w:p>
        </w:tc>
        <w:tc>
          <w:tcPr>
            <w:tcW w:w="523" w:type="pct"/>
            <w:tcBorders>
              <w:top w:val="nil"/>
              <w:left w:val="nil"/>
              <w:bottom w:val="single" w:sz="4" w:space="0" w:color="auto"/>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21</w:t>
            </w:r>
          </w:p>
        </w:tc>
        <w:tc>
          <w:tcPr>
            <w:tcW w:w="432" w:type="pct"/>
            <w:tcBorders>
              <w:top w:val="nil"/>
              <w:left w:val="nil"/>
              <w:bottom w:val="single" w:sz="4" w:space="0" w:color="auto"/>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58.6</w:t>
            </w:r>
          </w:p>
        </w:tc>
        <w:tc>
          <w:tcPr>
            <w:tcW w:w="851" w:type="pct"/>
            <w:tcBorders>
              <w:top w:val="nil"/>
              <w:left w:val="nil"/>
              <w:bottom w:val="single" w:sz="4" w:space="0" w:color="auto"/>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12 802 367</w:t>
            </w:r>
          </w:p>
        </w:tc>
        <w:tc>
          <w:tcPr>
            <w:tcW w:w="523" w:type="pct"/>
            <w:tcBorders>
              <w:top w:val="nil"/>
              <w:left w:val="nil"/>
              <w:bottom w:val="single" w:sz="4" w:space="0" w:color="auto"/>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11</w:t>
            </w:r>
          </w:p>
        </w:tc>
        <w:tc>
          <w:tcPr>
            <w:tcW w:w="432" w:type="pct"/>
            <w:tcBorders>
              <w:top w:val="nil"/>
              <w:left w:val="nil"/>
              <w:bottom w:val="single" w:sz="4" w:space="0" w:color="auto"/>
              <w:right w:val="nil"/>
            </w:tcBorders>
            <w:shd w:val="clear" w:color="auto" w:fill="auto"/>
            <w:noWrap/>
            <w:vAlign w:val="bottom"/>
            <w:hideMark/>
          </w:tcPr>
          <w:p w:rsidR="00235B08" w:rsidRPr="009652D5" w:rsidRDefault="00235B08" w:rsidP="00235B08">
            <w:pPr>
              <w:jc w:val="right"/>
              <w:rPr>
                <w:rFonts w:cs="Arial"/>
                <w:color w:val="000000"/>
                <w:sz w:val="20"/>
                <w:lang w:val="ru-RU"/>
              </w:rPr>
            </w:pPr>
            <w:r w:rsidRPr="009652D5">
              <w:rPr>
                <w:rFonts w:cs="Arial"/>
                <w:color w:val="000000"/>
                <w:sz w:val="20"/>
                <w:lang w:val="ru-RU"/>
              </w:rPr>
              <w:t>32.9</w:t>
            </w:r>
          </w:p>
        </w:tc>
      </w:tr>
      <w:tr w:rsidR="00763F88" w:rsidRPr="009652D5" w:rsidTr="00235B08">
        <w:trPr>
          <w:trHeight w:val="300"/>
        </w:trPr>
        <w:tc>
          <w:tcPr>
            <w:tcW w:w="1387" w:type="pct"/>
            <w:tcBorders>
              <w:top w:val="nil"/>
              <w:left w:val="nil"/>
              <w:bottom w:val="nil"/>
              <w:right w:val="nil"/>
            </w:tcBorders>
            <w:shd w:val="clear" w:color="auto" w:fill="auto"/>
            <w:noWrap/>
            <w:vAlign w:val="bottom"/>
            <w:hideMark/>
          </w:tcPr>
          <w:p w:rsidR="00235B08" w:rsidRPr="009652D5" w:rsidRDefault="00235B08" w:rsidP="00235B08">
            <w:pPr>
              <w:rPr>
                <w:rFonts w:cs="Arial"/>
                <w:color w:val="000000"/>
                <w:sz w:val="20"/>
                <w:lang w:val="ru-RU"/>
              </w:rPr>
            </w:pPr>
          </w:p>
        </w:tc>
        <w:tc>
          <w:tcPr>
            <w:tcW w:w="851" w:type="pct"/>
            <w:tcBorders>
              <w:top w:val="nil"/>
              <w:left w:val="nil"/>
              <w:bottom w:val="double" w:sz="4" w:space="0" w:color="auto"/>
              <w:right w:val="nil"/>
            </w:tcBorders>
            <w:shd w:val="clear" w:color="auto" w:fill="auto"/>
            <w:noWrap/>
            <w:vAlign w:val="bottom"/>
            <w:hideMark/>
          </w:tcPr>
          <w:p w:rsidR="00235B08" w:rsidRPr="009652D5" w:rsidRDefault="00235B08" w:rsidP="00235B08">
            <w:pPr>
              <w:jc w:val="right"/>
              <w:rPr>
                <w:rFonts w:cs="Arial"/>
                <w:b/>
                <w:bCs/>
                <w:color w:val="000000"/>
                <w:sz w:val="20"/>
                <w:lang w:val="ru-RU"/>
              </w:rPr>
            </w:pPr>
            <w:r w:rsidRPr="009652D5">
              <w:rPr>
                <w:rFonts w:cs="Arial"/>
                <w:b/>
                <w:bCs/>
                <w:color w:val="000000"/>
                <w:sz w:val="20"/>
                <w:lang w:val="ru-RU"/>
              </w:rPr>
              <w:t>45 139 025</w:t>
            </w:r>
          </w:p>
        </w:tc>
        <w:tc>
          <w:tcPr>
            <w:tcW w:w="523" w:type="pct"/>
            <w:tcBorders>
              <w:top w:val="nil"/>
              <w:left w:val="nil"/>
              <w:bottom w:val="double" w:sz="4" w:space="0" w:color="auto"/>
              <w:right w:val="nil"/>
            </w:tcBorders>
            <w:shd w:val="clear" w:color="auto" w:fill="auto"/>
            <w:noWrap/>
            <w:vAlign w:val="bottom"/>
            <w:hideMark/>
          </w:tcPr>
          <w:p w:rsidR="00235B08" w:rsidRPr="009652D5" w:rsidRDefault="00235B08" w:rsidP="00235B08">
            <w:pPr>
              <w:jc w:val="right"/>
              <w:rPr>
                <w:rFonts w:cs="Arial"/>
                <w:b/>
                <w:bCs/>
                <w:color w:val="000000"/>
                <w:sz w:val="20"/>
                <w:lang w:val="ru-RU"/>
              </w:rPr>
            </w:pPr>
            <w:r w:rsidRPr="009652D5">
              <w:rPr>
                <w:rFonts w:cs="Arial"/>
                <w:b/>
                <w:bCs/>
                <w:color w:val="000000"/>
                <w:sz w:val="20"/>
                <w:lang w:val="ru-RU"/>
              </w:rPr>
              <w:t>497</w:t>
            </w:r>
          </w:p>
        </w:tc>
        <w:tc>
          <w:tcPr>
            <w:tcW w:w="432" w:type="pct"/>
            <w:tcBorders>
              <w:top w:val="nil"/>
              <w:left w:val="nil"/>
              <w:bottom w:val="double" w:sz="4" w:space="0" w:color="auto"/>
              <w:right w:val="nil"/>
            </w:tcBorders>
            <w:shd w:val="clear" w:color="auto" w:fill="auto"/>
            <w:noWrap/>
            <w:vAlign w:val="bottom"/>
            <w:hideMark/>
          </w:tcPr>
          <w:p w:rsidR="00235B08" w:rsidRPr="009652D5" w:rsidRDefault="00235B08" w:rsidP="00235B08">
            <w:pPr>
              <w:jc w:val="right"/>
              <w:rPr>
                <w:rFonts w:cs="Arial"/>
                <w:b/>
                <w:bCs/>
                <w:color w:val="000000"/>
                <w:sz w:val="20"/>
                <w:lang w:val="ru-RU"/>
              </w:rPr>
            </w:pPr>
            <w:r w:rsidRPr="009652D5">
              <w:rPr>
                <w:rFonts w:cs="Arial"/>
                <w:b/>
                <w:bCs/>
                <w:color w:val="000000"/>
                <w:sz w:val="20"/>
                <w:lang w:val="ru-RU"/>
              </w:rPr>
              <w:t>100.0</w:t>
            </w:r>
          </w:p>
        </w:tc>
        <w:tc>
          <w:tcPr>
            <w:tcW w:w="851" w:type="pct"/>
            <w:tcBorders>
              <w:top w:val="nil"/>
              <w:left w:val="nil"/>
              <w:bottom w:val="double" w:sz="4" w:space="0" w:color="auto"/>
              <w:right w:val="nil"/>
            </w:tcBorders>
            <w:shd w:val="clear" w:color="auto" w:fill="auto"/>
            <w:noWrap/>
            <w:vAlign w:val="bottom"/>
            <w:hideMark/>
          </w:tcPr>
          <w:p w:rsidR="00235B08" w:rsidRPr="009652D5" w:rsidRDefault="00235B08" w:rsidP="00235B08">
            <w:pPr>
              <w:jc w:val="right"/>
              <w:rPr>
                <w:rFonts w:cs="Arial"/>
                <w:b/>
                <w:bCs/>
                <w:color w:val="000000"/>
                <w:sz w:val="20"/>
                <w:lang w:val="ru-RU"/>
              </w:rPr>
            </w:pPr>
            <w:r w:rsidRPr="009652D5">
              <w:rPr>
                <w:rFonts w:cs="Arial"/>
                <w:b/>
                <w:bCs/>
                <w:color w:val="000000"/>
                <w:sz w:val="20"/>
                <w:lang w:val="ru-RU"/>
              </w:rPr>
              <w:t>38 922 010</w:t>
            </w:r>
          </w:p>
        </w:tc>
        <w:tc>
          <w:tcPr>
            <w:tcW w:w="523" w:type="pct"/>
            <w:tcBorders>
              <w:top w:val="nil"/>
              <w:left w:val="nil"/>
              <w:bottom w:val="double" w:sz="4" w:space="0" w:color="auto"/>
              <w:right w:val="nil"/>
            </w:tcBorders>
            <w:shd w:val="clear" w:color="auto" w:fill="auto"/>
            <w:noWrap/>
            <w:vAlign w:val="bottom"/>
            <w:hideMark/>
          </w:tcPr>
          <w:p w:rsidR="00235B08" w:rsidRPr="009652D5" w:rsidRDefault="00235B08" w:rsidP="00235B08">
            <w:pPr>
              <w:jc w:val="right"/>
              <w:rPr>
                <w:rFonts w:cs="Arial"/>
                <w:b/>
                <w:bCs/>
                <w:color w:val="000000"/>
                <w:sz w:val="20"/>
                <w:lang w:val="ru-RU"/>
              </w:rPr>
            </w:pPr>
            <w:r w:rsidRPr="009652D5">
              <w:rPr>
                <w:rFonts w:cs="Arial"/>
                <w:b/>
                <w:bCs/>
                <w:color w:val="000000"/>
                <w:sz w:val="20"/>
                <w:lang w:val="ru-RU"/>
              </w:rPr>
              <w:t>789</w:t>
            </w:r>
          </w:p>
        </w:tc>
        <w:tc>
          <w:tcPr>
            <w:tcW w:w="432" w:type="pct"/>
            <w:tcBorders>
              <w:top w:val="nil"/>
              <w:left w:val="nil"/>
              <w:bottom w:val="double" w:sz="4" w:space="0" w:color="auto"/>
              <w:right w:val="nil"/>
            </w:tcBorders>
            <w:shd w:val="clear" w:color="auto" w:fill="auto"/>
            <w:noWrap/>
            <w:vAlign w:val="bottom"/>
            <w:hideMark/>
          </w:tcPr>
          <w:p w:rsidR="00235B08" w:rsidRPr="009652D5" w:rsidRDefault="00235B08" w:rsidP="00235B08">
            <w:pPr>
              <w:jc w:val="right"/>
              <w:rPr>
                <w:rFonts w:cs="Arial"/>
                <w:b/>
                <w:bCs/>
                <w:color w:val="000000"/>
                <w:sz w:val="20"/>
                <w:lang w:val="ru-RU"/>
              </w:rPr>
            </w:pPr>
            <w:r w:rsidRPr="009652D5">
              <w:rPr>
                <w:rFonts w:cs="Arial"/>
                <w:b/>
                <w:bCs/>
                <w:color w:val="000000"/>
                <w:sz w:val="20"/>
                <w:lang w:val="ru-RU"/>
              </w:rPr>
              <w:t>100.0</w:t>
            </w:r>
          </w:p>
        </w:tc>
      </w:tr>
    </w:tbl>
    <w:p w:rsidR="00235B08" w:rsidRPr="009652D5" w:rsidRDefault="00235B08" w:rsidP="004271C9">
      <w:pPr>
        <w:pStyle w:val="210"/>
        <w:shd w:val="clear" w:color="auto" w:fill="auto"/>
        <w:spacing w:line="230" w:lineRule="exact"/>
        <w:ind w:firstLine="0"/>
        <w:rPr>
          <w:b w:val="0"/>
          <w:bCs w:val="0"/>
          <w:color w:val="000000"/>
          <w:sz w:val="20"/>
          <w:szCs w:val="20"/>
        </w:rPr>
      </w:pPr>
    </w:p>
    <w:p w:rsidR="00786D87" w:rsidRPr="009652D5" w:rsidRDefault="00786D87" w:rsidP="00786D87">
      <w:pPr>
        <w:pStyle w:val="710"/>
        <w:shd w:val="clear" w:color="auto" w:fill="auto"/>
        <w:spacing w:line="190" w:lineRule="exact"/>
        <w:rPr>
          <w:rStyle w:val="71"/>
          <w:i/>
          <w:iCs/>
          <w:color w:val="000000"/>
          <w:sz w:val="20"/>
          <w:szCs w:val="20"/>
        </w:rPr>
      </w:pPr>
      <w:r w:rsidRPr="009652D5">
        <w:rPr>
          <w:rStyle w:val="71"/>
          <w:i/>
          <w:iCs/>
          <w:color w:val="000000"/>
          <w:sz w:val="20"/>
          <w:szCs w:val="20"/>
        </w:rPr>
        <w:t xml:space="preserve">Залог и прочее обеспечение кредитов </w:t>
      </w:r>
    </w:p>
    <w:p w:rsidR="00786D87" w:rsidRPr="009652D5" w:rsidRDefault="00786D87" w:rsidP="00786D87">
      <w:pPr>
        <w:pStyle w:val="710"/>
        <w:shd w:val="clear" w:color="auto" w:fill="auto"/>
        <w:spacing w:line="190" w:lineRule="exact"/>
        <w:rPr>
          <w:sz w:val="20"/>
          <w:szCs w:val="20"/>
        </w:rPr>
      </w:pPr>
    </w:p>
    <w:p w:rsidR="00786D87" w:rsidRPr="009652D5" w:rsidRDefault="00786D87" w:rsidP="00786D87">
      <w:pPr>
        <w:pStyle w:val="210"/>
        <w:shd w:val="clear" w:color="auto" w:fill="auto"/>
        <w:spacing w:line="216" w:lineRule="exact"/>
        <w:ind w:firstLine="0"/>
        <w:jc w:val="both"/>
        <w:rPr>
          <w:b w:val="0"/>
          <w:sz w:val="20"/>
          <w:szCs w:val="20"/>
        </w:rPr>
      </w:pPr>
      <w:r w:rsidRPr="009652D5">
        <w:rPr>
          <w:b w:val="0"/>
          <w:sz w:val="20"/>
          <w:szCs w:val="20"/>
        </w:rPr>
        <w:t>Залог в большей степени используется как дополнительный положительный фактор при рассмотрении заявлений на выдачу кредитов, и не является решающим фактором для выдачи кредита. В случае, когда кредиты выданы под залог, в Заявлении на предоставление кредита необходимо представить полную информацию по виду залога, включая тип, стоимость и частоту оценок. Сотрудник кредитного отдела должен проверить наличие предоставляемого залога и провести его осмотр.</w:t>
      </w:r>
    </w:p>
    <w:p w:rsidR="00786D87" w:rsidRPr="009652D5" w:rsidRDefault="00786D87" w:rsidP="00786D87">
      <w:pPr>
        <w:pStyle w:val="210"/>
        <w:shd w:val="clear" w:color="auto" w:fill="auto"/>
        <w:spacing w:line="230" w:lineRule="exact"/>
        <w:ind w:firstLine="0"/>
        <w:jc w:val="both"/>
        <w:rPr>
          <w:b w:val="0"/>
          <w:sz w:val="20"/>
          <w:szCs w:val="20"/>
        </w:rPr>
      </w:pPr>
      <w:r w:rsidRPr="009652D5">
        <w:rPr>
          <w:b w:val="0"/>
          <w:sz w:val="20"/>
          <w:szCs w:val="20"/>
        </w:rPr>
        <w:t>Размер и вид залога, принятые Банком, зависят от оценки кредитного риска контрагента. Банком установлены критерии приемлемости видов залога и параметры оценки. Основные виды залога по кредитованию заемщиков включают в себя кредитование под залог недвижимости, товаров в обороте, гарантий и ценных бумаг.</w:t>
      </w:r>
    </w:p>
    <w:p w:rsidR="00786D87" w:rsidRPr="009652D5" w:rsidRDefault="00786D87" w:rsidP="00786D87">
      <w:pPr>
        <w:pStyle w:val="210"/>
        <w:shd w:val="clear" w:color="auto" w:fill="auto"/>
        <w:spacing w:line="230" w:lineRule="exact"/>
        <w:ind w:firstLine="0"/>
        <w:jc w:val="both"/>
        <w:rPr>
          <w:b w:val="0"/>
          <w:sz w:val="20"/>
          <w:szCs w:val="20"/>
        </w:rPr>
      </w:pPr>
      <w:r w:rsidRPr="009652D5">
        <w:rPr>
          <w:b w:val="0"/>
          <w:sz w:val="20"/>
          <w:szCs w:val="20"/>
        </w:rPr>
        <w:t>Оценка и принятие каждого вида и статьи залога может варьироваться в зависимости от обстоятельств. В целом, Банк принимает залог для достижения соответствующего уровня обеспечения и его поддержания в соответствии с условиями кредита.</w:t>
      </w:r>
    </w:p>
    <w:p w:rsidR="00786D87" w:rsidRPr="009652D5" w:rsidRDefault="00786D87" w:rsidP="00786D87">
      <w:pPr>
        <w:pStyle w:val="210"/>
        <w:shd w:val="clear" w:color="auto" w:fill="auto"/>
        <w:spacing w:line="230" w:lineRule="exact"/>
        <w:ind w:firstLine="0"/>
        <w:jc w:val="both"/>
        <w:rPr>
          <w:b w:val="0"/>
          <w:sz w:val="20"/>
          <w:szCs w:val="20"/>
        </w:rPr>
      </w:pPr>
      <w:r w:rsidRPr="009652D5">
        <w:rPr>
          <w:b w:val="0"/>
          <w:sz w:val="20"/>
          <w:szCs w:val="20"/>
        </w:rPr>
        <w:t>Банк реализует залоговое имущество, полученное в счет непогашенных кредитов. Доход от реализации используется для уменьшения или погашения просроченных кредитов.</w:t>
      </w:r>
    </w:p>
    <w:p w:rsidR="00786D87" w:rsidRPr="009652D5" w:rsidRDefault="00786D87" w:rsidP="00786D87">
      <w:pPr>
        <w:pStyle w:val="210"/>
        <w:shd w:val="clear" w:color="auto" w:fill="auto"/>
        <w:spacing w:line="230" w:lineRule="exact"/>
        <w:ind w:firstLine="0"/>
        <w:jc w:val="both"/>
        <w:rPr>
          <w:b w:val="0"/>
          <w:sz w:val="20"/>
          <w:szCs w:val="20"/>
        </w:rPr>
      </w:pPr>
      <w:r w:rsidRPr="009652D5">
        <w:rPr>
          <w:b w:val="0"/>
          <w:sz w:val="20"/>
          <w:szCs w:val="20"/>
        </w:rPr>
        <w:t>В следующей таблице представлен максимальный размер кредитного риска финансовых активов. Для финансовых активов, максимальный размер кредитного риска равен балансовой стоимости этих активов без учета зачетов или залога. По состоянию на 31 декабря 2014 и 31 декабря 2013 гг. не было взаимозачетов в счет погашения финансовых активов.</w:t>
      </w:r>
    </w:p>
    <w:p w:rsidR="00223155" w:rsidRPr="009652D5" w:rsidRDefault="00786D87" w:rsidP="00345071">
      <w:pPr>
        <w:pStyle w:val="210"/>
        <w:shd w:val="clear" w:color="auto" w:fill="auto"/>
        <w:ind w:firstLine="0"/>
        <w:jc w:val="both"/>
        <w:rPr>
          <w:b w:val="0"/>
          <w:sz w:val="20"/>
          <w:szCs w:val="20"/>
        </w:rPr>
      </w:pPr>
      <w:r w:rsidRPr="009652D5">
        <w:rPr>
          <w:b w:val="0"/>
          <w:sz w:val="20"/>
          <w:szCs w:val="20"/>
        </w:rPr>
        <w:t xml:space="preserve">Ниже приведен расчет максимального воздействия на кредиты и авансы клиентам на 31 декабря </w:t>
      </w:r>
    </w:p>
    <w:p w:rsidR="00786D87" w:rsidRPr="009652D5" w:rsidRDefault="00786D87">
      <w:pPr>
        <w:pStyle w:val="210"/>
        <w:shd w:val="clear" w:color="auto" w:fill="auto"/>
        <w:ind w:firstLine="0"/>
        <w:jc w:val="both"/>
        <w:rPr>
          <w:b w:val="0"/>
          <w:sz w:val="20"/>
          <w:szCs w:val="20"/>
        </w:rPr>
      </w:pPr>
      <w:r w:rsidRPr="009652D5">
        <w:rPr>
          <w:b w:val="0"/>
          <w:sz w:val="20"/>
          <w:szCs w:val="20"/>
        </w:rPr>
        <w:t>2014 года и 31 декабря 2013 гг. Максимальная сумма прочих финансовых активов равна их балансовой стоимости на отчетную дату.</w:t>
      </w:r>
    </w:p>
    <w:p w:rsidR="00E637B9" w:rsidRDefault="00E637B9" w:rsidP="00CB2696">
      <w:pPr>
        <w:rPr>
          <w:rFonts w:cs="Arial"/>
          <w:sz w:val="20"/>
          <w:lang w:val="ru-RU"/>
        </w:rPr>
      </w:pPr>
    </w:p>
    <w:p w:rsidR="00F93356" w:rsidRDefault="00F93356" w:rsidP="00CB2696">
      <w:pPr>
        <w:rPr>
          <w:rFonts w:cs="Arial"/>
          <w:sz w:val="20"/>
          <w:lang w:val="ru-RU"/>
        </w:rPr>
      </w:pPr>
    </w:p>
    <w:p w:rsidR="00F93356" w:rsidRPr="009652D5" w:rsidRDefault="00F93356" w:rsidP="00CB2696">
      <w:pPr>
        <w:rPr>
          <w:rFonts w:cs="Arial"/>
          <w:sz w:val="20"/>
          <w:lang w:val="ru-RU"/>
        </w:rPr>
      </w:pPr>
    </w:p>
    <w:tbl>
      <w:tblPr>
        <w:tblW w:w="5000" w:type="pct"/>
        <w:tblLook w:val="04A0"/>
      </w:tblPr>
      <w:tblGrid>
        <w:gridCol w:w="2769"/>
        <w:gridCol w:w="1739"/>
        <w:gridCol w:w="2796"/>
        <w:gridCol w:w="2519"/>
      </w:tblGrid>
      <w:tr w:rsidR="006A6706" w:rsidRPr="0046554E" w:rsidTr="008D183B">
        <w:trPr>
          <w:trHeight w:val="900"/>
        </w:trPr>
        <w:tc>
          <w:tcPr>
            <w:tcW w:w="1410" w:type="pct"/>
            <w:tcBorders>
              <w:top w:val="nil"/>
              <w:left w:val="nil"/>
              <w:bottom w:val="nil"/>
              <w:right w:val="nil"/>
            </w:tcBorders>
            <w:shd w:val="clear" w:color="auto" w:fill="auto"/>
            <w:noWrap/>
            <w:vAlign w:val="bottom"/>
            <w:hideMark/>
          </w:tcPr>
          <w:p w:rsidR="006A6706" w:rsidRPr="009652D5" w:rsidRDefault="006A6706" w:rsidP="006A6706">
            <w:pPr>
              <w:rPr>
                <w:rFonts w:cs="Arial"/>
                <w:color w:val="000000"/>
                <w:sz w:val="20"/>
                <w:lang w:val="ru-RU"/>
              </w:rPr>
            </w:pPr>
          </w:p>
        </w:tc>
        <w:tc>
          <w:tcPr>
            <w:tcW w:w="885" w:type="pct"/>
            <w:tcBorders>
              <w:top w:val="nil"/>
              <w:left w:val="nil"/>
              <w:bottom w:val="single" w:sz="4" w:space="0" w:color="auto"/>
              <w:right w:val="nil"/>
            </w:tcBorders>
            <w:shd w:val="clear" w:color="auto" w:fill="auto"/>
            <w:vAlign w:val="bottom"/>
            <w:hideMark/>
          </w:tcPr>
          <w:p w:rsidR="006A6706" w:rsidRPr="009652D5" w:rsidRDefault="006A6706" w:rsidP="006A6706">
            <w:pPr>
              <w:jc w:val="center"/>
              <w:rPr>
                <w:rFonts w:cs="Arial"/>
                <w:b/>
                <w:bCs/>
                <w:color w:val="000000"/>
                <w:sz w:val="20"/>
                <w:lang w:val="ru-RU"/>
              </w:rPr>
            </w:pPr>
            <w:r w:rsidRPr="009652D5">
              <w:rPr>
                <w:rFonts w:cs="Arial"/>
                <w:b/>
                <w:bCs/>
                <w:color w:val="000000"/>
                <w:sz w:val="20"/>
                <w:lang w:val="ru-RU"/>
              </w:rPr>
              <w:t>Балансовая стоимость</w:t>
            </w:r>
          </w:p>
        </w:tc>
        <w:tc>
          <w:tcPr>
            <w:tcW w:w="1423" w:type="pct"/>
            <w:tcBorders>
              <w:top w:val="nil"/>
              <w:left w:val="nil"/>
              <w:bottom w:val="single" w:sz="4" w:space="0" w:color="auto"/>
              <w:right w:val="nil"/>
            </w:tcBorders>
            <w:shd w:val="clear" w:color="auto" w:fill="auto"/>
            <w:vAlign w:val="bottom"/>
            <w:hideMark/>
          </w:tcPr>
          <w:p w:rsidR="006A6706" w:rsidRPr="009652D5" w:rsidRDefault="006A6706" w:rsidP="006A6706">
            <w:pPr>
              <w:jc w:val="center"/>
              <w:rPr>
                <w:rFonts w:cs="Arial"/>
                <w:b/>
                <w:bCs/>
                <w:color w:val="000000"/>
                <w:sz w:val="20"/>
                <w:lang w:val="ru-RU"/>
              </w:rPr>
            </w:pPr>
            <w:r w:rsidRPr="009652D5">
              <w:rPr>
                <w:rFonts w:cs="Arial"/>
                <w:b/>
                <w:bCs/>
                <w:color w:val="000000"/>
                <w:sz w:val="20"/>
                <w:lang w:val="ru-RU"/>
              </w:rPr>
              <w:t>Залоги по кредитам выданным</w:t>
            </w:r>
          </w:p>
        </w:tc>
        <w:tc>
          <w:tcPr>
            <w:tcW w:w="1282" w:type="pct"/>
            <w:tcBorders>
              <w:top w:val="nil"/>
              <w:left w:val="nil"/>
              <w:bottom w:val="single" w:sz="4" w:space="0" w:color="auto"/>
              <w:right w:val="nil"/>
            </w:tcBorders>
            <w:shd w:val="clear" w:color="auto" w:fill="auto"/>
            <w:vAlign w:val="bottom"/>
            <w:hideMark/>
          </w:tcPr>
          <w:p w:rsidR="006A6706" w:rsidRPr="009652D5" w:rsidRDefault="006A6706" w:rsidP="006A6706">
            <w:pPr>
              <w:jc w:val="center"/>
              <w:rPr>
                <w:rFonts w:cs="Arial"/>
                <w:b/>
                <w:bCs/>
                <w:color w:val="000000"/>
                <w:sz w:val="20"/>
                <w:lang w:val="ru-RU"/>
              </w:rPr>
            </w:pPr>
            <w:r w:rsidRPr="009652D5">
              <w:rPr>
                <w:rFonts w:cs="Arial"/>
                <w:b/>
                <w:bCs/>
                <w:color w:val="000000"/>
                <w:sz w:val="20"/>
                <w:lang w:val="ru-RU"/>
              </w:rPr>
              <w:t>Риск после вычета компенсации и залогов</w:t>
            </w:r>
          </w:p>
        </w:tc>
      </w:tr>
      <w:tr w:rsidR="006A6706" w:rsidRPr="009652D5" w:rsidTr="008D183B">
        <w:trPr>
          <w:trHeight w:val="300"/>
        </w:trPr>
        <w:tc>
          <w:tcPr>
            <w:tcW w:w="1410" w:type="pct"/>
            <w:tcBorders>
              <w:top w:val="nil"/>
              <w:left w:val="nil"/>
              <w:bottom w:val="nil"/>
              <w:right w:val="nil"/>
            </w:tcBorders>
            <w:shd w:val="clear" w:color="auto" w:fill="auto"/>
            <w:noWrap/>
            <w:vAlign w:val="bottom"/>
            <w:hideMark/>
          </w:tcPr>
          <w:p w:rsidR="006A6706" w:rsidRPr="009652D5" w:rsidRDefault="006A6706" w:rsidP="006A6706">
            <w:pPr>
              <w:rPr>
                <w:rFonts w:cs="Arial"/>
                <w:color w:val="000000"/>
                <w:sz w:val="20"/>
                <w:lang w:val="ru-RU"/>
              </w:rPr>
            </w:pPr>
            <w:r w:rsidRPr="009652D5">
              <w:rPr>
                <w:rFonts w:cs="Arial"/>
                <w:color w:val="000000"/>
                <w:sz w:val="20"/>
                <w:lang w:val="ru-RU"/>
              </w:rPr>
              <w:lastRenderedPageBreak/>
              <w:t>31 декабря 2014</w:t>
            </w:r>
          </w:p>
        </w:tc>
        <w:tc>
          <w:tcPr>
            <w:tcW w:w="885" w:type="pct"/>
            <w:tcBorders>
              <w:top w:val="single" w:sz="4" w:space="0" w:color="auto"/>
              <w:left w:val="nil"/>
              <w:bottom w:val="nil"/>
              <w:right w:val="nil"/>
            </w:tcBorders>
            <w:shd w:val="clear" w:color="auto" w:fill="auto"/>
            <w:noWrap/>
            <w:vAlign w:val="bottom"/>
            <w:hideMark/>
          </w:tcPr>
          <w:p w:rsidR="006A6706" w:rsidRPr="009652D5" w:rsidRDefault="006A6706" w:rsidP="006A6706">
            <w:pPr>
              <w:jc w:val="right"/>
              <w:rPr>
                <w:rFonts w:cs="Arial"/>
                <w:color w:val="000000"/>
                <w:sz w:val="20"/>
                <w:lang w:val="ru-RU"/>
              </w:rPr>
            </w:pPr>
            <w:r w:rsidRPr="009652D5">
              <w:rPr>
                <w:rFonts w:cs="Arial"/>
                <w:color w:val="000000"/>
                <w:sz w:val="20"/>
                <w:lang w:val="ru-RU"/>
              </w:rPr>
              <w:t>7 393 474</w:t>
            </w:r>
          </w:p>
        </w:tc>
        <w:tc>
          <w:tcPr>
            <w:tcW w:w="1423" w:type="pct"/>
            <w:tcBorders>
              <w:top w:val="single" w:sz="4" w:space="0" w:color="auto"/>
              <w:left w:val="nil"/>
              <w:bottom w:val="nil"/>
              <w:right w:val="nil"/>
            </w:tcBorders>
            <w:shd w:val="clear" w:color="auto" w:fill="auto"/>
            <w:noWrap/>
            <w:vAlign w:val="bottom"/>
            <w:hideMark/>
          </w:tcPr>
          <w:p w:rsidR="006A6706" w:rsidRPr="009652D5" w:rsidRDefault="006A6706" w:rsidP="006A6706">
            <w:pPr>
              <w:jc w:val="right"/>
              <w:rPr>
                <w:rFonts w:cs="Arial"/>
                <w:color w:val="000000"/>
                <w:sz w:val="20"/>
                <w:lang w:val="ru-RU"/>
              </w:rPr>
            </w:pPr>
            <w:r w:rsidRPr="009652D5">
              <w:rPr>
                <w:rFonts w:cs="Arial"/>
                <w:color w:val="000000"/>
                <w:sz w:val="20"/>
                <w:lang w:val="ru-RU"/>
              </w:rPr>
              <w:t>6 786 245</w:t>
            </w:r>
          </w:p>
        </w:tc>
        <w:tc>
          <w:tcPr>
            <w:tcW w:w="1282" w:type="pct"/>
            <w:tcBorders>
              <w:top w:val="single" w:sz="4" w:space="0" w:color="auto"/>
              <w:left w:val="nil"/>
              <w:bottom w:val="nil"/>
              <w:right w:val="nil"/>
            </w:tcBorders>
            <w:shd w:val="clear" w:color="auto" w:fill="auto"/>
            <w:noWrap/>
            <w:vAlign w:val="bottom"/>
            <w:hideMark/>
          </w:tcPr>
          <w:p w:rsidR="006A6706" w:rsidRPr="009652D5" w:rsidRDefault="006A6706" w:rsidP="006A6706">
            <w:pPr>
              <w:jc w:val="right"/>
              <w:rPr>
                <w:rFonts w:cs="Arial"/>
                <w:color w:val="000000"/>
                <w:sz w:val="20"/>
                <w:lang w:val="ru-RU"/>
              </w:rPr>
            </w:pPr>
            <w:r w:rsidRPr="009652D5">
              <w:rPr>
                <w:rFonts w:cs="Arial"/>
                <w:color w:val="000000"/>
                <w:sz w:val="20"/>
                <w:lang w:val="ru-RU"/>
              </w:rPr>
              <w:t>1 350 411</w:t>
            </w:r>
          </w:p>
        </w:tc>
      </w:tr>
      <w:tr w:rsidR="006A6706" w:rsidRPr="009652D5" w:rsidTr="006A6706">
        <w:trPr>
          <w:trHeight w:val="300"/>
        </w:trPr>
        <w:tc>
          <w:tcPr>
            <w:tcW w:w="1410" w:type="pct"/>
            <w:tcBorders>
              <w:top w:val="nil"/>
              <w:left w:val="nil"/>
              <w:bottom w:val="nil"/>
              <w:right w:val="nil"/>
            </w:tcBorders>
            <w:shd w:val="clear" w:color="auto" w:fill="auto"/>
            <w:noWrap/>
            <w:vAlign w:val="bottom"/>
            <w:hideMark/>
          </w:tcPr>
          <w:p w:rsidR="006A6706" w:rsidRPr="009652D5" w:rsidRDefault="006A6706" w:rsidP="006A6706">
            <w:pPr>
              <w:rPr>
                <w:rFonts w:cs="Arial"/>
                <w:color w:val="000000"/>
                <w:sz w:val="20"/>
                <w:lang w:val="ru-RU"/>
              </w:rPr>
            </w:pPr>
            <w:r w:rsidRPr="009652D5">
              <w:rPr>
                <w:rFonts w:cs="Arial"/>
                <w:color w:val="000000"/>
                <w:sz w:val="20"/>
                <w:lang w:val="ru-RU"/>
              </w:rPr>
              <w:t>31 декабря 2013</w:t>
            </w:r>
          </w:p>
        </w:tc>
        <w:tc>
          <w:tcPr>
            <w:tcW w:w="885" w:type="pct"/>
            <w:tcBorders>
              <w:top w:val="nil"/>
              <w:left w:val="nil"/>
              <w:bottom w:val="nil"/>
              <w:right w:val="nil"/>
            </w:tcBorders>
            <w:shd w:val="clear" w:color="auto" w:fill="auto"/>
            <w:noWrap/>
            <w:vAlign w:val="bottom"/>
            <w:hideMark/>
          </w:tcPr>
          <w:p w:rsidR="006A6706" w:rsidRPr="009652D5" w:rsidRDefault="006A6706" w:rsidP="006A6706">
            <w:pPr>
              <w:jc w:val="right"/>
              <w:rPr>
                <w:rFonts w:cs="Arial"/>
                <w:color w:val="000000"/>
                <w:sz w:val="20"/>
                <w:lang w:val="ru-RU"/>
              </w:rPr>
            </w:pPr>
            <w:r w:rsidRPr="009652D5">
              <w:rPr>
                <w:rFonts w:cs="Arial"/>
                <w:color w:val="000000"/>
                <w:sz w:val="20"/>
                <w:lang w:val="ru-RU"/>
              </w:rPr>
              <w:t>37 434 001</w:t>
            </w:r>
          </w:p>
        </w:tc>
        <w:tc>
          <w:tcPr>
            <w:tcW w:w="1423" w:type="pct"/>
            <w:tcBorders>
              <w:top w:val="nil"/>
              <w:left w:val="nil"/>
              <w:bottom w:val="nil"/>
              <w:right w:val="nil"/>
            </w:tcBorders>
            <w:shd w:val="clear" w:color="auto" w:fill="auto"/>
            <w:noWrap/>
            <w:vAlign w:val="bottom"/>
            <w:hideMark/>
          </w:tcPr>
          <w:p w:rsidR="006A6706" w:rsidRPr="009652D5" w:rsidRDefault="006A6706" w:rsidP="006A6706">
            <w:pPr>
              <w:jc w:val="right"/>
              <w:rPr>
                <w:rFonts w:cs="Arial"/>
                <w:color w:val="000000"/>
                <w:sz w:val="20"/>
                <w:lang w:val="ru-RU"/>
              </w:rPr>
            </w:pPr>
            <w:r w:rsidRPr="009652D5">
              <w:rPr>
                <w:rFonts w:cs="Arial"/>
                <w:color w:val="000000"/>
                <w:sz w:val="20"/>
                <w:lang w:val="ru-RU"/>
              </w:rPr>
              <w:t>44 848 868</w:t>
            </w:r>
          </w:p>
        </w:tc>
        <w:tc>
          <w:tcPr>
            <w:tcW w:w="1282" w:type="pct"/>
            <w:tcBorders>
              <w:top w:val="nil"/>
              <w:left w:val="nil"/>
              <w:bottom w:val="nil"/>
              <w:right w:val="nil"/>
            </w:tcBorders>
            <w:shd w:val="clear" w:color="auto" w:fill="auto"/>
            <w:noWrap/>
            <w:vAlign w:val="bottom"/>
            <w:hideMark/>
          </w:tcPr>
          <w:p w:rsidR="006A6706" w:rsidRPr="009652D5" w:rsidRDefault="006A6706" w:rsidP="006A6706">
            <w:pPr>
              <w:rPr>
                <w:rFonts w:cs="Arial"/>
                <w:color w:val="000000"/>
                <w:sz w:val="20"/>
                <w:lang w:val="ru-RU"/>
              </w:rPr>
            </w:pPr>
            <w:r w:rsidRPr="009652D5">
              <w:rPr>
                <w:rFonts w:cs="Arial"/>
                <w:color w:val="000000"/>
                <w:sz w:val="20"/>
                <w:lang w:val="ru-RU"/>
              </w:rPr>
              <w:t xml:space="preserve">                                    -     </w:t>
            </w:r>
          </w:p>
        </w:tc>
      </w:tr>
    </w:tbl>
    <w:p w:rsidR="00E637B9" w:rsidRPr="009652D5" w:rsidRDefault="00E637B9" w:rsidP="00CB2696">
      <w:pPr>
        <w:rPr>
          <w:rFonts w:cs="Arial"/>
          <w:sz w:val="20"/>
          <w:lang w:val="ru-RU"/>
        </w:rPr>
      </w:pPr>
    </w:p>
    <w:p w:rsidR="00E637B9" w:rsidRPr="009652D5" w:rsidRDefault="00696A73" w:rsidP="00696A73">
      <w:pPr>
        <w:jc w:val="both"/>
        <w:rPr>
          <w:rFonts w:cs="Arial"/>
          <w:bCs/>
          <w:sz w:val="20"/>
          <w:lang w:val="ru-RU"/>
        </w:rPr>
      </w:pPr>
      <w:r w:rsidRPr="009652D5">
        <w:rPr>
          <w:rFonts w:cs="Arial"/>
          <w:bCs/>
          <w:sz w:val="20"/>
          <w:lang w:val="ru-RU"/>
        </w:rPr>
        <w:t>Воздействие залогового имущества на кредитный риск на 31 декабря 2014 было значительно пересмотрено в направлении, аналогичном пересмотру качества ссудной задолженности (см. Прим</w:t>
      </w:r>
      <w:r w:rsidR="00B52DFF">
        <w:rPr>
          <w:rFonts w:cs="Arial"/>
          <w:bCs/>
          <w:sz w:val="20"/>
          <w:lang w:val="ru-RU"/>
        </w:rPr>
        <w:t>ечание</w:t>
      </w:r>
      <w:r w:rsidR="00345071" w:rsidRPr="009652D5">
        <w:rPr>
          <w:rFonts w:cs="Arial"/>
          <w:bCs/>
          <w:sz w:val="20"/>
          <w:lang w:val="ru-RU"/>
        </w:rPr>
        <w:t> </w:t>
      </w:r>
      <w:r w:rsidRPr="009652D5">
        <w:rPr>
          <w:rFonts w:cs="Arial"/>
          <w:bCs/>
          <w:sz w:val="20"/>
          <w:lang w:val="ru-RU"/>
        </w:rPr>
        <w:t xml:space="preserve">8). В расчет принимались только те залоги, наличие которых было подтверждено всеми необходимыми документами, перекрестные залоги исключены. Информация в отношении заложенного имущества проверялась в декабре 2014 г. – феврале 2015 г. </w:t>
      </w:r>
      <w:r w:rsidR="00B52DFF">
        <w:rPr>
          <w:rFonts w:cs="Arial"/>
          <w:bCs/>
          <w:sz w:val="20"/>
          <w:lang w:val="ru-RU"/>
        </w:rPr>
        <w:t>Банком России и АСВ</w:t>
      </w:r>
      <w:r w:rsidRPr="009652D5">
        <w:rPr>
          <w:rFonts w:cs="Arial"/>
          <w:bCs/>
          <w:sz w:val="20"/>
          <w:lang w:val="ru-RU"/>
        </w:rPr>
        <w:t xml:space="preserve"> России во время  выборочной проверки качества кредитного портфеля Банка для принятия решения по вопросу об отзыве банковской лицензии или </w:t>
      </w:r>
      <w:r w:rsidR="00B52DFF">
        <w:rPr>
          <w:rFonts w:cs="Arial"/>
          <w:bCs/>
          <w:sz w:val="20"/>
          <w:lang w:val="ru-RU"/>
        </w:rPr>
        <w:t xml:space="preserve">о </w:t>
      </w:r>
      <w:r w:rsidR="00CD5A5A" w:rsidRPr="009652D5">
        <w:rPr>
          <w:rFonts w:cs="Arial"/>
          <w:bCs/>
          <w:sz w:val="20"/>
          <w:lang w:val="ru-RU"/>
        </w:rPr>
        <w:t xml:space="preserve">финансовом </w:t>
      </w:r>
      <w:r w:rsidRPr="009652D5">
        <w:rPr>
          <w:rFonts w:cs="Arial"/>
          <w:bCs/>
          <w:sz w:val="20"/>
          <w:lang w:val="ru-RU"/>
        </w:rPr>
        <w:t xml:space="preserve">оздоровлении Банка, а также </w:t>
      </w:r>
      <w:r w:rsidR="00345071" w:rsidRPr="009652D5">
        <w:rPr>
          <w:rFonts w:cs="Arial"/>
          <w:bCs/>
          <w:sz w:val="20"/>
          <w:lang w:val="ru-RU"/>
        </w:rPr>
        <w:t>банком</w:t>
      </w:r>
      <w:r w:rsidRPr="009652D5">
        <w:rPr>
          <w:rFonts w:cs="Arial"/>
          <w:bCs/>
          <w:sz w:val="20"/>
          <w:lang w:val="ru-RU"/>
        </w:rPr>
        <w:t>-санатором в июне 2015 года.</w:t>
      </w:r>
    </w:p>
    <w:p w:rsidR="006A3D1C" w:rsidRPr="009652D5" w:rsidRDefault="006A3D1C" w:rsidP="00696A73">
      <w:pPr>
        <w:jc w:val="both"/>
        <w:rPr>
          <w:rFonts w:cs="Arial"/>
          <w:bCs/>
          <w:sz w:val="20"/>
          <w:lang w:val="ru-RU"/>
        </w:rPr>
      </w:pPr>
    </w:p>
    <w:p w:rsidR="006A3D1C" w:rsidRPr="009652D5" w:rsidRDefault="006A3D1C" w:rsidP="006A3D1C">
      <w:pPr>
        <w:pStyle w:val="710"/>
        <w:shd w:val="clear" w:color="auto" w:fill="auto"/>
        <w:spacing w:line="190" w:lineRule="exact"/>
        <w:rPr>
          <w:sz w:val="20"/>
          <w:szCs w:val="20"/>
        </w:rPr>
      </w:pPr>
      <w:r w:rsidRPr="009652D5">
        <w:rPr>
          <w:bCs/>
          <w:sz w:val="20"/>
          <w:szCs w:val="20"/>
        </w:rPr>
        <w:t>Залог, полученный в счет непогашенных кредитов</w:t>
      </w:r>
    </w:p>
    <w:p w:rsidR="006A3D1C" w:rsidRPr="009652D5" w:rsidRDefault="006A3D1C" w:rsidP="00567162">
      <w:pPr>
        <w:pStyle w:val="210"/>
        <w:shd w:val="clear" w:color="auto" w:fill="auto"/>
        <w:spacing w:line="230" w:lineRule="exact"/>
        <w:ind w:firstLine="0"/>
        <w:rPr>
          <w:b w:val="0"/>
          <w:sz w:val="20"/>
          <w:szCs w:val="20"/>
        </w:rPr>
      </w:pPr>
    </w:p>
    <w:p w:rsidR="0062600E" w:rsidRPr="009652D5" w:rsidRDefault="00567162" w:rsidP="00C06AC5">
      <w:pPr>
        <w:pStyle w:val="210"/>
        <w:shd w:val="clear" w:color="auto" w:fill="auto"/>
        <w:spacing w:line="230" w:lineRule="exact"/>
        <w:ind w:firstLine="0"/>
        <w:jc w:val="both"/>
        <w:rPr>
          <w:b w:val="0"/>
          <w:sz w:val="20"/>
          <w:szCs w:val="20"/>
        </w:rPr>
      </w:pPr>
      <w:r w:rsidRPr="009652D5">
        <w:rPr>
          <w:b w:val="0"/>
          <w:sz w:val="20"/>
          <w:szCs w:val="20"/>
        </w:rPr>
        <w:t xml:space="preserve">В 2014 году Банк изъял залоги за несвоевременное погашение задолженности от заемщиков в размере </w:t>
      </w:r>
      <w:r w:rsidR="006A3D1C" w:rsidRPr="009652D5">
        <w:rPr>
          <w:b w:val="0"/>
          <w:sz w:val="20"/>
          <w:szCs w:val="20"/>
        </w:rPr>
        <w:t xml:space="preserve">75 786 тысяч рублей </w:t>
      </w:r>
      <w:r w:rsidRPr="009652D5">
        <w:rPr>
          <w:b w:val="0"/>
          <w:sz w:val="20"/>
          <w:szCs w:val="20"/>
        </w:rPr>
        <w:t>(2013: 186</w:t>
      </w:r>
      <w:r w:rsidR="00223155" w:rsidRPr="009652D5">
        <w:rPr>
          <w:b w:val="0"/>
          <w:sz w:val="20"/>
          <w:szCs w:val="20"/>
        </w:rPr>
        <w:t>тысяч рублей</w:t>
      </w:r>
      <w:r w:rsidRPr="009652D5">
        <w:rPr>
          <w:b w:val="0"/>
          <w:sz w:val="20"/>
          <w:szCs w:val="20"/>
        </w:rPr>
        <w:t xml:space="preserve">). Залоги вошли в состав </w:t>
      </w:r>
      <w:r w:rsidR="00B52DFF">
        <w:rPr>
          <w:b w:val="0"/>
          <w:sz w:val="20"/>
          <w:szCs w:val="20"/>
        </w:rPr>
        <w:t xml:space="preserve">долгосрочных </w:t>
      </w:r>
      <w:r w:rsidR="00B52DFF" w:rsidRPr="009652D5">
        <w:rPr>
          <w:b w:val="0"/>
          <w:sz w:val="20"/>
          <w:szCs w:val="20"/>
        </w:rPr>
        <w:t>активов</w:t>
      </w:r>
      <w:r w:rsidRPr="009652D5">
        <w:rPr>
          <w:b w:val="0"/>
          <w:sz w:val="20"/>
          <w:szCs w:val="20"/>
        </w:rPr>
        <w:t>, удерживаемых для продажи</w:t>
      </w:r>
      <w:r w:rsidR="006A3D1C" w:rsidRPr="009652D5">
        <w:rPr>
          <w:b w:val="0"/>
          <w:sz w:val="20"/>
          <w:szCs w:val="20"/>
        </w:rPr>
        <w:t>,</w:t>
      </w:r>
      <w:r w:rsidRPr="009652D5">
        <w:rPr>
          <w:b w:val="0"/>
          <w:sz w:val="20"/>
          <w:szCs w:val="20"/>
        </w:rPr>
        <w:t xml:space="preserve"> в отчете о финансовом положении Банка по состоянию на 31 декабря 201</w:t>
      </w:r>
      <w:r w:rsidR="006A3D1C" w:rsidRPr="009652D5">
        <w:rPr>
          <w:b w:val="0"/>
          <w:sz w:val="20"/>
          <w:szCs w:val="20"/>
        </w:rPr>
        <w:t>4</w:t>
      </w:r>
      <w:r w:rsidRPr="009652D5">
        <w:rPr>
          <w:b w:val="0"/>
          <w:sz w:val="20"/>
          <w:szCs w:val="20"/>
        </w:rPr>
        <w:t xml:space="preserve"> года.</w:t>
      </w:r>
    </w:p>
    <w:p w:rsidR="0062600E" w:rsidRPr="009652D5" w:rsidRDefault="00567162" w:rsidP="00C06AC5">
      <w:pPr>
        <w:pStyle w:val="210"/>
        <w:shd w:val="clear" w:color="auto" w:fill="auto"/>
        <w:spacing w:line="180" w:lineRule="exact"/>
        <w:ind w:firstLine="0"/>
        <w:jc w:val="both"/>
        <w:rPr>
          <w:b w:val="0"/>
          <w:sz w:val="20"/>
          <w:szCs w:val="20"/>
        </w:rPr>
      </w:pPr>
      <w:r w:rsidRPr="009652D5">
        <w:rPr>
          <w:b w:val="0"/>
          <w:sz w:val="20"/>
          <w:szCs w:val="20"/>
        </w:rPr>
        <w:t>В течение 201</w:t>
      </w:r>
      <w:r w:rsidR="006A3D1C" w:rsidRPr="009652D5">
        <w:rPr>
          <w:b w:val="0"/>
          <w:sz w:val="20"/>
          <w:szCs w:val="20"/>
        </w:rPr>
        <w:t>4</w:t>
      </w:r>
      <w:r w:rsidRPr="009652D5">
        <w:rPr>
          <w:b w:val="0"/>
          <w:sz w:val="20"/>
          <w:szCs w:val="20"/>
        </w:rPr>
        <w:t xml:space="preserve"> года Банк продавал залоги, изъятые в предыдущих периодах (Прим</w:t>
      </w:r>
      <w:r w:rsidR="003606F4">
        <w:rPr>
          <w:b w:val="0"/>
          <w:sz w:val="20"/>
          <w:szCs w:val="20"/>
        </w:rPr>
        <w:t>ечание</w:t>
      </w:r>
      <w:r w:rsidRPr="009652D5">
        <w:rPr>
          <w:b w:val="0"/>
          <w:sz w:val="20"/>
          <w:szCs w:val="20"/>
        </w:rPr>
        <w:t>12).</w:t>
      </w:r>
    </w:p>
    <w:p w:rsidR="00AE00CE" w:rsidRPr="009652D5" w:rsidRDefault="00AE00CE" w:rsidP="00567162">
      <w:pPr>
        <w:pStyle w:val="210"/>
        <w:shd w:val="clear" w:color="auto" w:fill="auto"/>
        <w:spacing w:line="180" w:lineRule="exact"/>
        <w:ind w:firstLine="0"/>
        <w:rPr>
          <w:b w:val="0"/>
          <w:sz w:val="20"/>
          <w:szCs w:val="20"/>
        </w:rPr>
      </w:pPr>
    </w:p>
    <w:p w:rsidR="006758E8" w:rsidRPr="00B84D52" w:rsidRDefault="006758E8" w:rsidP="006758E8">
      <w:pPr>
        <w:pStyle w:val="310"/>
        <w:shd w:val="clear" w:color="auto" w:fill="auto"/>
        <w:spacing w:line="200" w:lineRule="exact"/>
        <w:ind w:firstLine="0"/>
        <w:jc w:val="left"/>
        <w:rPr>
          <w:rStyle w:val="34"/>
          <w:b/>
          <w:bCs/>
          <w:i/>
          <w:iCs/>
          <w:color w:val="000000"/>
        </w:rPr>
      </w:pPr>
      <w:r w:rsidRPr="00B84D52">
        <w:rPr>
          <w:rStyle w:val="34"/>
          <w:b/>
          <w:bCs/>
          <w:i/>
          <w:iCs/>
          <w:color w:val="000000"/>
        </w:rPr>
        <w:t>Страновой риск</w:t>
      </w:r>
    </w:p>
    <w:p w:rsidR="00567162" w:rsidRPr="009652D5" w:rsidRDefault="00567162" w:rsidP="00C06AC5">
      <w:pPr>
        <w:pStyle w:val="210"/>
        <w:shd w:val="clear" w:color="auto" w:fill="auto"/>
        <w:spacing w:line="240" w:lineRule="exact"/>
        <w:ind w:firstLine="0"/>
        <w:jc w:val="both"/>
        <w:rPr>
          <w:b w:val="0"/>
          <w:sz w:val="20"/>
          <w:szCs w:val="20"/>
        </w:rPr>
      </w:pPr>
      <w:r w:rsidRPr="009652D5">
        <w:rPr>
          <w:b w:val="0"/>
          <w:sz w:val="20"/>
          <w:szCs w:val="20"/>
        </w:rPr>
        <w:t>Банк в значительной мере подвержен географическому риску относительно России, поскольку преимущественно осуществляет операции с резидентами Российской Федерации.</w:t>
      </w:r>
    </w:p>
    <w:p w:rsidR="00BD7294" w:rsidRPr="009652D5" w:rsidRDefault="00BD7294" w:rsidP="00567162">
      <w:pPr>
        <w:pStyle w:val="210"/>
        <w:shd w:val="clear" w:color="auto" w:fill="auto"/>
        <w:spacing w:line="240" w:lineRule="exact"/>
        <w:ind w:firstLine="0"/>
        <w:rPr>
          <w:b w:val="0"/>
          <w:sz w:val="20"/>
          <w:szCs w:val="20"/>
        </w:rPr>
      </w:pPr>
    </w:p>
    <w:p w:rsidR="00BD7294" w:rsidRPr="009652D5" w:rsidRDefault="00BD7294" w:rsidP="00567162">
      <w:pPr>
        <w:pStyle w:val="210"/>
        <w:shd w:val="clear" w:color="auto" w:fill="auto"/>
        <w:spacing w:line="240" w:lineRule="exact"/>
        <w:ind w:firstLine="0"/>
        <w:rPr>
          <w:b w:val="0"/>
          <w:sz w:val="20"/>
          <w:szCs w:val="20"/>
        </w:rPr>
      </w:pPr>
    </w:p>
    <w:p w:rsidR="00BD7294" w:rsidRPr="009652D5" w:rsidRDefault="00BD7294" w:rsidP="003606F4">
      <w:pPr>
        <w:pStyle w:val="210"/>
        <w:shd w:val="clear" w:color="auto" w:fill="auto"/>
        <w:spacing w:line="240" w:lineRule="exact"/>
        <w:ind w:firstLine="0"/>
        <w:jc w:val="both"/>
        <w:rPr>
          <w:b w:val="0"/>
          <w:sz w:val="20"/>
          <w:szCs w:val="20"/>
        </w:rPr>
      </w:pPr>
      <w:r w:rsidRPr="009652D5">
        <w:rPr>
          <w:b w:val="0"/>
          <w:sz w:val="20"/>
          <w:szCs w:val="20"/>
        </w:rPr>
        <w:t>Далее представлен географический анализ активов и обязательств Банка по состоянию за 31 декабря 2014 года:</w:t>
      </w:r>
    </w:p>
    <w:p w:rsidR="00BD7294" w:rsidRPr="009652D5" w:rsidRDefault="00BD7294" w:rsidP="00567162">
      <w:pPr>
        <w:pStyle w:val="210"/>
        <w:shd w:val="clear" w:color="auto" w:fill="auto"/>
        <w:spacing w:line="240" w:lineRule="exact"/>
        <w:ind w:firstLine="0"/>
        <w:rPr>
          <w:b w:val="0"/>
          <w:sz w:val="20"/>
          <w:szCs w:val="20"/>
        </w:rPr>
      </w:pPr>
    </w:p>
    <w:tbl>
      <w:tblPr>
        <w:tblW w:w="5000" w:type="pct"/>
        <w:tblLook w:val="04A0"/>
      </w:tblPr>
      <w:tblGrid>
        <w:gridCol w:w="2961"/>
        <w:gridCol w:w="1430"/>
        <w:gridCol w:w="2077"/>
        <w:gridCol w:w="1925"/>
        <w:gridCol w:w="1430"/>
      </w:tblGrid>
      <w:tr w:rsidR="00C42E58" w:rsidRPr="009652D5" w:rsidTr="000E5915">
        <w:trPr>
          <w:trHeight w:val="300"/>
        </w:trPr>
        <w:tc>
          <w:tcPr>
            <w:tcW w:w="1507" w:type="pct"/>
            <w:tcBorders>
              <w:top w:val="nil"/>
              <w:left w:val="nil"/>
              <w:bottom w:val="nil"/>
              <w:right w:val="nil"/>
            </w:tcBorders>
            <w:shd w:val="clear" w:color="auto" w:fill="auto"/>
            <w:noWrap/>
            <w:vAlign w:val="bottom"/>
            <w:hideMark/>
          </w:tcPr>
          <w:p w:rsidR="00C42E58" w:rsidRPr="009652D5" w:rsidRDefault="00C42E58" w:rsidP="00C42E58">
            <w:pPr>
              <w:jc w:val="center"/>
              <w:rPr>
                <w:rFonts w:cs="Arial"/>
                <w:b/>
                <w:bCs/>
                <w:color w:val="000000"/>
                <w:sz w:val="20"/>
                <w:lang w:val="ru-RU"/>
              </w:rPr>
            </w:pPr>
          </w:p>
        </w:tc>
        <w:tc>
          <w:tcPr>
            <w:tcW w:w="728" w:type="pct"/>
            <w:tcBorders>
              <w:top w:val="nil"/>
              <w:left w:val="nil"/>
              <w:bottom w:val="single" w:sz="4" w:space="0" w:color="auto"/>
              <w:right w:val="nil"/>
            </w:tcBorders>
            <w:shd w:val="clear" w:color="auto" w:fill="auto"/>
            <w:noWrap/>
            <w:vAlign w:val="bottom"/>
            <w:hideMark/>
          </w:tcPr>
          <w:p w:rsidR="00C42E58" w:rsidRPr="009652D5" w:rsidRDefault="00C42E58" w:rsidP="00C42E58">
            <w:pPr>
              <w:jc w:val="center"/>
              <w:rPr>
                <w:rFonts w:cs="Arial"/>
                <w:b/>
                <w:bCs/>
                <w:color w:val="000000"/>
                <w:sz w:val="20"/>
                <w:lang w:val="ru-RU"/>
              </w:rPr>
            </w:pPr>
            <w:r w:rsidRPr="009652D5">
              <w:rPr>
                <w:rFonts w:cs="Arial"/>
                <w:b/>
                <w:bCs/>
                <w:color w:val="000000"/>
                <w:sz w:val="20"/>
                <w:lang w:val="ru-RU"/>
              </w:rPr>
              <w:t>Россия</w:t>
            </w:r>
          </w:p>
        </w:tc>
        <w:tc>
          <w:tcPr>
            <w:tcW w:w="1057" w:type="pct"/>
            <w:tcBorders>
              <w:top w:val="nil"/>
              <w:left w:val="nil"/>
              <w:bottom w:val="single" w:sz="4" w:space="0" w:color="auto"/>
              <w:right w:val="nil"/>
            </w:tcBorders>
            <w:shd w:val="clear" w:color="auto" w:fill="auto"/>
            <w:noWrap/>
            <w:vAlign w:val="bottom"/>
            <w:hideMark/>
          </w:tcPr>
          <w:p w:rsidR="00C42E58" w:rsidRPr="009652D5" w:rsidRDefault="00C42E58" w:rsidP="00C42E58">
            <w:pPr>
              <w:jc w:val="center"/>
              <w:rPr>
                <w:rFonts w:cs="Arial"/>
                <w:b/>
                <w:bCs/>
                <w:color w:val="000000"/>
                <w:sz w:val="20"/>
                <w:lang w:val="ru-RU"/>
              </w:rPr>
            </w:pPr>
            <w:r w:rsidRPr="009652D5">
              <w:rPr>
                <w:rFonts w:cs="Arial"/>
                <w:b/>
                <w:bCs/>
                <w:color w:val="000000"/>
                <w:sz w:val="20"/>
                <w:lang w:val="ru-RU"/>
              </w:rPr>
              <w:t>ОЭСР</w:t>
            </w:r>
          </w:p>
        </w:tc>
        <w:tc>
          <w:tcPr>
            <w:tcW w:w="980" w:type="pct"/>
            <w:tcBorders>
              <w:top w:val="nil"/>
              <w:left w:val="nil"/>
              <w:bottom w:val="single" w:sz="4" w:space="0" w:color="auto"/>
              <w:right w:val="nil"/>
            </w:tcBorders>
            <w:shd w:val="clear" w:color="auto" w:fill="auto"/>
            <w:noWrap/>
            <w:vAlign w:val="bottom"/>
            <w:hideMark/>
          </w:tcPr>
          <w:p w:rsidR="00C42E58" w:rsidRPr="009652D5" w:rsidRDefault="00C42E58" w:rsidP="00C42E58">
            <w:pPr>
              <w:jc w:val="center"/>
              <w:rPr>
                <w:rFonts w:cs="Arial"/>
                <w:b/>
                <w:bCs/>
                <w:color w:val="000000"/>
                <w:sz w:val="20"/>
                <w:lang w:val="ru-RU"/>
              </w:rPr>
            </w:pPr>
            <w:r w:rsidRPr="009652D5">
              <w:rPr>
                <w:rFonts w:cs="Arial"/>
                <w:b/>
                <w:bCs/>
                <w:color w:val="000000"/>
                <w:sz w:val="20"/>
                <w:lang w:val="ru-RU"/>
              </w:rPr>
              <w:t>Другие страны</w:t>
            </w:r>
          </w:p>
        </w:tc>
        <w:tc>
          <w:tcPr>
            <w:tcW w:w="728" w:type="pct"/>
            <w:tcBorders>
              <w:top w:val="nil"/>
              <w:left w:val="nil"/>
              <w:bottom w:val="single" w:sz="4" w:space="0" w:color="auto"/>
              <w:right w:val="nil"/>
            </w:tcBorders>
            <w:shd w:val="clear" w:color="auto" w:fill="auto"/>
            <w:noWrap/>
            <w:vAlign w:val="bottom"/>
            <w:hideMark/>
          </w:tcPr>
          <w:p w:rsidR="00C42E58" w:rsidRPr="009652D5" w:rsidRDefault="00C42E58" w:rsidP="00C42E58">
            <w:pPr>
              <w:jc w:val="center"/>
              <w:rPr>
                <w:rFonts w:cs="Arial"/>
                <w:b/>
                <w:bCs/>
                <w:color w:val="000000"/>
                <w:sz w:val="20"/>
                <w:lang w:val="ru-RU"/>
              </w:rPr>
            </w:pPr>
            <w:r w:rsidRPr="009652D5">
              <w:rPr>
                <w:rFonts w:cs="Arial"/>
                <w:b/>
                <w:bCs/>
                <w:color w:val="000000"/>
                <w:sz w:val="20"/>
                <w:lang w:val="ru-RU"/>
              </w:rPr>
              <w:t>Итого</w:t>
            </w:r>
          </w:p>
        </w:tc>
      </w:tr>
      <w:tr w:rsidR="00C42E58" w:rsidRPr="009652D5" w:rsidTr="000E5915">
        <w:trPr>
          <w:trHeight w:val="300"/>
        </w:trPr>
        <w:tc>
          <w:tcPr>
            <w:tcW w:w="1507" w:type="pct"/>
            <w:tcBorders>
              <w:top w:val="nil"/>
              <w:left w:val="nil"/>
              <w:bottom w:val="nil"/>
              <w:right w:val="nil"/>
            </w:tcBorders>
            <w:shd w:val="clear" w:color="auto" w:fill="auto"/>
            <w:noWrap/>
            <w:vAlign w:val="bottom"/>
            <w:hideMark/>
          </w:tcPr>
          <w:p w:rsidR="00C42E58" w:rsidRPr="009652D5" w:rsidRDefault="00C42E58" w:rsidP="00C42E58">
            <w:pPr>
              <w:rPr>
                <w:rFonts w:cs="Arial"/>
                <w:b/>
                <w:bCs/>
                <w:color w:val="000000"/>
                <w:sz w:val="20"/>
                <w:lang w:val="ru-RU"/>
              </w:rPr>
            </w:pPr>
            <w:r w:rsidRPr="009652D5">
              <w:rPr>
                <w:rFonts w:cs="Arial"/>
                <w:b/>
                <w:bCs/>
                <w:color w:val="000000"/>
                <w:sz w:val="20"/>
                <w:lang w:val="ru-RU"/>
              </w:rPr>
              <w:t>Активы</w:t>
            </w:r>
          </w:p>
        </w:tc>
        <w:tc>
          <w:tcPr>
            <w:tcW w:w="728" w:type="pct"/>
            <w:tcBorders>
              <w:top w:val="nil"/>
              <w:left w:val="nil"/>
              <w:bottom w:val="nil"/>
              <w:right w:val="nil"/>
            </w:tcBorders>
            <w:shd w:val="clear" w:color="auto" w:fill="auto"/>
            <w:noWrap/>
            <w:vAlign w:val="bottom"/>
            <w:hideMark/>
          </w:tcPr>
          <w:p w:rsidR="00C42E58" w:rsidRPr="009652D5" w:rsidRDefault="00C42E58" w:rsidP="00C42E58">
            <w:pPr>
              <w:jc w:val="center"/>
              <w:rPr>
                <w:rFonts w:cs="Arial"/>
                <w:color w:val="000000"/>
                <w:sz w:val="20"/>
                <w:lang w:val="ru-RU"/>
              </w:rPr>
            </w:pPr>
          </w:p>
        </w:tc>
        <w:tc>
          <w:tcPr>
            <w:tcW w:w="1057" w:type="pct"/>
            <w:tcBorders>
              <w:top w:val="nil"/>
              <w:left w:val="nil"/>
              <w:bottom w:val="nil"/>
              <w:right w:val="nil"/>
            </w:tcBorders>
            <w:shd w:val="clear" w:color="auto" w:fill="auto"/>
            <w:noWrap/>
            <w:vAlign w:val="bottom"/>
            <w:hideMark/>
          </w:tcPr>
          <w:p w:rsidR="00C42E58" w:rsidRPr="009652D5" w:rsidRDefault="00C42E58" w:rsidP="00C42E58">
            <w:pPr>
              <w:jc w:val="center"/>
              <w:rPr>
                <w:rFonts w:cs="Arial"/>
                <w:color w:val="000000"/>
                <w:sz w:val="20"/>
                <w:lang w:val="ru-RU"/>
              </w:rPr>
            </w:pPr>
          </w:p>
        </w:tc>
        <w:tc>
          <w:tcPr>
            <w:tcW w:w="980" w:type="pct"/>
            <w:tcBorders>
              <w:top w:val="nil"/>
              <w:left w:val="nil"/>
              <w:bottom w:val="nil"/>
              <w:right w:val="nil"/>
            </w:tcBorders>
            <w:shd w:val="clear" w:color="auto" w:fill="auto"/>
            <w:noWrap/>
            <w:vAlign w:val="bottom"/>
            <w:hideMark/>
          </w:tcPr>
          <w:p w:rsidR="00C42E58" w:rsidRPr="009652D5" w:rsidRDefault="00C42E58" w:rsidP="00C42E58">
            <w:pPr>
              <w:jc w:val="center"/>
              <w:rPr>
                <w:rFonts w:cs="Arial"/>
                <w:color w:val="000000"/>
                <w:sz w:val="20"/>
                <w:lang w:val="ru-RU"/>
              </w:rPr>
            </w:pPr>
          </w:p>
        </w:tc>
        <w:tc>
          <w:tcPr>
            <w:tcW w:w="728" w:type="pct"/>
            <w:tcBorders>
              <w:top w:val="nil"/>
              <w:left w:val="nil"/>
              <w:bottom w:val="nil"/>
              <w:right w:val="nil"/>
            </w:tcBorders>
            <w:shd w:val="clear" w:color="auto" w:fill="auto"/>
            <w:noWrap/>
            <w:vAlign w:val="bottom"/>
            <w:hideMark/>
          </w:tcPr>
          <w:p w:rsidR="00C42E58" w:rsidRPr="009652D5" w:rsidRDefault="00C42E58" w:rsidP="00C42E58">
            <w:pPr>
              <w:jc w:val="center"/>
              <w:rPr>
                <w:rFonts w:cs="Arial"/>
                <w:b/>
                <w:bCs/>
                <w:color w:val="000000"/>
                <w:sz w:val="20"/>
                <w:lang w:val="ru-RU"/>
              </w:rPr>
            </w:pPr>
          </w:p>
        </w:tc>
      </w:tr>
      <w:tr w:rsidR="00C42E58" w:rsidRPr="009652D5" w:rsidTr="000E5915">
        <w:trPr>
          <w:trHeight w:val="6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Денежные средства и их эквиваленты</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722 069</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3 117</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725 186</w:t>
            </w:r>
          </w:p>
        </w:tc>
      </w:tr>
      <w:tr w:rsidR="00C42E58" w:rsidRPr="009652D5" w:rsidTr="000E5915">
        <w:trPr>
          <w:trHeight w:val="600"/>
        </w:trPr>
        <w:tc>
          <w:tcPr>
            <w:tcW w:w="1507" w:type="pct"/>
            <w:tcBorders>
              <w:top w:val="nil"/>
              <w:left w:val="nil"/>
              <w:bottom w:val="nil"/>
              <w:right w:val="nil"/>
            </w:tcBorders>
            <w:shd w:val="clear" w:color="auto" w:fill="auto"/>
            <w:vAlign w:val="bottom"/>
            <w:hideMark/>
          </w:tcPr>
          <w:p w:rsidR="00C42E58" w:rsidRPr="009652D5" w:rsidRDefault="00C42E58" w:rsidP="008F0A94">
            <w:pPr>
              <w:rPr>
                <w:rFonts w:cs="Arial"/>
                <w:color w:val="000000"/>
                <w:sz w:val="20"/>
                <w:lang w:val="ru-RU"/>
              </w:rPr>
            </w:pPr>
            <w:r w:rsidRPr="009652D5">
              <w:rPr>
                <w:rFonts w:cs="Arial"/>
                <w:color w:val="000000"/>
                <w:sz w:val="20"/>
                <w:lang w:val="ru-RU"/>
              </w:rPr>
              <w:t xml:space="preserve">Обязательные резервы </w:t>
            </w:r>
            <w:r w:rsidR="00026FF2" w:rsidRPr="009652D5">
              <w:rPr>
                <w:rFonts w:cs="Arial"/>
                <w:sz w:val="20"/>
                <w:lang w:val="ru-RU"/>
              </w:rPr>
              <w:t>в Банке  России</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1 396 639</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1 396 639</w:t>
            </w:r>
          </w:p>
        </w:tc>
      </w:tr>
      <w:tr w:rsidR="00C42E58" w:rsidRPr="009652D5" w:rsidTr="000E5915">
        <w:trPr>
          <w:trHeight w:val="6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Средства в других банках</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43 799</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43 799</w:t>
            </w:r>
          </w:p>
        </w:tc>
      </w:tr>
      <w:tr w:rsidR="00C42E58" w:rsidRPr="009652D5" w:rsidTr="000E5915">
        <w:trPr>
          <w:trHeight w:val="3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Кредиты клиентам</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10 757 831</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250</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217 172</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10 975 253</w:t>
            </w:r>
          </w:p>
        </w:tc>
      </w:tr>
      <w:tr w:rsidR="00C42E58" w:rsidRPr="009652D5" w:rsidTr="000E5915">
        <w:trPr>
          <w:trHeight w:val="9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Ценные бумаги, имеющиеся в наличии для продажи</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278 590</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278 590</w:t>
            </w:r>
          </w:p>
        </w:tc>
      </w:tr>
      <w:tr w:rsidR="00C42E58" w:rsidRPr="009652D5" w:rsidTr="000E5915">
        <w:trPr>
          <w:trHeight w:val="6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Переплата по налогу на прибыль</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92 973</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92 973</w:t>
            </w:r>
          </w:p>
        </w:tc>
      </w:tr>
      <w:tr w:rsidR="00C42E58" w:rsidRPr="009652D5" w:rsidTr="000E5915">
        <w:trPr>
          <w:trHeight w:val="9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 xml:space="preserve">Прочие активы и дебиторская задолженность </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52 376</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52 376</w:t>
            </w:r>
          </w:p>
        </w:tc>
      </w:tr>
      <w:tr w:rsidR="00C42E58" w:rsidRPr="009652D5" w:rsidTr="000E5915">
        <w:trPr>
          <w:trHeight w:val="1200"/>
        </w:trPr>
        <w:tc>
          <w:tcPr>
            <w:tcW w:w="1507" w:type="pct"/>
            <w:tcBorders>
              <w:top w:val="nil"/>
              <w:left w:val="nil"/>
              <w:bottom w:val="nil"/>
              <w:right w:val="nil"/>
            </w:tcBorders>
            <w:shd w:val="clear" w:color="auto" w:fill="auto"/>
            <w:vAlign w:val="bottom"/>
            <w:hideMark/>
          </w:tcPr>
          <w:p w:rsidR="00C42E58" w:rsidRPr="009652D5" w:rsidRDefault="008F0A94" w:rsidP="00C42E58">
            <w:pPr>
              <w:rPr>
                <w:rFonts w:cs="Arial"/>
                <w:color w:val="000000"/>
                <w:sz w:val="20"/>
                <w:lang w:val="ru-RU"/>
              </w:rPr>
            </w:pPr>
            <w:r>
              <w:rPr>
                <w:rFonts w:cs="Arial"/>
                <w:color w:val="000000"/>
                <w:sz w:val="20"/>
                <w:lang w:val="ru-RU"/>
              </w:rPr>
              <w:t>Долгосрочные</w:t>
            </w:r>
            <w:r w:rsidR="00B84D52">
              <w:rPr>
                <w:rFonts w:cs="Arial"/>
                <w:color w:val="000000"/>
                <w:sz w:val="20"/>
                <w:lang w:val="ru-RU"/>
              </w:rPr>
              <w:t xml:space="preserve"> </w:t>
            </w:r>
            <w:r w:rsidR="00C42E58" w:rsidRPr="009652D5">
              <w:rPr>
                <w:rFonts w:cs="Arial"/>
                <w:color w:val="000000"/>
                <w:sz w:val="20"/>
                <w:lang w:val="ru-RU"/>
              </w:rPr>
              <w:t>активы, предназначенные для продажи</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91 631</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91 631</w:t>
            </w:r>
          </w:p>
        </w:tc>
      </w:tr>
      <w:tr w:rsidR="00C42E58" w:rsidRPr="009652D5" w:rsidTr="000E5915">
        <w:trPr>
          <w:trHeight w:val="600"/>
        </w:trPr>
        <w:tc>
          <w:tcPr>
            <w:tcW w:w="1507" w:type="pct"/>
            <w:tcBorders>
              <w:top w:val="nil"/>
              <w:left w:val="nil"/>
              <w:bottom w:val="nil"/>
              <w:right w:val="nil"/>
            </w:tcBorders>
            <w:shd w:val="clear" w:color="auto" w:fill="auto"/>
            <w:vAlign w:val="bottom"/>
            <w:hideMark/>
          </w:tcPr>
          <w:p w:rsidR="00C42E58" w:rsidRPr="009652D5" w:rsidRDefault="00C42E58" w:rsidP="000E5915">
            <w:pPr>
              <w:rPr>
                <w:rFonts w:cs="Arial"/>
                <w:color w:val="000000"/>
                <w:sz w:val="20"/>
                <w:lang w:val="ru-RU"/>
              </w:rPr>
            </w:pPr>
            <w:r w:rsidRPr="009652D5">
              <w:rPr>
                <w:rFonts w:cs="Arial"/>
                <w:color w:val="000000"/>
                <w:sz w:val="20"/>
                <w:lang w:val="ru-RU"/>
              </w:rPr>
              <w:t xml:space="preserve">Инвестиционная </w:t>
            </w:r>
            <w:r w:rsidR="000E5915" w:rsidRPr="009652D5">
              <w:rPr>
                <w:rFonts w:cs="Arial"/>
                <w:color w:val="000000"/>
                <w:sz w:val="20"/>
                <w:lang w:val="ru-RU"/>
              </w:rPr>
              <w:t>недвижимость</w:t>
            </w:r>
          </w:p>
        </w:tc>
        <w:tc>
          <w:tcPr>
            <w:tcW w:w="728" w:type="pct"/>
            <w:tcBorders>
              <w:top w:val="nil"/>
              <w:left w:val="nil"/>
              <w:bottom w:val="nil"/>
              <w:right w:val="nil"/>
            </w:tcBorders>
            <w:shd w:val="clear" w:color="auto" w:fill="auto"/>
            <w:noWrap/>
            <w:vAlign w:val="bottom"/>
            <w:hideMark/>
          </w:tcPr>
          <w:p w:rsidR="00C42E58" w:rsidRPr="009652D5" w:rsidRDefault="00CD5A5A" w:rsidP="00CD0FC1">
            <w:pPr>
              <w:jc w:val="right"/>
              <w:rPr>
                <w:rFonts w:cs="Arial"/>
                <w:color w:val="000000"/>
                <w:sz w:val="20"/>
                <w:lang w:val="ru-RU"/>
              </w:rPr>
            </w:pPr>
            <w:r w:rsidRPr="009652D5">
              <w:rPr>
                <w:rFonts w:cs="Arial"/>
                <w:color w:val="000000"/>
                <w:sz w:val="20"/>
                <w:lang w:val="ru-RU"/>
              </w:rPr>
              <w:t>-</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D5A5A" w:rsidP="00CD0FC1">
            <w:pPr>
              <w:jc w:val="right"/>
              <w:rPr>
                <w:rFonts w:cs="Arial"/>
                <w:color w:val="000000"/>
                <w:sz w:val="20"/>
                <w:lang w:val="ru-RU"/>
              </w:rPr>
            </w:pPr>
            <w:r w:rsidRPr="009652D5">
              <w:rPr>
                <w:rFonts w:cs="Arial"/>
                <w:color w:val="000000"/>
                <w:sz w:val="20"/>
                <w:lang w:val="ru-RU"/>
              </w:rPr>
              <w:t>-</w:t>
            </w:r>
          </w:p>
        </w:tc>
      </w:tr>
      <w:tr w:rsidR="00C42E58" w:rsidRPr="009652D5" w:rsidTr="000E5915">
        <w:trPr>
          <w:trHeight w:val="9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lastRenderedPageBreak/>
              <w:t>Основные средства и нематериальные активы</w:t>
            </w:r>
          </w:p>
        </w:tc>
        <w:tc>
          <w:tcPr>
            <w:tcW w:w="728" w:type="pct"/>
            <w:tcBorders>
              <w:top w:val="nil"/>
              <w:left w:val="nil"/>
              <w:bottom w:val="single" w:sz="4" w:space="0" w:color="auto"/>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 xml:space="preserve">1 932 </w:t>
            </w:r>
            <w:r w:rsidR="000E5915" w:rsidRPr="009652D5">
              <w:rPr>
                <w:rFonts w:cs="Arial"/>
                <w:color w:val="000000"/>
                <w:sz w:val="20"/>
                <w:lang w:val="ru-RU"/>
              </w:rPr>
              <w:t>770</w:t>
            </w:r>
          </w:p>
        </w:tc>
        <w:tc>
          <w:tcPr>
            <w:tcW w:w="1057" w:type="pct"/>
            <w:tcBorders>
              <w:top w:val="nil"/>
              <w:left w:val="nil"/>
              <w:bottom w:val="single" w:sz="4" w:space="0" w:color="auto"/>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single" w:sz="4" w:space="0" w:color="auto"/>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single" w:sz="4" w:space="0" w:color="auto"/>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 xml:space="preserve">1 932 </w:t>
            </w:r>
            <w:r w:rsidR="000E5915" w:rsidRPr="009652D5">
              <w:rPr>
                <w:rFonts w:cs="Arial"/>
                <w:color w:val="000000"/>
                <w:sz w:val="20"/>
                <w:lang w:val="ru-RU"/>
              </w:rPr>
              <w:t>770</w:t>
            </w:r>
          </w:p>
        </w:tc>
      </w:tr>
      <w:tr w:rsidR="000E5915" w:rsidRPr="009652D5" w:rsidTr="000E5915">
        <w:trPr>
          <w:trHeight w:val="300"/>
        </w:trPr>
        <w:tc>
          <w:tcPr>
            <w:tcW w:w="1507" w:type="pct"/>
            <w:tcBorders>
              <w:top w:val="nil"/>
              <w:left w:val="nil"/>
              <w:bottom w:val="nil"/>
              <w:right w:val="nil"/>
            </w:tcBorders>
            <w:shd w:val="clear" w:color="auto" w:fill="auto"/>
            <w:noWrap/>
            <w:vAlign w:val="bottom"/>
            <w:hideMark/>
          </w:tcPr>
          <w:p w:rsidR="000E5915" w:rsidRPr="009652D5" w:rsidRDefault="000E5915" w:rsidP="00C42E58">
            <w:pPr>
              <w:rPr>
                <w:rFonts w:cs="Arial"/>
                <w:b/>
                <w:bCs/>
                <w:color w:val="000000"/>
                <w:sz w:val="20"/>
                <w:lang w:val="ru-RU"/>
              </w:rPr>
            </w:pPr>
            <w:r w:rsidRPr="009652D5">
              <w:rPr>
                <w:rFonts w:cs="Arial"/>
                <w:b/>
                <w:bCs/>
                <w:color w:val="000000"/>
                <w:sz w:val="20"/>
                <w:lang w:val="ru-RU"/>
              </w:rPr>
              <w:t>Итого активов</w:t>
            </w:r>
          </w:p>
        </w:tc>
        <w:tc>
          <w:tcPr>
            <w:tcW w:w="728" w:type="pct"/>
            <w:tcBorders>
              <w:top w:val="nil"/>
              <w:left w:val="nil"/>
              <w:bottom w:val="nil"/>
              <w:right w:val="nil"/>
            </w:tcBorders>
            <w:shd w:val="clear" w:color="auto" w:fill="auto"/>
            <w:noWrap/>
            <w:vAlign w:val="bottom"/>
            <w:hideMark/>
          </w:tcPr>
          <w:p w:rsidR="000E5915" w:rsidRPr="009652D5" w:rsidRDefault="000E5915" w:rsidP="00CD0FC1">
            <w:pPr>
              <w:jc w:val="right"/>
              <w:rPr>
                <w:rFonts w:cs="Arial"/>
                <w:b/>
                <w:bCs/>
                <w:sz w:val="20"/>
                <w:lang w:val="ru-RU"/>
              </w:rPr>
            </w:pPr>
            <w:r w:rsidRPr="009652D5">
              <w:rPr>
                <w:rFonts w:cs="Arial"/>
                <w:b/>
                <w:sz w:val="20"/>
              </w:rPr>
              <w:t>15 368 678</w:t>
            </w:r>
          </w:p>
        </w:tc>
        <w:tc>
          <w:tcPr>
            <w:tcW w:w="1057" w:type="pct"/>
            <w:tcBorders>
              <w:top w:val="nil"/>
              <w:left w:val="nil"/>
              <w:bottom w:val="nil"/>
              <w:right w:val="nil"/>
            </w:tcBorders>
            <w:shd w:val="clear" w:color="auto" w:fill="auto"/>
            <w:noWrap/>
            <w:vAlign w:val="bottom"/>
            <w:hideMark/>
          </w:tcPr>
          <w:p w:rsidR="000E5915" w:rsidRPr="009652D5" w:rsidRDefault="00673D8B" w:rsidP="00CD0FC1">
            <w:pPr>
              <w:jc w:val="right"/>
              <w:rPr>
                <w:rFonts w:cs="Arial"/>
                <w:b/>
                <w:bCs/>
                <w:sz w:val="20"/>
                <w:lang w:val="ru-RU"/>
              </w:rPr>
            </w:pPr>
            <w:r>
              <w:rPr>
                <w:rFonts w:cs="Arial"/>
                <w:b/>
                <w:sz w:val="20"/>
              </w:rPr>
              <w:t>3 367</w:t>
            </w:r>
          </w:p>
        </w:tc>
        <w:tc>
          <w:tcPr>
            <w:tcW w:w="980" w:type="pct"/>
            <w:tcBorders>
              <w:top w:val="nil"/>
              <w:left w:val="nil"/>
              <w:bottom w:val="nil"/>
              <w:right w:val="nil"/>
            </w:tcBorders>
            <w:shd w:val="clear" w:color="auto" w:fill="auto"/>
            <w:noWrap/>
            <w:vAlign w:val="bottom"/>
            <w:hideMark/>
          </w:tcPr>
          <w:p w:rsidR="000E5915" w:rsidRPr="009652D5" w:rsidRDefault="000E5915" w:rsidP="00CD0FC1">
            <w:pPr>
              <w:jc w:val="right"/>
              <w:rPr>
                <w:rFonts w:cs="Arial"/>
                <w:b/>
                <w:bCs/>
                <w:sz w:val="20"/>
                <w:lang w:val="ru-RU"/>
              </w:rPr>
            </w:pPr>
            <w:r w:rsidRPr="009652D5">
              <w:rPr>
                <w:rFonts w:cs="Arial"/>
                <w:b/>
                <w:sz w:val="20"/>
              </w:rPr>
              <w:t>217 172</w:t>
            </w:r>
          </w:p>
        </w:tc>
        <w:tc>
          <w:tcPr>
            <w:tcW w:w="728" w:type="pct"/>
            <w:tcBorders>
              <w:top w:val="nil"/>
              <w:left w:val="nil"/>
              <w:bottom w:val="nil"/>
              <w:right w:val="nil"/>
            </w:tcBorders>
            <w:shd w:val="clear" w:color="auto" w:fill="auto"/>
            <w:noWrap/>
            <w:vAlign w:val="bottom"/>
            <w:hideMark/>
          </w:tcPr>
          <w:p w:rsidR="000E5915" w:rsidRPr="009652D5" w:rsidRDefault="000E5915" w:rsidP="00CD0FC1">
            <w:pPr>
              <w:jc w:val="right"/>
              <w:rPr>
                <w:rFonts w:cs="Arial"/>
                <w:b/>
                <w:bCs/>
                <w:sz w:val="20"/>
                <w:lang w:val="ru-RU"/>
              </w:rPr>
            </w:pPr>
            <w:r w:rsidRPr="009652D5">
              <w:rPr>
                <w:rFonts w:cs="Arial"/>
                <w:b/>
                <w:sz w:val="20"/>
              </w:rPr>
              <w:t>15 589 217</w:t>
            </w:r>
          </w:p>
        </w:tc>
      </w:tr>
      <w:tr w:rsidR="00C42E58" w:rsidRPr="009652D5" w:rsidTr="000E5915">
        <w:trPr>
          <w:trHeight w:val="300"/>
        </w:trPr>
        <w:tc>
          <w:tcPr>
            <w:tcW w:w="1507" w:type="pct"/>
            <w:tcBorders>
              <w:top w:val="nil"/>
              <w:left w:val="nil"/>
              <w:bottom w:val="nil"/>
              <w:right w:val="nil"/>
            </w:tcBorders>
            <w:shd w:val="clear" w:color="auto" w:fill="auto"/>
            <w:noWrap/>
            <w:vAlign w:val="bottom"/>
            <w:hideMark/>
          </w:tcPr>
          <w:p w:rsidR="00C42E58" w:rsidRPr="009652D5" w:rsidRDefault="00C42E58" w:rsidP="00C42E58">
            <w:pPr>
              <w:rPr>
                <w:rFonts w:cs="Arial"/>
                <w:color w:val="000000"/>
                <w:sz w:val="20"/>
                <w:lang w:val="ru-RU"/>
              </w:rPr>
            </w:pP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b/>
                <w:bCs/>
                <w:color w:val="000000"/>
                <w:sz w:val="20"/>
                <w:lang w:val="ru-RU"/>
              </w:rPr>
            </w:pPr>
          </w:p>
        </w:tc>
      </w:tr>
      <w:tr w:rsidR="00C42E58" w:rsidRPr="009652D5" w:rsidTr="000E5915">
        <w:trPr>
          <w:trHeight w:val="300"/>
        </w:trPr>
        <w:tc>
          <w:tcPr>
            <w:tcW w:w="1507" w:type="pct"/>
            <w:tcBorders>
              <w:top w:val="nil"/>
              <w:left w:val="nil"/>
              <w:bottom w:val="nil"/>
              <w:right w:val="nil"/>
            </w:tcBorders>
            <w:shd w:val="clear" w:color="auto" w:fill="auto"/>
            <w:noWrap/>
            <w:vAlign w:val="bottom"/>
            <w:hideMark/>
          </w:tcPr>
          <w:p w:rsidR="00C42E58" w:rsidRPr="009652D5" w:rsidRDefault="00C42E58" w:rsidP="00C42E58">
            <w:pPr>
              <w:rPr>
                <w:rFonts w:cs="Arial"/>
                <w:b/>
                <w:bCs/>
                <w:color w:val="000000"/>
                <w:sz w:val="20"/>
                <w:lang w:val="ru-RU"/>
              </w:rPr>
            </w:pPr>
            <w:r w:rsidRPr="009652D5">
              <w:rPr>
                <w:rFonts w:cs="Arial"/>
                <w:b/>
                <w:bCs/>
                <w:color w:val="000000"/>
                <w:sz w:val="20"/>
                <w:lang w:val="ru-RU"/>
              </w:rPr>
              <w:t>Обязательства</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b/>
                <w:bCs/>
                <w:color w:val="000000"/>
                <w:sz w:val="20"/>
                <w:lang w:val="ru-RU"/>
              </w:rPr>
            </w:pPr>
          </w:p>
        </w:tc>
      </w:tr>
      <w:tr w:rsidR="00C42E58" w:rsidRPr="009652D5" w:rsidTr="000E5915">
        <w:trPr>
          <w:trHeight w:val="6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Средства других банков</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410 934</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449</w:t>
            </w:r>
          </w:p>
        </w:tc>
        <w:tc>
          <w:tcPr>
            <w:tcW w:w="980" w:type="pct"/>
            <w:tcBorders>
              <w:top w:val="nil"/>
              <w:left w:val="nil"/>
              <w:bottom w:val="nil"/>
              <w:right w:val="nil"/>
            </w:tcBorders>
            <w:shd w:val="clear" w:color="auto" w:fill="auto"/>
            <w:noWrap/>
            <w:vAlign w:val="bottom"/>
            <w:hideMark/>
          </w:tcPr>
          <w:p w:rsidR="00C42E58" w:rsidRPr="009652D5" w:rsidRDefault="00C9384F"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411 383</w:t>
            </w:r>
          </w:p>
        </w:tc>
      </w:tr>
      <w:tr w:rsidR="00C42E58" w:rsidRPr="009652D5" w:rsidTr="000E5915">
        <w:trPr>
          <w:trHeight w:val="3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Средства клиентов</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39 835 873</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103</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90 827</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39 926 803</w:t>
            </w:r>
          </w:p>
        </w:tc>
      </w:tr>
      <w:tr w:rsidR="00C42E58" w:rsidRPr="009652D5" w:rsidTr="000E5915">
        <w:trPr>
          <w:trHeight w:val="900"/>
        </w:trPr>
        <w:tc>
          <w:tcPr>
            <w:tcW w:w="1507" w:type="pct"/>
            <w:tcBorders>
              <w:top w:val="nil"/>
              <w:left w:val="nil"/>
              <w:bottom w:val="nil"/>
              <w:right w:val="nil"/>
            </w:tcBorders>
            <w:shd w:val="clear" w:color="auto" w:fill="auto"/>
            <w:vAlign w:val="bottom"/>
            <w:hideMark/>
          </w:tcPr>
          <w:p w:rsidR="00C42E58" w:rsidRPr="009652D5" w:rsidRDefault="00C42E58" w:rsidP="00C42E58">
            <w:pPr>
              <w:rPr>
                <w:rFonts w:cs="Arial"/>
                <w:color w:val="000000"/>
                <w:sz w:val="20"/>
                <w:lang w:val="ru-RU"/>
              </w:rPr>
            </w:pPr>
            <w:r w:rsidRPr="009652D5">
              <w:rPr>
                <w:rFonts w:cs="Arial"/>
                <w:color w:val="000000"/>
                <w:sz w:val="20"/>
                <w:lang w:val="ru-RU"/>
              </w:rPr>
              <w:t>Выпущенные долговые ценные бумаги</w:t>
            </w:r>
          </w:p>
        </w:tc>
        <w:tc>
          <w:tcPr>
            <w:tcW w:w="728"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172 305</w:t>
            </w:r>
          </w:p>
        </w:tc>
        <w:tc>
          <w:tcPr>
            <w:tcW w:w="1057"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980" w:type="pct"/>
            <w:tcBorders>
              <w:top w:val="nil"/>
              <w:left w:val="nil"/>
              <w:bottom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bottom w:val="nil"/>
              <w:right w:val="nil"/>
            </w:tcBorders>
            <w:shd w:val="clear" w:color="auto" w:fill="auto"/>
            <w:noWrap/>
            <w:vAlign w:val="bottom"/>
            <w:hideMark/>
          </w:tcPr>
          <w:p w:rsidR="00C42E58" w:rsidRPr="005D6926" w:rsidRDefault="00C42E58" w:rsidP="00CD0FC1">
            <w:pPr>
              <w:jc w:val="right"/>
              <w:rPr>
                <w:rFonts w:cs="Arial"/>
                <w:bCs/>
                <w:color w:val="000000"/>
                <w:sz w:val="20"/>
                <w:lang w:val="ru-RU"/>
              </w:rPr>
            </w:pPr>
            <w:r w:rsidRPr="005D6926">
              <w:rPr>
                <w:rFonts w:cs="Arial"/>
                <w:bCs/>
                <w:color w:val="000000"/>
                <w:sz w:val="20"/>
                <w:lang w:val="ru-RU"/>
              </w:rPr>
              <w:t>172 305</w:t>
            </w:r>
          </w:p>
        </w:tc>
      </w:tr>
      <w:tr w:rsidR="00C42E58" w:rsidRPr="009652D5" w:rsidTr="005D6926">
        <w:trPr>
          <w:trHeight w:val="600"/>
        </w:trPr>
        <w:tc>
          <w:tcPr>
            <w:tcW w:w="1507" w:type="pct"/>
            <w:tcBorders>
              <w:top w:val="nil"/>
              <w:left w:val="nil"/>
              <w:right w:val="nil"/>
            </w:tcBorders>
            <w:shd w:val="clear" w:color="auto" w:fill="auto"/>
            <w:vAlign w:val="bottom"/>
            <w:hideMark/>
          </w:tcPr>
          <w:p w:rsidR="00C42E58" w:rsidRPr="009652D5" w:rsidRDefault="00C42E58" w:rsidP="005D6926">
            <w:pPr>
              <w:rPr>
                <w:rFonts w:cs="Arial"/>
                <w:color w:val="000000"/>
                <w:sz w:val="20"/>
                <w:lang w:val="ru-RU"/>
              </w:rPr>
            </w:pPr>
            <w:r w:rsidRPr="009652D5">
              <w:rPr>
                <w:rFonts w:cs="Arial"/>
                <w:color w:val="000000"/>
                <w:sz w:val="20"/>
                <w:lang w:val="ru-RU"/>
              </w:rPr>
              <w:t>Субординированн</w:t>
            </w:r>
            <w:r w:rsidR="005D6926">
              <w:rPr>
                <w:rFonts w:cs="Arial"/>
                <w:color w:val="000000"/>
                <w:sz w:val="20"/>
                <w:lang w:val="ru-RU"/>
              </w:rPr>
              <w:t>ые</w:t>
            </w:r>
            <w:r w:rsidR="00B84D52">
              <w:rPr>
                <w:rFonts w:cs="Arial"/>
                <w:color w:val="000000"/>
                <w:sz w:val="20"/>
                <w:lang w:val="ru-RU"/>
              </w:rPr>
              <w:t xml:space="preserve"> </w:t>
            </w:r>
            <w:r w:rsidR="005D6926">
              <w:rPr>
                <w:rFonts w:cs="Arial"/>
                <w:color w:val="000000"/>
                <w:sz w:val="20"/>
                <w:lang w:val="ru-RU"/>
              </w:rPr>
              <w:t>займы</w:t>
            </w:r>
          </w:p>
        </w:tc>
        <w:tc>
          <w:tcPr>
            <w:tcW w:w="728" w:type="pct"/>
            <w:tcBorders>
              <w:top w:val="nil"/>
              <w:left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1 474 995</w:t>
            </w:r>
          </w:p>
        </w:tc>
        <w:tc>
          <w:tcPr>
            <w:tcW w:w="1057" w:type="pct"/>
            <w:tcBorders>
              <w:top w:val="nil"/>
              <w:left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799 610</w:t>
            </w:r>
          </w:p>
        </w:tc>
        <w:tc>
          <w:tcPr>
            <w:tcW w:w="980" w:type="pct"/>
            <w:tcBorders>
              <w:top w:val="nil"/>
              <w:left w:val="nil"/>
              <w:right w:val="nil"/>
            </w:tcBorders>
            <w:shd w:val="clear" w:color="auto" w:fill="auto"/>
            <w:noWrap/>
            <w:vAlign w:val="bottom"/>
            <w:hideMark/>
          </w:tcPr>
          <w:p w:rsidR="00C42E58" w:rsidRPr="009652D5" w:rsidRDefault="00C42E58" w:rsidP="00CD0FC1">
            <w:pPr>
              <w:jc w:val="right"/>
              <w:rPr>
                <w:rFonts w:cs="Arial"/>
                <w:color w:val="000000"/>
                <w:sz w:val="20"/>
                <w:lang w:val="ru-RU"/>
              </w:rPr>
            </w:pPr>
            <w:r w:rsidRPr="009652D5">
              <w:rPr>
                <w:rFonts w:cs="Arial"/>
                <w:color w:val="000000"/>
                <w:sz w:val="20"/>
                <w:lang w:val="ru-RU"/>
              </w:rPr>
              <w:t>-</w:t>
            </w:r>
          </w:p>
        </w:tc>
        <w:tc>
          <w:tcPr>
            <w:tcW w:w="728" w:type="pct"/>
            <w:tcBorders>
              <w:top w:val="nil"/>
              <w:left w:val="nil"/>
              <w:right w:val="nil"/>
            </w:tcBorders>
            <w:shd w:val="clear" w:color="auto" w:fill="auto"/>
            <w:noWrap/>
            <w:vAlign w:val="bottom"/>
            <w:hideMark/>
          </w:tcPr>
          <w:p w:rsidR="00C42E58" w:rsidRPr="005D6926" w:rsidRDefault="00C42E58" w:rsidP="00CD0FC1">
            <w:pPr>
              <w:jc w:val="right"/>
              <w:rPr>
                <w:rFonts w:cs="Arial"/>
                <w:color w:val="000000"/>
                <w:sz w:val="20"/>
                <w:lang w:val="ru-RU"/>
              </w:rPr>
            </w:pPr>
            <w:r w:rsidRPr="005D6926">
              <w:rPr>
                <w:rFonts w:cs="Arial"/>
                <w:color w:val="000000"/>
                <w:sz w:val="20"/>
                <w:lang w:val="ru-RU"/>
              </w:rPr>
              <w:t>2 274 605</w:t>
            </w:r>
          </w:p>
        </w:tc>
      </w:tr>
      <w:tr w:rsidR="005D6926" w:rsidRPr="009652D5" w:rsidTr="005D6926">
        <w:trPr>
          <w:trHeight w:val="900"/>
        </w:trPr>
        <w:tc>
          <w:tcPr>
            <w:tcW w:w="1507" w:type="pct"/>
            <w:shd w:val="clear" w:color="auto" w:fill="auto"/>
            <w:vAlign w:val="bottom"/>
            <w:hideMark/>
          </w:tcPr>
          <w:p w:rsidR="005D6926" w:rsidRPr="009652D5" w:rsidRDefault="005D6926" w:rsidP="00F16CBC">
            <w:pPr>
              <w:rPr>
                <w:rFonts w:cs="Arial"/>
                <w:color w:val="000000"/>
                <w:sz w:val="20"/>
                <w:lang w:val="ru-RU"/>
              </w:rPr>
            </w:pPr>
            <w:r w:rsidRPr="009652D5">
              <w:rPr>
                <w:rFonts w:cs="Arial"/>
                <w:color w:val="000000"/>
                <w:sz w:val="20"/>
                <w:lang w:val="ru-RU"/>
              </w:rPr>
              <w:t>Резерв по судебным делам</w:t>
            </w:r>
          </w:p>
        </w:tc>
        <w:tc>
          <w:tcPr>
            <w:tcW w:w="728" w:type="pct"/>
            <w:shd w:val="clear" w:color="auto" w:fill="auto"/>
            <w:noWrap/>
            <w:vAlign w:val="bottom"/>
            <w:hideMark/>
          </w:tcPr>
          <w:p w:rsidR="005D6926" w:rsidRPr="009652D5" w:rsidRDefault="005D6926" w:rsidP="00CD0FC1">
            <w:pPr>
              <w:jc w:val="right"/>
              <w:rPr>
                <w:rFonts w:cs="Arial"/>
                <w:color w:val="000000"/>
                <w:sz w:val="20"/>
                <w:lang w:val="ru-RU"/>
              </w:rPr>
            </w:pPr>
            <w:r w:rsidRPr="009652D5">
              <w:rPr>
                <w:rFonts w:cs="Arial"/>
                <w:color w:val="000000"/>
                <w:sz w:val="20"/>
                <w:lang w:val="ru-RU"/>
              </w:rPr>
              <w:t>46 604</w:t>
            </w:r>
          </w:p>
        </w:tc>
        <w:tc>
          <w:tcPr>
            <w:tcW w:w="1057" w:type="pct"/>
            <w:shd w:val="clear" w:color="auto" w:fill="auto"/>
            <w:noWrap/>
            <w:vAlign w:val="bottom"/>
            <w:hideMark/>
          </w:tcPr>
          <w:p w:rsidR="005D6926" w:rsidRPr="009652D5" w:rsidRDefault="005D6926" w:rsidP="00CD0FC1">
            <w:pPr>
              <w:jc w:val="right"/>
              <w:rPr>
                <w:rFonts w:cs="Arial"/>
                <w:color w:val="000000"/>
                <w:sz w:val="20"/>
                <w:lang w:val="ru-RU"/>
              </w:rPr>
            </w:pPr>
            <w:r w:rsidRPr="009652D5">
              <w:rPr>
                <w:rFonts w:cs="Arial"/>
                <w:color w:val="000000"/>
                <w:sz w:val="20"/>
                <w:lang w:val="ru-RU"/>
              </w:rPr>
              <w:t>-</w:t>
            </w:r>
          </w:p>
        </w:tc>
        <w:tc>
          <w:tcPr>
            <w:tcW w:w="980" w:type="pct"/>
            <w:shd w:val="clear" w:color="auto" w:fill="auto"/>
            <w:noWrap/>
            <w:vAlign w:val="bottom"/>
            <w:hideMark/>
          </w:tcPr>
          <w:p w:rsidR="005D6926" w:rsidRPr="009652D5" w:rsidRDefault="005D6926" w:rsidP="00CD0FC1">
            <w:pPr>
              <w:jc w:val="right"/>
              <w:rPr>
                <w:rFonts w:cs="Arial"/>
                <w:color w:val="000000"/>
                <w:sz w:val="20"/>
                <w:lang w:val="ru-RU"/>
              </w:rPr>
            </w:pPr>
            <w:r w:rsidRPr="009652D5">
              <w:rPr>
                <w:rFonts w:cs="Arial"/>
                <w:color w:val="000000"/>
                <w:sz w:val="20"/>
                <w:lang w:val="ru-RU"/>
              </w:rPr>
              <w:t>-</w:t>
            </w:r>
          </w:p>
        </w:tc>
        <w:tc>
          <w:tcPr>
            <w:tcW w:w="728" w:type="pct"/>
            <w:shd w:val="clear" w:color="auto" w:fill="auto"/>
            <w:noWrap/>
            <w:vAlign w:val="bottom"/>
            <w:hideMark/>
          </w:tcPr>
          <w:p w:rsidR="005D6926" w:rsidRPr="005D6926" w:rsidRDefault="005D6926" w:rsidP="00CD0FC1">
            <w:pPr>
              <w:jc w:val="right"/>
              <w:rPr>
                <w:rFonts w:cs="Arial"/>
                <w:bCs/>
                <w:color w:val="000000"/>
                <w:sz w:val="20"/>
                <w:lang w:val="ru-RU"/>
              </w:rPr>
            </w:pPr>
            <w:r w:rsidRPr="005D6926">
              <w:rPr>
                <w:rFonts w:cs="Arial"/>
                <w:bCs/>
                <w:color w:val="000000"/>
                <w:sz w:val="20"/>
                <w:lang w:val="ru-RU"/>
              </w:rPr>
              <w:t>46 604</w:t>
            </w:r>
          </w:p>
        </w:tc>
      </w:tr>
      <w:tr w:rsidR="005D6926" w:rsidRPr="009652D5" w:rsidTr="005D6926">
        <w:trPr>
          <w:trHeight w:val="900"/>
        </w:trPr>
        <w:tc>
          <w:tcPr>
            <w:tcW w:w="1507" w:type="pct"/>
            <w:shd w:val="clear" w:color="auto" w:fill="auto"/>
            <w:vAlign w:val="bottom"/>
            <w:hideMark/>
          </w:tcPr>
          <w:p w:rsidR="005D6926" w:rsidRPr="009652D5" w:rsidRDefault="005D6926" w:rsidP="00F16CBC">
            <w:pPr>
              <w:rPr>
                <w:rFonts w:cs="Arial"/>
                <w:color w:val="000000"/>
                <w:sz w:val="20"/>
                <w:lang w:val="ru-RU"/>
              </w:rPr>
            </w:pPr>
            <w:r w:rsidRPr="009652D5">
              <w:rPr>
                <w:rFonts w:cs="Arial"/>
                <w:color w:val="000000"/>
                <w:sz w:val="20"/>
                <w:lang w:val="ru-RU"/>
              </w:rPr>
              <w:t>Прочие обязательства и кредиторская задолженность</w:t>
            </w:r>
          </w:p>
        </w:tc>
        <w:tc>
          <w:tcPr>
            <w:tcW w:w="728" w:type="pct"/>
            <w:shd w:val="clear" w:color="auto" w:fill="auto"/>
            <w:noWrap/>
            <w:vAlign w:val="bottom"/>
            <w:hideMark/>
          </w:tcPr>
          <w:p w:rsidR="005D6926" w:rsidRPr="009652D5" w:rsidRDefault="005D6926" w:rsidP="00CD0FC1">
            <w:pPr>
              <w:jc w:val="right"/>
              <w:rPr>
                <w:rFonts w:cs="Arial"/>
                <w:color w:val="000000"/>
                <w:sz w:val="20"/>
                <w:lang w:val="ru-RU"/>
              </w:rPr>
            </w:pPr>
            <w:r w:rsidRPr="009652D5">
              <w:rPr>
                <w:rFonts w:cs="Arial"/>
                <w:color w:val="000000"/>
                <w:sz w:val="20"/>
                <w:lang w:val="ru-RU"/>
              </w:rPr>
              <w:t>181 946</w:t>
            </w:r>
          </w:p>
        </w:tc>
        <w:tc>
          <w:tcPr>
            <w:tcW w:w="1057" w:type="pct"/>
            <w:shd w:val="clear" w:color="auto" w:fill="auto"/>
            <w:noWrap/>
            <w:vAlign w:val="bottom"/>
            <w:hideMark/>
          </w:tcPr>
          <w:p w:rsidR="005D6926" w:rsidRPr="009652D5" w:rsidRDefault="005D6926" w:rsidP="00CD0FC1">
            <w:pPr>
              <w:jc w:val="right"/>
              <w:rPr>
                <w:rFonts w:cs="Arial"/>
                <w:color w:val="000000"/>
                <w:sz w:val="20"/>
                <w:lang w:val="ru-RU"/>
              </w:rPr>
            </w:pPr>
            <w:r w:rsidRPr="009652D5">
              <w:rPr>
                <w:rFonts w:cs="Arial"/>
                <w:color w:val="000000"/>
                <w:sz w:val="20"/>
                <w:lang w:val="ru-RU"/>
              </w:rPr>
              <w:t>-</w:t>
            </w:r>
          </w:p>
        </w:tc>
        <w:tc>
          <w:tcPr>
            <w:tcW w:w="980" w:type="pct"/>
            <w:shd w:val="clear" w:color="auto" w:fill="auto"/>
            <w:noWrap/>
            <w:vAlign w:val="bottom"/>
            <w:hideMark/>
          </w:tcPr>
          <w:p w:rsidR="005D6926" w:rsidRPr="009652D5" w:rsidRDefault="005D6926" w:rsidP="00CD0FC1">
            <w:pPr>
              <w:jc w:val="right"/>
              <w:rPr>
                <w:rFonts w:cs="Arial"/>
                <w:color w:val="000000"/>
                <w:sz w:val="20"/>
                <w:lang w:val="ru-RU"/>
              </w:rPr>
            </w:pPr>
            <w:r w:rsidRPr="009652D5">
              <w:rPr>
                <w:rFonts w:cs="Arial"/>
                <w:color w:val="000000"/>
                <w:sz w:val="20"/>
                <w:lang w:val="ru-RU"/>
              </w:rPr>
              <w:t>-</w:t>
            </w:r>
          </w:p>
        </w:tc>
        <w:tc>
          <w:tcPr>
            <w:tcW w:w="728" w:type="pct"/>
            <w:shd w:val="clear" w:color="auto" w:fill="auto"/>
            <w:noWrap/>
            <w:vAlign w:val="bottom"/>
            <w:hideMark/>
          </w:tcPr>
          <w:p w:rsidR="005D6926" w:rsidRPr="005D6926" w:rsidRDefault="005D6926" w:rsidP="00CD0FC1">
            <w:pPr>
              <w:jc w:val="right"/>
              <w:rPr>
                <w:rFonts w:cs="Arial"/>
                <w:bCs/>
                <w:color w:val="000000"/>
                <w:sz w:val="20"/>
                <w:lang w:val="ru-RU"/>
              </w:rPr>
            </w:pPr>
            <w:r w:rsidRPr="005D6926">
              <w:rPr>
                <w:rFonts w:cs="Arial"/>
                <w:bCs/>
                <w:color w:val="000000"/>
                <w:sz w:val="20"/>
                <w:lang w:val="ru-RU"/>
              </w:rPr>
              <w:t>181 946</w:t>
            </w:r>
          </w:p>
        </w:tc>
      </w:tr>
      <w:tr w:rsidR="005D6926" w:rsidRPr="009652D5" w:rsidTr="005D6926">
        <w:trPr>
          <w:trHeight w:val="300"/>
        </w:trPr>
        <w:tc>
          <w:tcPr>
            <w:tcW w:w="1507" w:type="pct"/>
            <w:tcBorders>
              <w:left w:val="nil"/>
              <w:bottom w:val="nil"/>
              <w:right w:val="nil"/>
            </w:tcBorders>
            <w:shd w:val="clear" w:color="auto" w:fill="auto"/>
            <w:vAlign w:val="bottom"/>
            <w:hideMark/>
          </w:tcPr>
          <w:p w:rsidR="005D6926" w:rsidRPr="009652D5" w:rsidRDefault="005D6926" w:rsidP="00C42E58">
            <w:pPr>
              <w:rPr>
                <w:rFonts w:cs="Arial"/>
                <w:b/>
                <w:bCs/>
                <w:color w:val="000000"/>
                <w:sz w:val="20"/>
                <w:lang w:val="ru-RU"/>
              </w:rPr>
            </w:pPr>
          </w:p>
          <w:p w:rsidR="005D6926" w:rsidRPr="009652D5" w:rsidRDefault="005D6926" w:rsidP="00C42E58">
            <w:pPr>
              <w:rPr>
                <w:rFonts w:cs="Arial"/>
                <w:b/>
                <w:bCs/>
                <w:color w:val="000000"/>
                <w:sz w:val="20"/>
                <w:lang w:val="ru-RU"/>
              </w:rPr>
            </w:pPr>
            <w:r w:rsidRPr="009652D5">
              <w:rPr>
                <w:rFonts w:cs="Arial"/>
                <w:b/>
                <w:bCs/>
                <w:color w:val="000000"/>
                <w:sz w:val="20"/>
                <w:lang w:val="ru-RU"/>
              </w:rPr>
              <w:t>Итого обязательств</w:t>
            </w:r>
          </w:p>
        </w:tc>
        <w:tc>
          <w:tcPr>
            <w:tcW w:w="728" w:type="pct"/>
            <w:tcBorders>
              <w:left w:val="nil"/>
              <w:bottom w:val="single" w:sz="4"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42 122 657</w:t>
            </w:r>
          </w:p>
        </w:tc>
        <w:tc>
          <w:tcPr>
            <w:tcW w:w="1057" w:type="pct"/>
            <w:tcBorders>
              <w:left w:val="nil"/>
              <w:bottom w:val="single" w:sz="4"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800 162</w:t>
            </w:r>
          </w:p>
        </w:tc>
        <w:tc>
          <w:tcPr>
            <w:tcW w:w="980" w:type="pct"/>
            <w:tcBorders>
              <w:left w:val="nil"/>
              <w:bottom w:val="single" w:sz="4"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90 827</w:t>
            </w:r>
          </w:p>
        </w:tc>
        <w:tc>
          <w:tcPr>
            <w:tcW w:w="728" w:type="pct"/>
            <w:tcBorders>
              <w:left w:val="nil"/>
              <w:bottom w:val="single" w:sz="4"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43 013 646</w:t>
            </w:r>
          </w:p>
        </w:tc>
      </w:tr>
      <w:tr w:rsidR="005D6926" w:rsidRPr="009652D5" w:rsidTr="000E5915">
        <w:trPr>
          <w:trHeight w:val="615"/>
        </w:trPr>
        <w:tc>
          <w:tcPr>
            <w:tcW w:w="1507" w:type="pct"/>
            <w:tcBorders>
              <w:top w:val="nil"/>
              <w:left w:val="nil"/>
              <w:bottom w:val="nil"/>
              <w:right w:val="nil"/>
            </w:tcBorders>
            <w:shd w:val="clear" w:color="auto" w:fill="auto"/>
            <w:vAlign w:val="bottom"/>
            <w:hideMark/>
          </w:tcPr>
          <w:p w:rsidR="005D6926" w:rsidRPr="009652D5" w:rsidRDefault="005D6926" w:rsidP="00C42E58">
            <w:pPr>
              <w:rPr>
                <w:rFonts w:cs="Arial"/>
                <w:b/>
                <w:bCs/>
                <w:color w:val="000000"/>
                <w:sz w:val="20"/>
                <w:lang w:val="ru-RU"/>
              </w:rPr>
            </w:pPr>
            <w:r w:rsidRPr="009652D5">
              <w:rPr>
                <w:rFonts w:cs="Arial"/>
                <w:b/>
                <w:bCs/>
                <w:color w:val="000000"/>
                <w:sz w:val="20"/>
                <w:lang w:val="ru-RU"/>
              </w:rPr>
              <w:t>Чистая позиция на 31 декабря 2014</w:t>
            </w:r>
          </w:p>
        </w:tc>
        <w:tc>
          <w:tcPr>
            <w:tcW w:w="728" w:type="pct"/>
            <w:tcBorders>
              <w:top w:val="nil"/>
              <w:left w:val="nil"/>
              <w:bottom w:val="double" w:sz="6" w:space="0" w:color="auto"/>
              <w:right w:val="nil"/>
            </w:tcBorders>
            <w:shd w:val="clear" w:color="auto" w:fill="auto"/>
            <w:noWrap/>
            <w:vAlign w:val="bottom"/>
            <w:hideMark/>
          </w:tcPr>
          <w:p w:rsidR="005D6926" w:rsidRPr="009652D5" w:rsidRDefault="005D6926" w:rsidP="00CD0FC1">
            <w:pPr>
              <w:jc w:val="right"/>
              <w:rPr>
                <w:rFonts w:cs="Arial"/>
                <w:b/>
                <w:bCs/>
                <w:sz w:val="20"/>
                <w:lang w:val="ru-RU"/>
              </w:rPr>
            </w:pPr>
            <w:r w:rsidRPr="009652D5">
              <w:rPr>
                <w:rFonts w:cs="Arial"/>
                <w:b/>
                <w:sz w:val="20"/>
                <w:lang w:val="ru-RU"/>
              </w:rPr>
              <w:t>(</w:t>
            </w:r>
            <w:r w:rsidRPr="009652D5">
              <w:rPr>
                <w:rFonts w:cs="Arial"/>
                <w:b/>
                <w:sz w:val="20"/>
              </w:rPr>
              <w:t>26 753 979</w:t>
            </w:r>
            <w:r w:rsidRPr="009652D5">
              <w:rPr>
                <w:rFonts w:cs="Arial"/>
                <w:b/>
                <w:sz w:val="20"/>
                <w:lang w:val="ru-RU"/>
              </w:rPr>
              <w:t>)</w:t>
            </w:r>
          </w:p>
        </w:tc>
        <w:tc>
          <w:tcPr>
            <w:tcW w:w="1057" w:type="pct"/>
            <w:tcBorders>
              <w:top w:val="nil"/>
              <w:left w:val="nil"/>
              <w:bottom w:val="double" w:sz="6" w:space="0" w:color="auto"/>
              <w:right w:val="nil"/>
            </w:tcBorders>
            <w:shd w:val="clear" w:color="auto" w:fill="auto"/>
            <w:noWrap/>
            <w:vAlign w:val="bottom"/>
            <w:hideMark/>
          </w:tcPr>
          <w:p w:rsidR="005D6926" w:rsidRPr="00B56187" w:rsidRDefault="00B56187" w:rsidP="00CD0FC1">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20"/>
                <w:lang w:val="en-US"/>
              </w:rPr>
            </w:pPr>
            <w:r>
              <w:rPr>
                <w:rFonts w:cs="Arial"/>
                <w:b/>
                <w:sz w:val="20"/>
                <w:lang w:val="en-US"/>
              </w:rPr>
              <w:t>(796 795)</w:t>
            </w:r>
          </w:p>
        </w:tc>
        <w:tc>
          <w:tcPr>
            <w:tcW w:w="980" w:type="pct"/>
            <w:tcBorders>
              <w:top w:val="nil"/>
              <w:left w:val="nil"/>
              <w:bottom w:val="double" w:sz="6" w:space="0" w:color="auto"/>
              <w:right w:val="nil"/>
            </w:tcBorders>
            <w:shd w:val="clear" w:color="auto" w:fill="auto"/>
            <w:noWrap/>
            <w:vAlign w:val="bottom"/>
            <w:hideMark/>
          </w:tcPr>
          <w:p w:rsidR="005D6926" w:rsidRPr="00B56187" w:rsidRDefault="005D6926" w:rsidP="00CD0FC1">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20"/>
                <w:lang w:val="en-US"/>
              </w:rPr>
            </w:pPr>
            <w:r w:rsidRPr="009652D5">
              <w:rPr>
                <w:rFonts w:cs="Arial"/>
                <w:b/>
                <w:sz w:val="20"/>
              </w:rPr>
              <w:t>126 345</w:t>
            </w:r>
          </w:p>
        </w:tc>
        <w:tc>
          <w:tcPr>
            <w:tcW w:w="728" w:type="pct"/>
            <w:tcBorders>
              <w:top w:val="nil"/>
              <w:left w:val="nil"/>
              <w:bottom w:val="double" w:sz="6" w:space="0" w:color="auto"/>
              <w:right w:val="nil"/>
            </w:tcBorders>
            <w:shd w:val="clear" w:color="auto" w:fill="auto"/>
            <w:noWrap/>
            <w:vAlign w:val="bottom"/>
            <w:hideMark/>
          </w:tcPr>
          <w:p w:rsidR="005D6926" w:rsidRPr="00B56187" w:rsidRDefault="00B56187" w:rsidP="00CD0FC1">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right"/>
              <w:rPr>
                <w:rFonts w:cs="Arial"/>
                <w:b/>
                <w:bCs/>
                <w:sz w:val="20"/>
                <w:lang w:val="en-US"/>
              </w:rPr>
            </w:pPr>
            <w:r>
              <w:rPr>
                <w:rFonts w:cs="Arial"/>
                <w:b/>
                <w:sz w:val="20"/>
                <w:lang w:val="en-US"/>
              </w:rPr>
              <w:t>(27 424 429)</w:t>
            </w:r>
          </w:p>
        </w:tc>
      </w:tr>
      <w:tr w:rsidR="005D6926" w:rsidRPr="009652D5" w:rsidTr="000E5915">
        <w:trPr>
          <w:trHeight w:val="630"/>
        </w:trPr>
        <w:tc>
          <w:tcPr>
            <w:tcW w:w="1507" w:type="pct"/>
            <w:tcBorders>
              <w:top w:val="nil"/>
              <w:left w:val="nil"/>
              <w:bottom w:val="nil"/>
              <w:right w:val="nil"/>
            </w:tcBorders>
            <w:shd w:val="clear" w:color="auto" w:fill="auto"/>
            <w:vAlign w:val="bottom"/>
            <w:hideMark/>
          </w:tcPr>
          <w:p w:rsidR="005D6926" w:rsidRPr="009652D5" w:rsidRDefault="005D6926" w:rsidP="00C42E58">
            <w:pPr>
              <w:rPr>
                <w:rFonts w:cs="Arial"/>
                <w:b/>
                <w:bCs/>
                <w:color w:val="000000"/>
                <w:sz w:val="20"/>
                <w:lang w:val="ru-RU"/>
              </w:rPr>
            </w:pPr>
            <w:r w:rsidRPr="009652D5">
              <w:rPr>
                <w:rFonts w:cs="Arial"/>
                <w:b/>
                <w:bCs/>
                <w:color w:val="000000"/>
                <w:sz w:val="20"/>
                <w:lang w:val="ru-RU"/>
              </w:rPr>
              <w:t>Чистая позиция на 31 декабря 2013</w:t>
            </w:r>
          </w:p>
        </w:tc>
        <w:tc>
          <w:tcPr>
            <w:tcW w:w="728" w:type="pct"/>
            <w:tcBorders>
              <w:top w:val="nil"/>
              <w:left w:val="nil"/>
              <w:bottom w:val="double" w:sz="6"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2 396 976</w:t>
            </w:r>
          </w:p>
        </w:tc>
        <w:tc>
          <w:tcPr>
            <w:tcW w:w="1057" w:type="pct"/>
            <w:tcBorders>
              <w:top w:val="nil"/>
              <w:left w:val="nil"/>
              <w:bottom w:val="double" w:sz="6"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186 705</w:t>
            </w:r>
          </w:p>
        </w:tc>
        <w:tc>
          <w:tcPr>
            <w:tcW w:w="980" w:type="pct"/>
            <w:tcBorders>
              <w:top w:val="nil"/>
              <w:left w:val="nil"/>
              <w:bottom w:val="double" w:sz="6"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1 481 635</w:t>
            </w:r>
          </w:p>
        </w:tc>
        <w:tc>
          <w:tcPr>
            <w:tcW w:w="728" w:type="pct"/>
            <w:tcBorders>
              <w:top w:val="nil"/>
              <w:left w:val="nil"/>
              <w:bottom w:val="double" w:sz="6" w:space="0" w:color="auto"/>
              <w:right w:val="nil"/>
            </w:tcBorders>
            <w:shd w:val="clear" w:color="auto" w:fill="auto"/>
            <w:noWrap/>
            <w:vAlign w:val="bottom"/>
            <w:hideMark/>
          </w:tcPr>
          <w:p w:rsidR="005D6926" w:rsidRPr="009652D5" w:rsidRDefault="005D6926" w:rsidP="00CD0FC1">
            <w:pPr>
              <w:jc w:val="right"/>
              <w:rPr>
                <w:rFonts w:cs="Arial"/>
                <w:b/>
                <w:bCs/>
                <w:color w:val="000000"/>
                <w:sz w:val="20"/>
                <w:lang w:val="ru-RU"/>
              </w:rPr>
            </w:pPr>
            <w:r w:rsidRPr="009652D5">
              <w:rPr>
                <w:rFonts w:cs="Arial"/>
                <w:b/>
                <w:bCs/>
                <w:color w:val="000000"/>
                <w:sz w:val="20"/>
                <w:lang w:val="ru-RU"/>
              </w:rPr>
              <w:t>4 065 316</w:t>
            </w:r>
          </w:p>
        </w:tc>
      </w:tr>
    </w:tbl>
    <w:p w:rsidR="00AD0A76" w:rsidRPr="009652D5" w:rsidRDefault="00AD0A76" w:rsidP="00567162">
      <w:pPr>
        <w:pStyle w:val="210"/>
        <w:shd w:val="clear" w:color="auto" w:fill="auto"/>
        <w:spacing w:line="240" w:lineRule="exact"/>
        <w:ind w:firstLine="0"/>
        <w:rPr>
          <w:b w:val="0"/>
          <w:sz w:val="20"/>
          <w:szCs w:val="20"/>
        </w:rPr>
      </w:pPr>
    </w:p>
    <w:p w:rsidR="00AD0A76" w:rsidRPr="009652D5" w:rsidRDefault="00AD0A76" w:rsidP="00AD0A76">
      <w:pPr>
        <w:rPr>
          <w:rFonts w:cs="Arial"/>
          <w:sz w:val="20"/>
          <w:lang w:val="ru-RU"/>
        </w:rPr>
      </w:pPr>
    </w:p>
    <w:p w:rsidR="00014A8B" w:rsidRDefault="00014A8B" w:rsidP="00AD0A76">
      <w:pPr>
        <w:pStyle w:val="212"/>
        <w:shd w:val="clear" w:color="auto" w:fill="auto"/>
        <w:spacing w:line="180" w:lineRule="exact"/>
        <w:rPr>
          <w:b w:val="0"/>
          <w:sz w:val="20"/>
          <w:szCs w:val="20"/>
        </w:rPr>
      </w:pPr>
    </w:p>
    <w:p w:rsidR="00014A8B" w:rsidRDefault="00014A8B" w:rsidP="00AD0A76">
      <w:pPr>
        <w:pStyle w:val="212"/>
        <w:shd w:val="clear" w:color="auto" w:fill="auto"/>
        <w:spacing w:line="180" w:lineRule="exact"/>
        <w:rPr>
          <w:b w:val="0"/>
          <w:sz w:val="20"/>
          <w:szCs w:val="20"/>
        </w:rPr>
      </w:pPr>
    </w:p>
    <w:p w:rsidR="00014A8B" w:rsidRDefault="00014A8B" w:rsidP="00AD0A76">
      <w:pPr>
        <w:pStyle w:val="212"/>
        <w:shd w:val="clear" w:color="auto" w:fill="auto"/>
        <w:spacing w:line="180" w:lineRule="exact"/>
        <w:rPr>
          <w:b w:val="0"/>
          <w:sz w:val="20"/>
          <w:szCs w:val="20"/>
        </w:rPr>
      </w:pPr>
    </w:p>
    <w:p w:rsidR="00AD0A76" w:rsidRPr="009652D5" w:rsidRDefault="00AD0A76" w:rsidP="00AD0A76">
      <w:pPr>
        <w:pStyle w:val="212"/>
        <w:shd w:val="clear" w:color="auto" w:fill="auto"/>
        <w:spacing w:line="180" w:lineRule="exact"/>
        <w:rPr>
          <w:b w:val="0"/>
          <w:sz w:val="20"/>
          <w:szCs w:val="20"/>
        </w:rPr>
      </w:pPr>
      <w:r w:rsidRPr="009652D5">
        <w:rPr>
          <w:b w:val="0"/>
          <w:sz w:val="20"/>
          <w:szCs w:val="20"/>
        </w:rPr>
        <w:t>Географический анализ обязательств кредитного характера представлен ниже:</w:t>
      </w:r>
    </w:p>
    <w:p w:rsidR="00AD0A76" w:rsidRPr="009652D5" w:rsidRDefault="00AD0A76" w:rsidP="00AD0A76">
      <w:pPr>
        <w:pStyle w:val="212"/>
        <w:shd w:val="clear" w:color="auto" w:fill="auto"/>
        <w:spacing w:line="180" w:lineRule="exact"/>
        <w:rPr>
          <w:b w:val="0"/>
          <w:sz w:val="20"/>
          <w:szCs w:val="20"/>
        </w:rPr>
      </w:pPr>
    </w:p>
    <w:tbl>
      <w:tblPr>
        <w:tblW w:w="4961" w:type="pct"/>
        <w:tblLayout w:type="fixed"/>
        <w:tblLook w:val="04A0"/>
      </w:tblPr>
      <w:tblGrid>
        <w:gridCol w:w="2797"/>
        <w:gridCol w:w="1103"/>
        <w:gridCol w:w="2548"/>
        <w:gridCol w:w="2023"/>
        <w:gridCol w:w="1275"/>
      </w:tblGrid>
      <w:tr w:rsidR="00AD0A76" w:rsidRPr="009652D5" w:rsidTr="002247FB">
        <w:trPr>
          <w:trHeight w:val="300"/>
        </w:trPr>
        <w:tc>
          <w:tcPr>
            <w:tcW w:w="1435" w:type="pct"/>
            <w:tcBorders>
              <w:top w:val="nil"/>
              <w:left w:val="nil"/>
              <w:bottom w:val="nil"/>
              <w:right w:val="nil"/>
            </w:tcBorders>
            <w:shd w:val="clear" w:color="auto" w:fill="auto"/>
            <w:noWrap/>
            <w:vAlign w:val="bottom"/>
            <w:hideMark/>
          </w:tcPr>
          <w:p w:rsidR="00AD0A76" w:rsidRPr="009652D5" w:rsidRDefault="00AD0A76" w:rsidP="00AD0A76">
            <w:pPr>
              <w:rPr>
                <w:rFonts w:cs="Arial"/>
                <w:color w:val="000000"/>
                <w:sz w:val="20"/>
                <w:lang w:val="ru-RU"/>
              </w:rPr>
            </w:pPr>
          </w:p>
        </w:tc>
        <w:tc>
          <w:tcPr>
            <w:tcW w:w="566" w:type="pct"/>
            <w:tcBorders>
              <w:top w:val="nil"/>
              <w:left w:val="nil"/>
              <w:bottom w:val="single" w:sz="4" w:space="0" w:color="auto"/>
              <w:right w:val="nil"/>
            </w:tcBorders>
            <w:shd w:val="clear" w:color="auto" w:fill="auto"/>
            <w:noWrap/>
            <w:vAlign w:val="bottom"/>
            <w:hideMark/>
          </w:tcPr>
          <w:p w:rsidR="00AD0A76" w:rsidRPr="009652D5" w:rsidRDefault="00AD0A76" w:rsidP="00AD0A76">
            <w:pPr>
              <w:jc w:val="center"/>
              <w:rPr>
                <w:rFonts w:cs="Arial"/>
                <w:b/>
                <w:bCs/>
                <w:color w:val="000000"/>
                <w:sz w:val="20"/>
                <w:lang w:val="ru-RU"/>
              </w:rPr>
            </w:pPr>
            <w:r w:rsidRPr="009652D5">
              <w:rPr>
                <w:rFonts w:cs="Arial"/>
                <w:b/>
                <w:bCs/>
                <w:color w:val="000000"/>
                <w:sz w:val="20"/>
                <w:lang w:val="ru-RU"/>
              </w:rPr>
              <w:t>Россия</w:t>
            </w:r>
          </w:p>
        </w:tc>
        <w:tc>
          <w:tcPr>
            <w:tcW w:w="1307" w:type="pct"/>
            <w:tcBorders>
              <w:top w:val="nil"/>
              <w:left w:val="nil"/>
              <w:bottom w:val="single" w:sz="4" w:space="0" w:color="auto"/>
              <w:right w:val="nil"/>
            </w:tcBorders>
            <w:shd w:val="clear" w:color="auto" w:fill="auto"/>
            <w:noWrap/>
            <w:vAlign w:val="bottom"/>
            <w:hideMark/>
          </w:tcPr>
          <w:p w:rsidR="00AD0A76" w:rsidRPr="009652D5" w:rsidRDefault="00AD0A76" w:rsidP="00AD0A76">
            <w:pPr>
              <w:jc w:val="center"/>
              <w:rPr>
                <w:rFonts w:cs="Arial"/>
                <w:b/>
                <w:bCs/>
                <w:color w:val="000000"/>
                <w:sz w:val="20"/>
                <w:lang w:val="ru-RU"/>
              </w:rPr>
            </w:pPr>
            <w:r w:rsidRPr="009652D5">
              <w:rPr>
                <w:rFonts w:cs="Arial"/>
                <w:b/>
                <w:bCs/>
                <w:color w:val="000000"/>
                <w:sz w:val="20"/>
                <w:lang w:val="ru-RU"/>
              </w:rPr>
              <w:t>ОЭСР</w:t>
            </w:r>
          </w:p>
        </w:tc>
        <w:tc>
          <w:tcPr>
            <w:tcW w:w="1038" w:type="pct"/>
            <w:tcBorders>
              <w:top w:val="nil"/>
              <w:left w:val="nil"/>
              <w:bottom w:val="single" w:sz="4" w:space="0" w:color="auto"/>
              <w:right w:val="nil"/>
            </w:tcBorders>
            <w:shd w:val="clear" w:color="auto" w:fill="auto"/>
            <w:noWrap/>
            <w:vAlign w:val="bottom"/>
            <w:hideMark/>
          </w:tcPr>
          <w:p w:rsidR="00AD0A76" w:rsidRPr="009652D5" w:rsidRDefault="00AD0A76" w:rsidP="00AD0A76">
            <w:pPr>
              <w:jc w:val="center"/>
              <w:rPr>
                <w:rFonts w:cs="Arial"/>
                <w:b/>
                <w:bCs/>
                <w:color w:val="000000"/>
                <w:sz w:val="20"/>
                <w:lang w:val="ru-RU"/>
              </w:rPr>
            </w:pPr>
            <w:r w:rsidRPr="009652D5">
              <w:rPr>
                <w:rFonts w:cs="Arial"/>
                <w:b/>
                <w:bCs/>
                <w:color w:val="000000"/>
                <w:sz w:val="20"/>
                <w:lang w:val="ru-RU"/>
              </w:rPr>
              <w:t>Другие страны</w:t>
            </w:r>
          </w:p>
        </w:tc>
        <w:tc>
          <w:tcPr>
            <w:tcW w:w="654" w:type="pct"/>
            <w:tcBorders>
              <w:top w:val="nil"/>
              <w:left w:val="nil"/>
              <w:bottom w:val="single" w:sz="4" w:space="0" w:color="auto"/>
              <w:right w:val="nil"/>
            </w:tcBorders>
            <w:shd w:val="clear" w:color="auto" w:fill="auto"/>
            <w:noWrap/>
            <w:vAlign w:val="bottom"/>
            <w:hideMark/>
          </w:tcPr>
          <w:p w:rsidR="00AD0A76" w:rsidRPr="009652D5" w:rsidRDefault="00AD0A76" w:rsidP="00AD0A76">
            <w:pPr>
              <w:jc w:val="center"/>
              <w:rPr>
                <w:rFonts w:cs="Arial"/>
                <w:b/>
                <w:bCs/>
                <w:color w:val="000000"/>
                <w:sz w:val="20"/>
                <w:lang w:val="ru-RU"/>
              </w:rPr>
            </w:pPr>
            <w:r w:rsidRPr="009652D5">
              <w:rPr>
                <w:rFonts w:cs="Arial"/>
                <w:b/>
                <w:bCs/>
                <w:color w:val="000000"/>
                <w:sz w:val="20"/>
                <w:lang w:val="ru-RU"/>
              </w:rPr>
              <w:t>Итого</w:t>
            </w:r>
          </w:p>
        </w:tc>
      </w:tr>
      <w:tr w:rsidR="00AD0A76" w:rsidRPr="009652D5" w:rsidTr="002247FB">
        <w:trPr>
          <w:trHeight w:val="315"/>
        </w:trPr>
        <w:tc>
          <w:tcPr>
            <w:tcW w:w="1435" w:type="pct"/>
            <w:tcBorders>
              <w:top w:val="nil"/>
              <w:left w:val="nil"/>
              <w:bottom w:val="nil"/>
              <w:right w:val="nil"/>
            </w:tcBorders>
            <w:shd w:val="clear" w:color="auto" w:fill="auto"/>
            <w:noWrap/>
            <w:vAlign w:val="bottom"/>
            <w:hideMark/>
          </w:tcPr>
          <w:p w:rsidR="00AD0A76" w:rsidRPr="009652D5" w:rsidRDefault="00AD0A76" w:rsidP="00AD0A76">
            <w:pPr>
              <w:rPr>
                <w:rFonts w:cs="Arial"/>
                <w:b/>
                <w:bCs/>
                <w:color w:val="000000"/>
                <w:sz w:val="20"/>
                <w:lang w:val="ru-RU"/>
              </w:rPr>
            </w:pPr>
            <w:r w:rsidRPr="009652D5">
              <w:rPr>
                <w:rFonts w:cs="Arial"/>
                <w:b/>
                <w:bCs/>
                <w:color w:val="000000"/>
                <w:sz w:val="20"/>
                <w:lang w:val="ru-RU"/>
              </w:rPr>
              <w:t>31 декабря 2014 (Прим.31)</w:t>
            </w:r>
          </w:p>
        </w:tc>
        <w:tc>
          <w:tcPr>
            <w:tcW w:w="566" w:type="pct"/>
            <w:tcBorders>
              <w:top w:val="nil"/>
              <w:left w:val="nil"/>
              <w:bottom w:val="double" w:sz="6" w:space="0" w:color="auto"/>
              <w:right w:val="nil"/>
            </w:tcBorders>
            <w:shd w:val="clear" w:color="auto" w:fill="auto"/>
            <w:noWrap/>
            <w:vAlign w:val="bottom"/>
            <w:hideMark/>
          </w:tcPr>
          <w:p w:rsidR="00AD0A76" w:rsidRPr="009652D5" w:rsidRDefault="00AD0A76" w:rsidP="00AD0A76">
            <w:pPr>
              <w:jc w:val="right"/>
              <w:rPr>
                <w:rFonts w:cs="Arial"/>
                <w:color w:val="000000"/>
                <w:sz w:val="20"/>
                <w:lang w:val="ru-RU"/>
              </w:rPr>
            </w:pPr>
            <w:r w:rsidRPr="009652D5">
              <w:rPr>
                <w:rFonts w:cs="Arial"/>
                <w:color w:val="000000"/>
                <w:sz w:val="20"/>
                <w:lang w:val="ru-RU"/>
              </w:rPr>
              <w:t>648 280</w:t>
            </w:r>
          </w:p>
        </w:tc>
        <w:tc>
          <w:tcPr>
            <w:tcW w:w="1307" w:type="pct"/>
            <w:tcBorders>
              <w:top w:val="nil"/>
              <w:left w:val="nil"/>
              <w:bottom w:val="double" w:sz="6" w:space="0" w:color="auto"/>
              <w:right w:val="nil"/>
            </w:tcBorders>
            <w:shd w:val="clear" w:color="auto" w:fill="auto"/>
            <w:noWrap/>
            <w:vAlign w:val="bottom"/>
            <w:hideMark/>
          </w:tcPr>
          <w:p w:rsidR="00AD0A76" w:rsidRPr="009652D5" w:rsidRDefault="00AD0A76" w:rsidP="00AD0A76">
            <w:pPr>
              <w:rPr>
                <w:rFonts w:cs="Arial"/>
                <w:color w:val="000000"/>
                <w:sz w:val="20"/>
                <w:lang w:val="ru-RU"/>
              </w:rPr>
            </w:pPr>
            <w:r w:rsidRPr="009652D5">
              <w:rPr>
                <w:rFonts w:cs="Arial"/>
                <w:color w:val="000000"/>
                <w:sz w:val="20"/>
                <w:lang w:val="ru-RU"/>
              </w:rPr>
              <w:t xml:space="preserve">                                         -     </w:t>
            </w:r>
          </w:p>
        </w:tc>
        <w:tc>
          <w:tcPr>
            <w:tcW w:w="1038" w:type="pct"/>
            <w:tcBorders>
              <w:top w:val="nil"/>
              <w:left w:val="nil"/>
              <w:bottom w:val="double" w:sz="6" w:space="0" w:color="auto"/>
              <w:right w:val="nil"/>
            </w:tcBorders>
            <w:shd w:val="clear" w:color="auto" w:fill="auto"/>
            <w:noWrap/>
            <w:vAlign w:val="bottom"/>
            <w:hideMark/>
          </w:tcPr>
          <w:p w:rsidR="00AD0A76" w:rsidRPr="009652D5" w:rsidRDefault="00AD0A76" w:rsidP="00AD0A76">
            <w:pPr>
              <w:rPr>
                <w:rFonts w:cs="Arial"/>
                <w:color w:val="000000"/>
                <w:sz w:val="20"/>
                <w:lang w:val="ru-RU"/>
              </w:rPr>
            </w:pPr>
            <w:r w:rsidRPr="009652D5">
              <w:rPr>
                <w:rFonts w:cs="Arial"/>
                <w:color w:val="000000"/>
                <w:sz w:val="20"/>
                <w:lang w:val="ru-RU"/>
              </w:rPr>
              <w:t xml:space="preserve">                                    -     </w:t>
            </w:r>
          </w:p>
        </w:tc>
        <w:tc>
          <w:tcPr>
            <w:tcW w:w="654" w:type="pct"/>
            <w:tcBorders>
              <w:top w:val="nil"/>
              <w:left w:val="nil"/>
              <w:bottom w:val="double" w:sz="6" w:space="0" w:color="auto"/>
              <w:right w:val="nil"/>
            </w:tcBorders>
            <w:shd w:val="clear" w:color="auto" w:fill="auto"/>
            <w:noWrap/>
            <w:vAlign w:val="bottom"/>
            <w:hideMark/>
          </w:tcPr>
          <w:p w:rsidR="00AD0A76" w:rsidRPr="009652D5" w:rsidRDefault="00AD0A76" w:rsidP="00AD0A76">
            <w:pPr>
              <w:jc w:val="right"/>
              <w:rPr>
                <w:rFonts w:cs="Arial"/>
                <w:b/>
                <w:bCs/>
                <w:color w:val="000000"/>
                <w:sz w:val="20"/>
                <w:lang w:val="ru-RU"/>
              </w:rPr>
            </w:pPr>
            <w:r w:rsidRPr="009652D5">
              <w:rPr>
                <w:rFonts w:cs="Arial"/>
                <w:b/>
                <w:bCs/>
                <w:color w:val="000000"/>
                <w:sz w:val="20"/>
                <w:lang w:val="ru-RU"/>
              </w:rPr>
              <w:t>648 280</w:t>
            </w:r>
          </w:p>
        </w:tc>
      </w:tr>
      <w:tr w:rsidR="00AD0A76" w:rsidRPr="009652D5" w:rsidTr="002247FB">
        <w:trPr>
          <w:trHeight w:val="330"/>
        </w:trPr>
        <w:tc>
          <w:tcPr>
            <w:tcW w:w="1435" w:type="pct"/>
            <w:tcBorders>
              <w:top w:val="nil"/>
              <w:left w:val="nil"/>
              <w:bottom w:val="nil"/>
              <w:right w:val="nil"/>
            </w:tcBorders>
            <w:shd w:val="clear" w:color="auto" w:fill="auto"/>
            <w:noWrap/>
            <w:vAlign w:val="bottom"/>
            <w:hideMark/>
          </w:tcPr>
          <w:p w:rsidR="00AD0A76" w:rsidRPr="009652D5" w:rsidRDefault="00AD0A76" w:rsidP="00AD0A76">
            <w:pPr>
              <w:rPr>
                <w:rFonts w:cs="Arial"/>
                <w:b/>
                <w:bCs/>
                <w:color w:val="000000"/>
                <w:sz w:val="20"/>
                <w:lang w:val="ru-RU"/>
              </w:rPr>
            </w:pPr>
            <w:r w:rsidRPr="009652D5">
              <w:rPr>
                <w:rFonts w:cs="Arial"/>
                <w:b/>
                <w:bCs/>
                <w:color w:val="000000"/>
                <w:sz w:val="20"/>
                <w:lang w:val="ru-RU"/>
              </w:rPr>
              <w:t>32 декабря 2013 (Прим.31)</w:t>
            </w:r>
          </w:p>
        </w:tc>
        <w:tc>
          <w:tcPr>
            <w:tcW w:w="566" w:type="pct"/>
            <w:tcBorders>
              <w:top w:val="nil"/>
              <w:left w:val="nil"/>
              <w:bottom w:val="double" w:sz="6" w:space="0" w:color="auto"/>
              <w:right w:val="nil"/>
            </w:tcBorders>
            <w:shd w:val="clear" w:color="auto" w:fill="auto"/>
            <w:noWrap/>
            <w:vAlign w:val="bottom"/>
            <w:hideMark/>
          </w:tcPr>
          <w:p w:rsidR="00AD0A76" w:rsidRPr="009652D5" w:rsidRDefault="00AD0A76" w:rsidP="00AD0A76">
            <w:pPr>
              <w:jc w:val="right"/>
              <w:rPr>
                <w:rFonts w:cs="Arial"/>
                <w:color w:val="000000"/>
                <w:sz w:val="20"/>
                <w:lang w:val="ru-RU"/>
              </w:rPr>
            </w:pPr>
            <w:r w:rsidRPr="009652D5">
              <w:rPr>
                <w:rFonts w:cs="Arial"/>
                <w:color w:val="000000"/>
                <w:sz w:val="20"/>
                <w:lang w:val="ru-RU"/>
              </w:rPr>
              <w:t>1 157 164</w:t>
            </w:r>
          </w:p>
        </w:tc>
        <w:tc>
          <w:tcPr>
            <w:tcW w:w="1307" w:type="pct"/>
            <w:tcBorders>
              <w:top w:val="nil"/>
              <w:left w:val="nil"/>
              <w:bottom w:val="double" w:sz="6" w:space="0" w:color="auto"/>
              <w:right w:val="nil"/>
            </w:tcBorders>
            <w:shd w:val="clear" w:color="auto" w:fill="auto"/>
            <w:noWrap/>
            <w:vAlign w:val="bottom"/>
            <w:hideMark/>
          </w:tcPr>
          <w:p w:rsidR="00AD0A76" w:rsidRPr="009652D5" w:rsidRDefault="00AD0A76" w:rsidP="00AD0A76">
            <w:pPr>
              <w:jc w:val="right"/>
              <w:rPr>
                <w:rFonts w:cs="Arial"/>
                <w:color w:val="000000"/>
                <w:sz w:val="20"/>
                <w:lang w:val="ru-RU"/>
              </w:rPr>
            </w:pPr>
            <w:r w:rsidRPr="009652D5">
              <w:rPr>
                <w:rFonts w:cs="Arial"/>
                <w:color w:val="000000"/>
                <w:sz w:val="20"/>
                <w:lang w:val="ru-RU"/>
              </w:rPr>
              <w:t>-</w:t>
            </w:r>
          </w:p>
        </w:tc>
        <w:tc>
          <w:tcPr>
            <w:tcW w:w="1038" w:type="pct"/>
            <w:tcBorders>
              <w:top w:val="nil"/>
              <w:left w:val="nil"/>
              <w:bottom w:val="double" w:sz="6" w:space="0" w:color="auto"/>
              <w:right w:val="nil"/>
            </w:tcBorders>
            <w:shd w:val="clear" w:color="auto" w:fill="auto"/>
            <w:noWrap/>
            <w:vAlign w:val="bottom"/>
            <w:hideMark/>
          </w:tcPr>
          <w:p w:rsidR="00AD0A76" w:rsidRPr="009652D5" w:rsidRDefault="00AD0A76" w:rsidP="00AD0A76">
            <w:pPr>
              <w:jc w:val="right"/>
              <w:rPr>
                <w:rFonts w:cs="Arial"/>
                <w:color w:val="000000"/>
                <w:sz w:val="20"/>
                <w:lang w:val="ru-RU"/>
              </w:rPr>
            </w:pPr>
            <w:r w:rsidRPr="009652D5">
              <w:rPr>
                <w:rFonts w:cs="Arial"/>
                <w:color w:val="000000"/>
                <w:sz w:val="20"/>
                <w:lang w:val="ru-RU"/>
              </w:rPr>
              <w:t>-</w:t>
            </w:r>
          </w:p>
        </w:tc>
        <w:tc>
          <w:tcPr>
            <w:tcW w:w="654" w:type="pct"/>
            <w:tcBorders>
              <w:top w:val="nil"/>
              <w:left w:val="nil"/>
              <w:bottom w:val="double" w:sz="6" w:space="0" w:color="auto"/>
              <w:right w:val="nil"/>
            </w:tcBorders>
            <w:shd w:val="clear" w:color="auto" w:fill="auto"/>
            <w:noWrap/>
            <w:vAlign w:val="bottom"/>
            <w:hideMark/>
          </w:tcPr>
          <w:p w:rsidR="00AD0A76" w:rsidRPr="009652D5" w:rsidRDefault="00AD0A76" w:rsidP="00AD0A76">
            <w:pPr>
              <w:jc w:val="right"/>
              <w:rPr>
                <w:rFonts w:cs="Arial"/>
                <w:b/>
                <w:bCs/>
                <w:color w:val="000000"/>
                <w:sz w:val="20"/>
                <w:lang w:val="ru-RU"/>
              </w:rPr>
            </w:pPr>
            <w:r w:rsidRPr="009652D5">
              <w:rPr>
                <w:rFonts w:cs="Arial"/>
                <w:b/>
                <w:bCs/>
                <w:color w:val="000000"/>
                <w:sz w:val="20"/>
                <w:lang w:val="ru-RU"/>
              </w:rPr>
              <w:t>1 157 164</w:t>
            </w:r>
          </w:p>
        </w:tc>
      </w:tr>
    </w:tbl>
    <w:p w:rsidR="00AD0A76" w:rsidRPr="009652D5" w:rsidRDefault="00AD0A76" w:rsidP="00AD0A76">
      <w:pPr>
        <w:pStyle w:val="212"/>
        <w:shd w:val="clear" w:color="auto" w:fill="auto"/>
        <w:spacing w:line="180" w:lineRule="exact"/>
        <w:rPr>
          <w:b w:val="0"/>
          <w:bCs w:val="0"/>
          <w:color w:val="000000"/>
          <w:sz w:val="20"/>
          <w:szCs w:val="20"/>
        </w:rPr>
      </w:pPr>
    </w:p>
    <w:p w:rsidR="00AD0A76" w:rsidRPr="009652D5" w:rsidRDefault="00AD0A76" w:rsidP="00AD0A76">
      <w:pPr>
        <w:rPr>
          <w:rFonts w:cs="Arial"/>
          <w:sz w:val="20"/>
          <w:lang w:val="ru-RU"/>
        </w:rPr>
      </w:pPr>
    </w:p>
    <w:p w:rsidR="00AD0A76" w:rsidRPr="009652D5" w:rsidRDefault="00AD0A76" w:rsidP="00AD0A76">
      <w:pPr>
        <w:rPr>
          <w:rFonts w:cs="Arial"/>
          <w:sz w:val="20"/>
          <w:lang w:val="ru-RU"/>
        </w:rPr>
      </w:pPr>
    </w:p>
    <w:p w:rsidR="0025631B" w:rsidRPr="009652D5" w:rsidRDefault="0025631B" w:rsidP="0025631B">
      <w:pPr>
        <w:pStyle w:val="210"/>
        <w:shd w:val="clear" w:color="auto" w:fill="auto"/>
        <w:spacing w:line="240" w:lineRule="exact"/>
        <w:ind w:firstLine="0"/>
        <w:rPr>
          <w:b w:val="0"/>
          <w:sz w:val="20"/>
          <w:szCs w:val="20"/>
        </w:rPr>
      </w:pPr>
      <w:r w:rsidRPr="009652D5">
        <w:rPr>
          <w:b w:val="0"/>
          <w:sz w:val="20"/>
          <w:szCs w:val="20"/>
        </w:rPr>
        <w:t>Активы и обязательства классифицировались в соответствии со страной нахождения контрагента. Наличные денежные средства и основные средства классифицировались в соответствии со страной их физического нахождения.</w:t>
      </w:r>
    </w:p>
    <w:p w:rsidR="0025631B" w:rsidRPr="009652D5" w:rsidRDefault="0025631B" w:rsidP="0025631B">
      <w:pPr>
        <w:pStyle w:val="210"/>
        <w:shd w:val="clear" w:color="auto" w:fill="auto"/>
        <w:spacing w:line="240" w:lineRule="exact"/>
        <w:ind w:firstLine="0"/>
        <w:rPr>
          <w:b w:val="0"/>
          <w:sz w:val="20"/>
          <w:szCs w:val="20"/>
        </w:rPr>
      </w:pPr>
    </w:p>
    <w:p w:rsidR="0025631B" w:rsidRPr="009652D5" w:rsidRDefault="0025631B" w:rsidP="0025631B">
      <w:pPr>
        <w:pStyle w:val="310"/>
        <w:shd w:val="clear" w:color="auto" w:fill="auto"/>
        <w:spacing w:line="200" w:lineRule="exact"/>
        <w:ind w:firstLine="0"/>
        <w:jc w:val="left"/>
        <w:rPr>
          <w:rStyle w:val="34"/>
          <w:b/>
          <w:bCs/>
          <w:i/>
          <w:iCs/>
          <w:color w:val="000000"/>
        </w:rPr>
      </w:pPr>
      <w:r w:rsidRPr="009652D5">
        <w:rPr>
          <w:rStyle w:val="34"/>
          <w:b/>
          <w:bCs/>
          <w:i/>
          <w:iCs/>
          <w:color w:val="000000"/>
        </w:rPr>
        <w:t>Рыночный риск</w:t>
      </w:r>
    </w:p>
    <w:p w:rsidR="0025631B" w:rsidRPr="009652D5" w:rsidRDefault="0025631B" w:rsidP="0025631B">
      <w:pPr>
        <w:pStyle w:val="310"/>
        <w:shd w:val="clear" w:color="auto" w:fill="auto"/>
        <w:spacing w:line="200" w:lineRule="exact"/>
        <w:ind w:firstLine="0"/>
        <w:jc w:val="left"/>
      </w:pPr>
    </w:p>
    <w:p w:rsidR="0062600E" w:rsidRPr="009652D5" w:rsidRDefault="0025631B" w:rsidP="00C06AC5">
      <w:pPr>
        <w:pStyle w:val="210"/>
        <w:shd w:val="clear" w:color="auto" w:fill="auto"/>
        <w:spacing w:line="240" w:lineRule="exact"/>
        <w:ind w:firstLine="0"/>
        <w:jc w:val="both"/>
        <w:rPr>
          <w:b w:val="0"/>
          <w:sz w:val="20"/>
          <w:szCs w:val="20"/>
        </w:rPr>
      </w:pPr>
      <w:r w:rsidRPr="009652D5">
        <w:rPr>
          <w:b w:val="0"/>
          <w:sz w:val="20"/>
          <w:szCs w:val="20"/>
        </w:rPr>
        <w:t>Банк подвержен рыночному риску, который является риском того, что справедливая стоимость будущих потоков денежных средств, связанных с финансовыми инструментами, будет меняться из-за изменений рыночных цен. Банк подвержен трем типам рыночного риска: валютному риску, риску процентной ставки и прочему ценовому риску.</w:t>
      </w:r>
    </w:p>
    <w:p w:rsidR="0062600E" w:rsidRPr="009652D5" w:rsidRDefault="0025631B" w:rsidP="00C06AC5">
      <w:pPr>
        <w:pStyle w:val="210"/>
        <w:shd w:val="clear" w:color="auto" w:fill="auto"/>
        <w:spacing w:line="240" w:lineRule="exact"/>
        <w:ind w:firstLine="0"/>
        <w:jc w:val="both"/>
        <w:rPr>
          <w:b w:val="0"/>
          <w:sz w:val="20"/>
          <w:szCs w:val="20"/>
        </w:rPr>
      </w:pPr>
      <w:r w:rsidRPr="009652D5">
        <w:rPr>
          <w:b w:val="0"/>
          <w:sz w:val="20"/>
          <w:szCs w:val="20"/>
        </w:rPr>
        <w:t xml:space="preserve">Правление Банка несет ответственность за разработку методик оценки текущих рыночных рисков, процедур управления этими рисками и за выявление и анализ текущего уровня рисков. Правление </w:t>
      </w:r>
      <w:r w:rsidRPr="009652D5">
        <w:rPr>
          <w:b w:val="0"/>
          <w:sz w:val="20"/>
          <w:szCs w:val="20"/>
        </w:rPr>
        <w:lastRenderedPageBreak/>
        <w:t>Банка осуществляет контроль за соблюдением подразделениями Банка действующих процедур и лимитов, ограничивающих уровень рыночных рисков. Руководители соответствующих подразделений отчитываются перед Руководством Банка на регулярной основе.</w:t>
      </w:r>
    </w:p>
    <w:p w:rsidR="0062600E" w:rsidRPr="009652D5" w:rsidRDefault="0025631B" w:rsidP="00C06AC5">
      <w:pPr>
        <w:pStyle w:val="210"/>
        <w:shd w:val="clear" w:color="auto" w:fill="auto"/>
        <w:spacing w:line="240" w:lineRule="exact"/>
        <w:ind w:firstLine="0"/>
        <w:jc w:val="both"/>
        <w:rPr>
          <w:b w:val="0"/>
          <w:sz w:val="20"/>
          <w:szCs w:val="20"/>
        </w:rPr>
      </w:pPr>
      <w:r w:rsidRPr="009652D5">
        <w:rPr>
          <w:b w:val="0"/>
          <w:sz w:val="20"/>
          <w:szCs w:val="20"/>
        </w:rPr>
        <w:t>Под управлением рыночными рисками понимается механизм ограничения величины возможных потерь по собственным позициям, которые могут быть понесены Банком за установленный период времени из-за изменений курсов валют, котировок ценных бумаг и процентных ставок путем установления системы соответствующих лимитов на проводимые операции, и проведения иных мероприятий, описанных ниже.</w:t>
      </w:r>
    </w:p>
    <w:p w:rsidR="0025631B" w:rsidRPr="009652D5" w:rsidRDefault="0025631B" w:rsidP="0025631B">
      <w:pPr>
        <w:pStyle w:val="310"/>
        <w:shd w:val="clear" w:color="auto" w:fill="auto"/>
        <w:spacing w:line="200" w:lineRule="exact"/>
        <w:ind w:firstLine="0"/>
        <w:jc w:val="left"/>
        <w:rPr>
          <w:rStyle w:val="34"/>
          <w:b/>
          <w:bCs/>
          <w:i/>
          <w:iCs/>
          <w:color w:val="000000"/>
        </w:rPr>
      </w:pPr>
    </w:p>
    <w:p w:rsidR="0025631B" w:rsidRPr="009652D5" w:rsidRDefault="0025631B" w:rsidP="0025631B">
      <w:pPr>
        <w:pStyle w:val="310"/>
        <w:shd w:val="clear" w:color="auto" w:fill="auto"/>
        <w:spacing w:line="200" w:lineRule="exact"/>
        <w:ind w:firstLine="0"/>
        <w:jc w:val="left"/>
        <w:rPr>
          <w:rStyle w:val="34"/>
          <w:b/>
          <w:bCs/>
          <w:i/>
          <w:iCs/>
          <w:color w:val="000000"/>
        </w:rPr>
      </w:pPr>
      <w:r w:rsidRPr="009652D5">
        <w:rPr>
          <w:rStyle w:val="34"/>
          <w:b/>
          <w:bCs/>
          <w:i/>
          <w:iCs/>
          <w:color w:val="000000"/>
        </w:rPr>
        <w:t>Валютный риск</w:t>
      </w:r>
    </w:p>
    <w:p w:rsidR="0025631B" w:rsidRPr="009652D5" w:rsidRDefault="0025631B" w:rsidP="0025631B">
      <w:pPr>
        <w:pStyle w:val="310"/>
        <w:shd w:val="clear" w:color="auto" w:fill="auto"/>
        <w:spacing w:line="200" w:lineRule="exact"/>
        <w:ind w:firstLine="0"/>
        <w:jc w:val="left"/>
      </w:pPr>
    </w:p>
    <w:p w:rsidR="0062600E" w:rsidRPr="009652D5" w:rsidRDefault="0025631B" w:rsidP="00C06AC5">
      <w:pPr>
        <w:pStyle w:val="210"/>
        <w:shd w:val="clear" w:color="auto" w:fill="auto"/>
        <w:spacing w:line="240" w:lineRule="exact"/>
        <w:ind w:firstLine="0"/>
        <w:jc w:val="both"/>
        <w:rPr>
          <w:b w:val="0"/>
          <w:sz w:val="20"/>
          <w:szCs w:val="20"/>
        </w:rPr>
      </w:pPr>
      <w:r w:rsidRPr="009652D5">
        <w:rPr>
          <w:b w:val="0"/>
          <w:sz w:val="20"/>
          <w:szCs w:val="20"/>
        </w:rPr>
        <w:t>Банк подвержен риску того, что справедливая стоимость будущих потоков денежных средств, связанных с финансовым инструментом, будет меняться из-за изменений валютно-обменных курсов.</w:t>
      </w:r>
    </w:p>
    <w:p w:rsidR="0062600E" w:rsidRPr="009652D5" w:rsidRDefault="0025631B" w:rsidP="00C06AC5">
      <w:pPr>
        <w:pStyle w:val="210"/>
        <w:shd w:val="clear" w:color="auto" w:fill="auto"/>
        <w:spacing w:line="240" w:lineRule="exact"/>
        <w:ind w:firstLine="0"/>
        <w:jc w:val="both"/>
        <w:rPr>
          <w:b w:val="0"/>
          <w:sz w:val="20"/>
          <w:szCs w:val="20"/>
        </w:rPr>
      </w:pPr>
      <w:r w:rsidRPr="009652D5">
        <w:rPr>
          <w:b w:val="0"/>
          <w:sz w:val="20"/>
          <w:szCs w:val="20"/>
        </w:rPr>
        <w:t>В качестве инструмента управления валютным риском Банк использует систему обязательных ограничений, установленных Банком России, включающую лимиты открытой валютной позиции на каждую отдельную валюту (до 10% от величины собственного капитала, рассчитанного в соответствии с требованиями Банка России) и лимит суммарной открытой валютной позиции на все иностранные валюты (до 20% от величины собственного капитала, рассчитанного в соответствии с требованиями Банка России). Банк контролирует соблюдение лимитов открытой валютной позиции на ежедневной основе.</w:t>
      </w:r>
    </w:p>
    <w:p w:rsidR="0062600E" w:rsidRPr="009652D5" w:rsidRDefault="0062600E" w:rsidP="00C06AC5">
      <w:pPr>
        <w:pStyle w:val="210"/>
        <w:shd w:val="clear" w:color="auto" w:fill="auto"/>
        <w:spacing w:line="240" w:lineRule="exact"/>
        <w:ind w:firstLine="0"/>
        <w:jc w:val="both"/>
        <w:rPr>
          <w:b w:val="0"/>
          <w:sz w:val="20"/>
          <w:szCs w:val="20"/>
        </w:rPr>
      </w:pPr>
    </w:p>
    <w:p w:rsidR="0062600E" w:rsidRPr="009652D5" w:rsidRDefault="0025631B" w:rsidP="00C06AC5">
      <w:pPr>
        <w:pStyle w:val="210"/>
        <w:shd w:val="clear" w:color="auto" w:fill="auto"/>
        <w:spacing w:line="240" w:lineRule="exact"/>
        <w:ind w:firstLine="0"/>
        <w:jc w:val="both"/>
        <w:rPr>
          <w:b w:val="0"/>
          <w:sz w:val="20"/>
          <w:szCs w:val="20"/>
        </w:rPr>
      </w:pPr>
      <w:r w:rsidRPr="009652D5">
        <w:rPr>
          <w:b w:val="0"/>
          <w:sz w:val="20"/>
          <w:szCs w:val="20"/>
        </w:rPr>
        <w:t>Банк придерживается консервативной политики управления валютными рисками, открывая валютную позицию, в основном, в наиболее часто используемых валютах в Российской Федерации (долларах США и Евро), и в объемах существенно ниже лимитов открытой валютной позиции, устанавливаемых Банком России.</w:t>
      </w:r>
    </w:p>
    <w:p w:rsidR="0062600E" w:rsidRPr="009652D5" w:rsidRDefault="0062600E" w:rsidP="00C06AC5">
      <w:pPr>
        <w:pStyle w:val="210"/>
        <w:shd w:val="clear" w:color="auto" w:fill="auto"/>
        <w:spacing w:line="240" w:lineRule="exact"/>
        <w:ind w:firstLine="0"/>
        <w:jc w:val="both"/>
        <w:rPr>
          <w:b w:val="0"/>
          <w:sz w:val="20"/>
          <w:szCs w:val="20"/>
        </w:rPr>
      </w:pPr>
    </w:p>
    <w:p w:rsidR="00014A8B" w:rsidRDefault="00014A8B" w:rsidP="00C06AC5">
      <w:pPr>
        <w:pStyle w:val="210"/>
        <w:shd w:val="clear" w:color="auto" w:fill="auto"/>
        <w:ind w:firstLine="0"/>
        <w:jc w:val="both"/>
        <w:rPr>
          <w:b w:val="0"/>
          <w:sz w:val="20"/>
          <w:szCs w:val="20"/>
        </w:rPr>
      </w:pPr>
    </w:p>
    <w:p w:rsidR="00014A8B" w:rsidRDefault="00014A8B" w:rsidP="00C06AC5">
      <w:pPr>
        <w:pStyle w:val="210"/>
        <w:shd w:val="clear" w:color="auto" w:fill="auto"/>
        <w:ind w:firstLine="0"/>
        <w:jc w:val="both"/>
        <w:rPr>
          <w:b w:val="0"/>
          <w:sz w:val="20"/>
          <w:szCs w:val="20"/>
        </w:rPr>
      </w:pPr>
    </w:p>
    <w:p w:rsidR="0062600E" w:rsidRPr="009652D5" w:rsidRDefault="00A91A56" w:rsidP="00C06AC5">
      <w:pPr>
        <w:pStyle w:val="210"/>
        <w:shd w:val="clear" w:color="auto" w:fill="auto"/>
        <w:ind w:firstLine="0"/>
        <w:jc w:val="both"/>
        <w:rPr>
          <w:b w:val="0"/>
          <w:sz w:val="20"/>
          <w:szCs w:val="20"/>
        </w:rPr>
      </w:pPr>
      <w:r w:rsidRPr="009652D5">
        <w:rPr>
          <w:b w:val="0"/>
          <w:sz w:val="20"/>
          <w:szCs w:val="20"/>
        </w:rPr>
        <w:t>В таблице ниже представлен анализ валютного риска Банка за 31 декабря 201</w:t>
      </w:r>
      <w:r w:rsidR="00B623F4" w:rsidRPr="009652D5">
        <w:rPr>
          <w:b w:val="0"/>
          <w:sz w:val="20"/>
          <w:szCs w:val="20"/>
        </w:rPr>
        <w:t>4</w:t>
      </w:r>
      <w:r w:rsidRPr="009652D5">
        <w:rPr>
          <w:b w:val="0"/>
          <w:sz w:val="20"/>
          <w:szCs w:val="20"/>
        </w:rPr>
        <w:t xml:space="preserve"> года. Финансовые активы и обязательства Банка отражены в таблице по балансовой стоимости в разрезе основных валют:</w:t>
      </w:r>
    </w:p>
    <w:tbl>
      <w:tblPr>
        <w:tblW w:w="4975" w:type="pct"/>
        <w:tblLayout w:type="fixed"/>
        <w:tblLook w:val="04A0"/>
      </w:tblPr>
      <w:tblGrid>
        <w:gridCol w:w="3369"/>
        <w:gridCol w:w="143"/>
        <w:gridCol w:w="1275"/>
        <w:gridCol w:w="1304"/>
        <w:gridCol w:w="1249"/>
        <w:gridCol w:w="1118"/>
        <w:gridCol w:w="1316"/>
      </w:tblGrid>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p>
        </w:tc>
        <w:tc>
          <w:tcPr>
            <w:tcW w:w="652"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Рубли</w:t>
            </w:r>
          </w:p>
        </w:tc>
        <w:tc>
          <w:tcPr>
            <w:tcW w:w="667"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Доллар США</w:t>
            </w:r>
          </w:p>
        </w:tc>
        <w:tc>
          <w:tcPr>
            <w:tcW w:w="639"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Евро</w:t>
            </w:r>
          </w:p>
        </w:tc>
        <w:tc>
          <w:tcPr>
            <w:tcW w:w="572"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Прочие</w:t>
            </w:r>
          </w:p>
        </w:tc>
        <w:tc>
          <w:tcPr>
            <w:tcW w:w="673"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Всего</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r w:rsidRPr="00FA5226">
              <w:rPr>
                <w:rFonts w:cs="Arial"/>
                <w:b/>
                <w:bCs/>
                <w:color w:val="000000"/>
                <w:szCs w:val="18"/>
                <w:lang w:val="ru-RU"/>
              </w:rPr>
              <w:t>Активы</w:t>
            </w:r>
          </w:p>
        </w:tc>
        <w:tc>
          <w:tcPr>
            <w:tcW w:w="65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73"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Денежные средства и их эквиваленты</w:t>
            </w:r>
          </w:p>
        </w:tc>
        <w:tc>
          <w:tcPr>
            <w:tcW w:w="65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559 146</w:t>
            </w:r>
          </w:p>
        </w:tc>
        <w:tc>
          <w:tcPr>
            <w:tcW w:w="667"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132 027</w:t>
            </w:r>
          </w:p>
        </w:tc>
        <w:tc>
          <w:tcPr>
            <w:tcW w:w="639"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34 013</w:t>
            </w:r>
          </w:p>
        </w:tc>
        <w:tc>
          <w:tcPr>
            <w:tcW w:w="57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725 186</w:t>
            </w:r>
          </w:p>
        </w:tc>
      </w:tr>
      <w:tr w:rsidR="003606F4" w:rsidRPr="003606F4"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3F4740">
            <w:pPr>
              <w:rPr>
                <w:rFonts w:cs="Arial"/>
                <w:color w:val="000000"/>
                <w:szCs w:val="18"/>
                <w:lang w:val="ru-RU"/>
              </w:rPr>
            </w:pPr>
            <w:r w:rsidRPr="00FA5226">
              <w:rPr>
                <w:rFonts w:cs="Arial"/>
                <w:color w:val="000000"/>
                <w:szCs w:val="18"/>
                <w:lang w:val="ru-RU"/>
              </w:rPr>
              <w:t xml:space="preserve">Обязательные резервы в </w:t>
            </w:r>
            <w:r w:rsidR="003F4740">
              <w:rPr>
                <w:rFonts w:cs="Arial"/>
                <w:color w:val="000000"/>
                <w:szCs w:val="18"/>
                <w:lang w:val="ru-RU"/>
              </w:rPr>
              <w:t>Банке России</w:t>
            </w:r>
          </w:p>
        </w:tc>
        <w:tc>
          <w:tcPr>
            <w:tcW w:w="65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1 396 639</w:t>
            </w:r>
          </w:p>
        </w:tc>
        <w:tc>
          <w:tcPr>
            <w:tcW w:w="667"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39"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57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1 396 639</w:t>
            </w:r>
          </w:p>
        </w:tc>
      </w:tr>
      <w:tr w:rsidR="003606F4" w:rsidRPr="003606F4"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Средства в других банках</w:t>
            </w:r>
          </w:p>
        </w:tc>
        <w:tc>
          <w:tcPr>
            <w:tcW w:w="65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67"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43 799</w:t>
            </w:r>
          </w:p>
        </w:tc>
        <w:tc>
          <w:tcPr>
            <w:tcW w:w="639"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57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43 799</w:t>
            </w:r>
          </w:p>
        </w:tc>
      </w:tr>
      <w:tr w:rsidR="003606F4" w:rsidRPr="003606F4"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Кредиты клиентам</w:t>
            </w:r>
          </w:p>
        </w:tc>
        <w:tc>
          <w:tcPr>
            <w:tcW w:w="652"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color w:val="000000"/>
                <w:szCs w:val="18"/>
                <w:lang w:val="en-US"/>
              </w:rPr>
            </w:pPr>
            <w:r w:rsidRPr="00FA5226">
              <w:rPr>
                <w:rFonts w:cs="Arial"/>
                <w:color w:val="000000"/>
                <w:szCs w:val="18"/>
                <w:lang w:val="en-US"/>
              </w:rPr>
              <w:t>8 532 327</w:t>
            </w:r>
          </w:p>
        </w:tc>
        <w:tc>
          <w:tcPr>
            <w:tcW w:w="667"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color w:val="000000"/>
                <w:szCs w:val="18"/>
                <w:lang w:val="en-US"/>
              </w:rPr>
            </w:pPr>
            <w:r w:rsidRPr="00FA5226">
              <w:rPr>
                <w:rFonts w:cs="Arial"/>
                <w:color w:val="000000"/>
                <w:szCs w:val="18"/>
                <w:lang w:val="en-US"/>
              </w:rPr>
              <w:t>603 094</w:t>
            </w:r>
          </w:p>
        </w:tc>
        <w:tc>
          <w:tcPr>
            <w:tcW w:w="639"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color w:val="000000"/>
                <w:szCs w:val="18"/>
                <w:lang w:val="en-US"/>
              </w:rPr>
            </w:pPr>
            <w:r w:rsidRPr="00FA5226">
              <w:rPr>
                <w:rFonts w:cs="Arial"/>
                <w:color w:val="000000"/>
                <w:szCs w:val="18"/>
                <w:lang w:val="en-US"/>
              </w:rPr>
              <w:t>1 839 832</w:t>
            </w:r>
          </w:p>
        </w:tc>
        <w:tc>
          <w:tcPr>
            <w:tcW w:w="57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b/>
                <w:bCs/>
                <w:color w:val="000000"/>
                <w:szCs w:val="18"/>
                <w:lang w:val="en-US"/>
              </w:rPr>
            </w:pPr>
            <w:r w:rsidRPr="00FA5226">
              <w:rPr>
                <w:rFonts w:cs="Arial"/>
                <w:b/>
                <w:bCs/>
                <w:color w:val="000000"/>
                <w:szCs w:val="18"/>
                <w:lang w:val="en-US"/>
              </w:rPr>
              <w:t>10 975 253</w:t>
            </w:r>
          </w:p>
        </w:tc>
      </w:tr>
      <w:tr w:rsidR="003606F4" w:rsidRPr="003606F4"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Ценные бумаги, имеющиеся в наличии для продажи</w:t>
            </w:r>
          </w:p>
        </w:tc>
        <w:tc>
          <w:tcPr>
            <w:tcW w:w="65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278 590</w:t>
            </w:r>
          </w:p>
        </w:tc>
        <w:tc>
          <w:tcPr>
            <w:tcW w:w="667"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39"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57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278 590</w:t>
            </w:r>
          </w:p>
          <w:p w:rsidR="008A2D06" w:rsidRPr="00FA5226" w:rsidRDefault="008A2D06" w:rsidP="00FA5226">
            <w:pPr>
              <w:jc w:val="right"/>
              <w:rPr>
                <w:rFonts w:cs="Arial"/>
                <w:b/>
                <w:bCs/>
                <w:color w:val="000000"/>
                <w:szCs w:val="18"/>
                <w:lang w:val="ru-RU"/>
              </w:rPr>
            </w:pP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Прочие активы и дебиторская задолженность (Прим.10)</w:t>
            </w:r>
          </w:p>
        </w:tc>
        <w:tc>
          <w:tcPr>
            <w:tcW w:w="652"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99 316</w:t>
            </w:r>
          </w:p>
        </w:tc>
        <w:tc>
          <w:tcPr>
            <w:tcW w:w="667"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251</w:t>
            </w:r>
          </w:p>
        </w:tc>
        <w:tc>
          <w:tcPr>
            <w:tcW w:w="639"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10 116</w:t>
            </w:r>
          </w:p>
        </w:tc>
        <w:tc>
          <w:tcPr>
            <w:tcW w:w="572"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color w:val="000000"/>
                <w:szCs w:val="18"/>
                <w:lang w:val="ru-RU"/>
              </w:rPr>
            </w:pPr>
            <w:r w:rsidRPr="00FA5226">
              <w:rPr>
                <w:rFonts w:cs="Arial"/>
                <w:color w:val="000000"/>
                <w:szCs w:val="18"/>
                <w:lang w:val="ru-RU"/>
              </w:rPr>
              <w:t>-</w:t>
            </w:r>
          </w:p>
        </w:tc>
        <w:tc>
          <w:tcPr>
            <w:tcW w:w="673" w:type="pct"/>
            <w:tcBorders>
              <w:top w:val="nil"/>
              <w:left w:val="nil"/>
              <w:bottom w:val="single" w:sz="4" w:space="0" w:color="auto"/>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109 683</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r w:rsidRPr="00FA5226">
              <w:rPr>
                <w:rFonts w:cs="Arial"/>
                <w:b/>
                <w:bCs/>
                <w:color w:val="000000"/>
                <w:szCs w:val="18"/>
                <w:lang w:val="ru-RU"/>
              </w:rPr>
              <w:t>Всего активов</w:t>
            </w:r>
          </w:p>
        </w:tc>
        <w:tc>
          <w:tcPr>
            <w:tcW w:w="652"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b/>
                <w:bCs/>
                <w:color w:val="000000"/>
                <w:szCs w:val="18"/>
                <w:lang w:val="en-US"/>
              </w:rPr>
            </w:pPr>
            <w:r w:rsidRPr="00FA5226">
              <w:rPr>
                <w:rFonts w:cs="Arial"/>
                <w:b/>
                <w:bCs/>
                <w:color w:val="000000"/>
                <w:szCs w:val="18"/>
                <w:lang w:val="en-US"/>
              </w:rPr>
              <w:t>10 866 018</w:t>
            </w:r>
          </w:p>
        </w:tc>
        <w:tc>
          <w:tcPr>
            <w:tcW w:w="667"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b/>
                <w:bCs/>
                <w:color w:val="000000"/>
                <w:szCs w:val="18"/>
                <w:lang w:val="en-US"/>
              </w:rPr>
            </w:pPr>
            <w:r w:rsidRPr="00FA5226">
              <w:rPr>
                <w:rFonts w:cs="Arial"/>
                <w:b/>
                <w:bCs/>
                <w:color w:val="000000"/>
                <w:szCs w:val="18"/>
                <w:lang w:val="en-US"/>
              </w:rPr>
              <w:t>779 171</w:t>
            </w:r>
          </w:p>
        </w:tc>
        <w:tc>
          <w:tcPr>
            <w:tcW w:w="639"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b/>
                <w:bCs/>
                <w:color w:val="000000"/>
                <w:szCs w:val="18"/>
                <w:lang w:val="en-US"/>
              </w:rPr>
            </w:pPr>
            <w:r w:rsidRPr="00FA5226">
              <w:rPr>
                <w:rFonts w:cs="Arial"/>
                <w:b/>
                <w:bCs/>
                <w:color w:val="000000"/>
                <w:szCs w:val="18"/>
                <w:lang w:val="en-US"/>
              </w:rPr>
              <w:t>1 883 961</w:t>
            </w:r>
          </w:p>
        </w:tc>
        <w:tc>
          <w:tcPr>
            <w:tcW w:w="572" w:type="pct"/>
            <w:tcBorders>
              <w:top w:val="nil"/>
              <w:left w:val="nil"/>
              <w:bottom w:val="nil"/>
              <w:right w:val="nil"/>
            </w:tcBorders>
            <w:shd w:val="clear" w:color="auto" w:fill="auto"/>
            <w:noWrap/>
            <w:vAlign w:val="bottom"/>
            <w:hideMark/>
          </w:tcPr>
          <w:p w:rsidR="00B623F4" w:rsidRPr="00FA5226" w:rsidRDefault="00B623F4" w:rsidP="00FA5226">
            <w:pPr>
              <w:jc w:val="right"/>
              <w:rPr>
                <w:rFonts w:cs="Arial"/>
                <w:b/>
                <w:bCs/>
                <w:color w:val="000000"/>
                <w:szCs w:val="18"/>
                <w:lang w:val="ru-RU"/>
              </w:rPr>
            </w:pPr>
            <w:r w:rsidRPr="00FA5226">
              <w:rPr>
                <w:rFonts w:cs="Arial"/>
                <w:b/>
                <w:bCs/>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A36DE" w:rsidP="00FA5226">
            <w:pPr>
              <w:jc w:val="right"/>
              <w:rPr>
                <w:rFonts w:cs="Arial"/>
                <w:b/>
                <w:bCs/>
                <w:color w:val="000000"/>
                <w:szCs w:val="18"/>
                <w:lang w:val="en-US"/>
              </w:rPr>
            </w:pPr>
            <w:r w:rsidRPr="00FA5226">
              <w:rPr>
                <w:rFonts w:cs="Arial"/>
                <w:b/>
                <w:bCs/>
                <w:color w:val="000000"/>
                <w:szCs w:val="18"/>
                <w:lang w:val="en-US"/>
              </w:rPr>
              <w:t>13 529 150</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p>
        </w:tc>
        <w:tc>
          <w:tcPr>
            <w:tcW w:w="65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73"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r w:rsidRPr="00FA5226">
              <w:rPr>
                <w:rFonts w:cs="Arial"/>
                <w:b/>
                <w:bCs/>
                <w:color w:val="000000"/>
                <w:szCs w:val="18"/>
                <w:lang w:val="ru-RU"/>
              </w:rPr>
              <w:t>Обязательства</w:t>
            </w:r>
          </w:p>
        </w:tc>
        <w:tc>
          <w:tcPr>
            <w:tcW w:w="65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p>
        </w:tc>
        <w:tc>
          <w:tcPr>
            <w:tcW w:w="673"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Средства других банков</w:t>
            </w:r>
          </w:p>
        </w:tc>
        <w:tc>
          <w:tcPr>
            <w:tcW w:w="65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350 414</w:t>
            </w: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56 257</w:t>
            </w: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4 712</w:t>
            </w: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411 383</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Средства клиентов</w:t>
            </w:r>
          </w:p>
        </w:tc>
        <w:tc>
          <w:tcPr>
            <w:tcW w:w="652" w:type="pct"/>
            <w:tcBorders>
              <w:top w:val="nil"/>
              <w:left w:val="nil"/>
              <w:bottom w:val="nil"/>
              <w:right w:val="nil"/>
            </w:tcBorders>
            <w:shd w:val="clear" w:color="auto" w:fill="auto"/>
            <w:noWrap/>
            <w:vAlign w:val="bottom"/>
            <w:hideMark/>
          </w:tcPr>
          <w:p w:rsidR="00B623F4" w:rsidRPr="00FA5226" w:rsidRDefault="00F85C64" w:rsidP="00B623F4">
            <w:pPr>
              <w:jc w:val="center"/>
              <w:rPr>
                <w:rFonts w:cs="Arial"/>
                <w:color w:val="000000"/>
                <w:szCs w:val="18"/>
                <w:lang w:val="en-US"/>
              </w:rPr>
            </w:pPr>
            <w:r w:rsidRPr="00FA5226">
              <w:rPr>
                <w:rFonts w:cs="Arial"/>
                <w:color w:val="000000"/>
                <w:szCs w:val="18"/>
                <w:lang w:val="en-US"/>
              </w:rPr>
              <w:t>32 580 259</w:t>
            </w: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3 449 067</w:t>
            </w: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3 897 473</w:t>
            </w: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4</w:t>
            </w:r>
          </w:p>
        </w:tc>
        <w:tc>
          <w:tcPr>
            <w:tcW w:w="673" w:type="pct"/>
            <w:tcBorders>
              <w:top w:val="nil"/>
              <w:left w:val="nil"/>
              <w:bottom w:val="nil"/>
              <w:right w:val="nil"/>
            </w:tcBorders>
            <w:shd w:val="clear" w:color="auto" w:fill="auto"/>
            <w:noWrap/>
            <w:vAlign w:val="bottom"/>
            <w:hideMark/>
          </w:tcPr>
          <w:p w:rsidR="00B623F4" w:rsidRPr="00FA5226" w:rsidRDefault="00F85C64" w:rsidP="00B623F4">
            <w:pPr>
              <w:jc w:val="center"/>
              <w:rPr>
                <w:rFonts w:cs="Arial"/>
                <w:color w:val="000000"/>
                <w:szCs w:val="18"/>
                <w:lang w:val="en-US"/>
              </w:rPr>
            </w:pPr>
            <w:r w:rsidRPr="00FA5226">
              <w:rPr>
                <w:rFonts w:cs="Arial"/>
                <w:color w:val="000000"/>
                <w:szCs w:val="18"/>
                <w:lang w:val="en-US"/>
              </w:rPr>
              <w:t>39 926 803</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Выпущенные долговые ценные бумаги</w:t>
            </w:r>
          </w:p>
        </w:tc>
        <w:tc>
          <w:tcPr>
            <w:tcW w:w="65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130 777</w:t>
            </w: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18 191</w:t>
            </w: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23 337</w:t>
            </w: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172 305</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5D6926">
            <w:pPr>
              <w:rPr>
                <w:rFonts w:cs="Arial"/>
                <w:color w:val="000000"/>
                <w:szCs w:val="18"/>
                <w:lang w:val="ru-RU"/>
              </w:rPr>
            </w:pPr>
            <w:r w:rsidRPr="00FA5226">
              <w:rPr>
                <w:rFonts w:cs="Arial"/>
                <w:color w:val="000000"/>
                <w:szCs w:val="18"/>
                <w:lang w:val="ru-RU"/>
              </w:rPr>
              <w:t>Субординированны</w:t>
            </w:r>
            <w:r w:rsidR="005D6926">
              <w:rPr>
                <w:rFonts w:cs="Arial"/>
                <w:color w:val="000000"/>
                <w:szCs w:val="18"/>
                <w:lang w:val="ru-RU"/>
              </w:rPr>
              <w:t>е</w:t>
            </w:r>
            <w:r w:rsidR="0079602F">
              <w:rPr>
                <w:rFonts w:cs="Arial"/>
                <w:color w:val="000000"/>
                <w:szCs w:val="18"/>
                <w:lang w:val="ru-RU"/>
              </w:rPr>
              <w:t xml:space="preserve"> </w:t>
            </w:r>
            <w:r w:rsidR="005D6926">
              <w:rPr>
                <w:rFonts w:cs="Arial"/>
                <w:color w:val="000000"/>
                <w:szCs w:val="18"/>
                <w:lang w:val="ru-RU"/>
              </w:rPr>
              <w:t>займы</w:t>
            </w:r>
          </w:p>
        </w:tc>
        <w:tc>
          <w:tcPr>
            <w:tcW w:w="65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450 000</w:t>
            </w:r>
          </w:p>
        </w:tc>
        <w:tc>
          <w:tcPr>
            <w:tcW w:w="667"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w:t>
            </w:r>
          </w:p>
        </w:tc>
        <w:tc>
          <w:tcPr>
            <w:tcW w:w="639"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1 824 750</w:t>
            </w:r>
          </w:p>
        </w:tc>
        <w:tc>
          <w:tcPr>
            <w:tcW w:w="572"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w:t>
            </w:r>
          </w:p>
        </w:tc>
        <w:tc>
          <w:tcPr>
            <w:tcW w:w="673" w:type="pct"/>
            <w:tcBorders>
              <w:top w:val="nil"/>
              <w:left w:val="nil"/>
              <w:bottom w:val="nil"/>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2 274 750</w:t>
            </w:r>
          </w:p>
        </w:tc>
      </w:tr>
      <w:tr w:rsidR="003606F4" w:rsidRPr="009652D5" w:rsidTr="00FA5226">
        <w:trPr>
          <w:trHeight w:val="600"/>
        </w:trPr>
        <w:tc>
          <w:tcPr>
            <w:tcW w:w="1796" w:type="pct"/>
            <w:gridSpan w:val="2"/>
            <w:tcBorders>
              <w:top w:val="nil"/>
              <w:left w:val="nil"/>
              <w:bottom w:val="nil"/>
              <w:right w:val="nil"/>
            </w:tcBorders>
            <w:shd w:val="clear" w:color="auto" w:fill="auto"/>
            <w:vAlign w:val="bottom"/>
            <w:hideMark/>
          </w:tcPr>
          <w:p w:rsidR="00B623F4" w:rsidRPr="00FA5226" w:rsidRDefault="00B623F4" w:rsidP="00B623F4">
            <w:pPr>
              <w:rPr>
                <w:rFonts w:cs="Arial"/>
                <w:color w:val="000000"/>
                <w:szCs w:val="18"/>
                <w:lang w:val="ru-RU"/>
              </w:rPr>
            </w:pPr>
            <w:r w:rsidRPr="00FA5226">
              <w:rPr>
                <w:rFonts w:cs="Arial"/>
                <w:color w:val="000000"/>
                <w:szCs w:val="18"/>
                <w:lang w:val="ru-RU"/>
              </w:rPr>
              <w:t>Прочие обязательства и кредиторская задолженность (Прим.19)</w:t>
            </w:r>
          </w:p>
        </w:tc>
        <w:tc>
          <w:tcPr>
            <w:tcW w:w="652"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174 417</w:t>
            </w:r>
          </w:p>
        </w:tc>
        <w:tc>
          <w:tcPr>
            <w:tcW w:w="667"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7 461</w:t>
            </w:r>
          </w:p>
        </w:tc>
        <w:tc>
          <w:tcPr>
            <w:tcW w:w="639"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68</w:t>
            </w:r>
          </w:p>
        </w:tc>
        <w:tc>
          <w:tcPr>
            <w:tcW w:w="572"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color w:val="000000"/>
                <w:szCs w:val="18"/>
                <w:lang w:val="ru-RU"/>
              </w:rPr>
            </w:pPr>
            <w:r w:rsidRPr="00FA5226">
              <w:rPr>
                <w:rFonts w:cs="Arial"/>
                <w:color w:val="000000"/>
                <w:szCs w:val="18"/>
                <w:lang w:val="ru-RU"/>
              </w:rPr>
              <w:t>-</w:t>
            </w:r>
          </w:p>
        </w:tc>
        <w:tc>
          <w:tcPr>
            <w:tcW w:w="673"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181 946</w:t>
            </w:r>
          </w:p>
        </w:tc>
      </w:tr>
      <w:tr w:rsidR="003606F4" w:rsidRPr="009652D5" w:rsidTr="00FA5226">
        <w:trPr>
          <w:trHeight w:val="30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r w:rsidRPr="00FA5226">
              <w:rPr>
                <w:rFonts w:cs="Arial"/>
                <w:b/>
                <w:bCs/>
                <w:color w:val="000000"/>
                <w:szCs w:val="18"/>
                <w:lang w:val="ru-RU"/>
              </w:rPr>
              <w:t>Итого обязательств</w:t>
            </w:r>
          </w:p>
        </w:tc>
        <w:tc>
          <w:tcPr>
            <w:tcW w:w="652" w:type="pct"/>
            <w:tcBorders>
              <w:top w:val="nil"/>
              <w:left w:val="nil"/>
              <w:bottom w:val="single" w:sz="4" w:space="0" w:color="auto"/>
              <w:right w:val="nil"/>
            </w:tcBorders>
            <w:shd w:val="clear" w:color="auto" w:fill="auto"/>
            <w:noWrap/>
            <w:vAlign w:val="bottom"/>
            <w:hideMark/>
          </w:tcPr>
          <w:p w:rsidR="00B623F4" w:rsidRPr="00FA5226" w:rsidRDefault="00703CA4" w:rsidP="00B623F4">
            <w:pPr>
              <w:jc w:val="center"/>
              <w:rPr>
                <w:rFonts w:cs="Arial"/>
                <w:b/>
                <w:bCs/>
                <w:color w:val="000000"/>
                <w:szCs w:val="18"/>
                <w:lang w:val="en-US"/>
              </w:rPr>
            </w:pPr>
            <w:r w:rsidRPr="00FA5226">
              <w:rPr>
                <w:rFonts w:cs="Arial"/>
                <w:b/>
                <w:bCs/>
                <w:color w:val="000000"/>
                <w:szCs w:val="18"/>
                <w:lang w:val="en-US"/>
              </w:rPr>
              <w:t>33 685 867</w:t>
            </w:r>
          </w:p>
        </w:tc>
        <w:tc>
          <w:tcPr>
            <w:tcW w:w="667"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3 530 976</w:t>
            </w:r>
          </w:p>
        </w:tc>
        <w:tc>
          <w:tcPr>
            <w:tcW w:w="639"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5 750 340</w:t>
            </w:r>
          </w:p>
        </w:tc>
        <w:tc>
          <w:tcPr>
            <w:tcW w:w="572" w:type="pct"/>
            <w:tcBorders>
              <w:top w:val="nil"/>
              <w:left w:val="nil"/>
              <w:bottom w:val="single" w:sz="4"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4</w:t>
            </w:r>
          </w:p>
        </w:tc>
        <w:tc>
          <w:tcPr>
            <w:tcW w:w="673" w:type="pct"/>
            <w:tcBorders>
              <w:top w:val="nil"/>
              <w:left w:val="nil"/>
              <w:bottom w:val="single" w:sz="4" w:space="0" w:color="auto"/>
              <w:right w:val="nil"/>
            </w:tcBorders>
            <w:shd w:val="clear" w:color="auto" w:fill="auto"/>
            <w:noWrap/>
            <w:vAlign w:val="bottom"/>
            <w:hideMark/>
          </w:tcPr>
          <w:p w:rsidR="00B623F4" w:rsidRPr="00FA5226" w:rsidRDefault="00703CA4" w:rsidP="00B623F4">
            <w:pPr>
              <w:jc w:val="center"/>
              <w:rPr>
                <w:rFonts w:cs="Arial"/>
                <w:b/>
                <w:bCs/>
                <w:color w:val="000000"/>
                <w:szCs w:val="18"/>
                <w:lang w:val="en-US"/>
              </w:rPr>
            </w:pPr>
            <w:r w:rsidRPr="00FA5226">
              <w:rPr>
                <w:rFonts w:cs="Arial"/>
                <w:b/>
                <w:bCs/>
                <w:color w:val="000000"/>
                <w:szCs w:val="18"/>
                <w:lang w:val="en-US"/>
              </w:rPr>
              <w:t>42 967 187</w:t>
            </w:r>
          </w:p>
        </w:tc>
      </w:tr>
      <w:tr w:rsidR="003606F4" w:rsidRPr="009652D5" w:rsidTr="00FA5226">
        <w:trPr>
          <w:trHeight w:val="315"/>
        </w:trPr>
        <w:tc>
          <w:tcPr>
            <w:tcW w:w="1723" w:type="pct"/>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r w:rsidRPr="00FA5226">
              <w:rPr>
                <w:rFonts w:cs="Arial"/>
                <w:b/>
                <w:bCs/>
                <w:color w:val="000000"/>
                <w:szCs w:val="18"/>
                <w:lang w:val="ru-RU"/>
              </w:rPr>
              <w:t>Чистая балансовая позиция на 31 декабря 2014</w:t>
            </w:r>
          </w:p>
        </w:tc>
        <w:tc>
          <w:tcPr>
            <w:tcW w:w="725" w:type="pct"/>
            <w:gridSpan w:val="2"/>
            <w:tcBorders>
              <w:top w:val="nil"/>
              <w:left w:val="nil"/>
              <w:bottom w:val="double" w:sz="6" w:space="0" w:color="auto"/>
              <w:right w:val="nil"/>
            </w:tcBorders>
            <w:shd w:val="clear" w:color="auto" w:fill="auto"/>
            <w:noWrap/>
            <w:vAlign w:val="bottom"/>
            <w:hideMark/>
          </w:tcPr>
          <w:p w:rsidR="00B623F4" w:rsidRPr="00FA5226" w:rsidRDefault="00EF7F84" w:rsidP="00B623F4">
            <w:pPr>
              <w:jc w:val="center"/>
              <w:rPr>
                <w:rFonts w:cs="Arial"/>
                <w:b/>
                <w:bCs/>
                <w:color w:val="000000"/>
                <w:szCs w:val="18"/>
                <w:lang w:val="en-US"/>
              </w:rPr>
            </w:pPr>
            <w:r w:rsidRPr="00FA5226">
              <w:rPr>
                <w:rFonts w:cs="Arial"/>
                <w:b/>
                <w:bCs/>
                <w:color w:val="000000"/>
                <w:szCs w:val="18"/>
                <w:lang w:val="ru-RU"/>
              </w:rPr>
              <w:t> </w:t>
            </w:r>
            <w:r w:rsidRPr="00FA5226">
              <w:rPr>
                <w:rFonts w:cs="Arial"/>
                <w:b/>
                <w:bCs/>
                <w:color w:val="000000"/>
                <w:szCs w:val="18"/>
                <w:lang w:val="en-US"/>
              </w:rPr>
              <w:t>(22 819 849)</w:t>
            </w:r>
          </w:p>
        </w:tc>
        <w:tc>
          <w:tcPr>
            <w:tcW w:w="667" w:type="pct"/>
            <w:tcBorders>
              <w:top w:val="nil"/>
              <w:left w:val="nil"/>
              <w:bottom w:val="double" w:sz="6" w:space="0" w:color="auto"/>
              <w:right w:val="nil"/>
            </w:tcBorders>
            <w:shd w:val="clear" w:color="auto" w:fill="auto"/>
            <w:noWrap/>
            <w:vAlign w:val="bottom"/>
            <w:hideMark/>
          </w:tcPr>
          <w:p w:rsidR="00B623F4" w:rsidRPr="00FA5226" w:rsidRDefault="00EF7F84" w:rsidP="00B623F4">
            <w:pPr>
              <w:jc w:val="center"/>
              <w:rPr>
                <w:rFonts w:cs="Arial"/>
                <w:b/>
                <w:bCs/>
                <w:color w:val="000000"/>
                <w:szCs w:val="18"/>
                <w:lang w:val="en-US"/>
              </w:rPr>
            </w:pPr>
            <w:r w:rsidRPr="00FA5226">
              <w:rPr>
                <w:rFonts w:cs="Arial"/>
                <w:b/>
                <w:bCs/>
                <w:color w:val="000000"/>
                <w:szCs w:val="18"/>
                <w:lang w:val="ru-RU"/>
              </w:rPr>
              <w:t> </w:t>
            </w:r>
            <w:r w:rsidRPr="00FA5226">
              <w:rPr>
                <w:rFonts w:cs="Arial"/>
                <w:b/>
                <w:bCs/>
                <w:color w:val="000000"/>
                <w:szCs w:val="18"/>
                <w:lang w:val="en-US"/>
              </w:rPr>
              <w:t>(2 751 805)</w:t>
            </w:r>
          </w:p>
        </w:tc>
        <w:tc>
          <w:tcPr>
            <w:tcW w:w="639" w:type="pct"/>
            <w:tcBorders>
              <w:top w:val="nil"/>
              <w:left w:val="nil"/>
              <w:bottom w:val="double" w:sz="6" w:space="0" w:color="auto"/>
              <w:right w:val="nil"/>
            </w:tcBorders>
            <w:shd w:val="clear" w:color="auto" w:fill="auto"/>
            <w:noWrap/>
            <w:vAlign w:val="bottom"/>
            <w:hideMark/>
          </w:tcPr>
          <w:p w:rsidR="00B623F4" w:rsidRPr="00FA5226" w:rsidRDefault="00EF7F84" w:rsidP="00B623F4">
            <w:pPr>
              <w:jc w:val="center"/>
              <w:rPr>
                <w:rFonts w:cs="Arial"/>
                <w:b/>
                <w:bCs/>
                <w:color w:val="000000"/>
                <w:szCs w:val="18"/>
                <w:lang w:val="en-US"/>
              </w:rPr>
            </w:pPr>
            <w:r w:rsidRPr="00FA5226">
              <w:rPr>
                <w:rFonts w:cs="Arial"/>
                <w:b/>
                <w:bCs/>
                <w:color w:val="000000"/>
                <w:szCs w:val="18"/>
                <w:lang w:val="ru-RU"/>
              </w:rPr>
              <w:t> </w:t>
            </w:r>
            <w:r w:rsidRPr="00FA5226">
              <w:rPr>
                <w:rFonts w:cs="Arial"/>
                <w:b/>
                <w:bCs/>
                <w:color w:val="000000"/>
                <w:szCs w:val="18"/>
                <w:lang w:val="en-US"/>
              </w:rPr>
              <w:t>(3 866 379)</w:t>
            </w:r>
          </w:p>
        </w:tc>
        <w:tc>
          <w:tcPr>
            <w:tcW w:w="572" w:type="pct"/>
            <w:tcBorders>
              <w:top w:val="nil"/>
              <w:left w:val="nil"/>
              <w:bottom w:val="double" w:sz="6"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(4)</w:t>
            </w:r>
          </w:p>
        </w:tc>
        <w:tc>
          <w:tcPr>
            <w:tcW w:w="673" w:type="pct"/>
            <w:tcBorders>
              <w:top w:val="nil"/>
              <w:left w:val="nil"/>
              <w:bottom w:val="double" w:sz="6" w:space="0" w:color="auto"/>
              <w:right w:val="nil"/>
            </w:tcBorders>
            <w:shd w:val="clear" w:color="auto" w:fill="auto"/>
            <w:noWrap/>
            <w:vAlign w:val="bottom"/>
            <w:hideMark/>
          </w:tcPr>
          <w:p w:rsidR="00B623F4" w:rsidRPr="00FA5226" w:rsidRDefault="00EF7F84" w:rsidP="00B623F4">
            <w:pPr>
              <w:jc w:val="center"/>
              <w:rPr>
                <w:rFonts w:cs="Arial"/>
                <w:b/>
                <w:bCs/>
                <w:color w:val="000000"/>
                <w:szCs w:val="18"/>
                <w:lang w:val="en-US"/>
              </w:rPr>
            </w:pPr>
            <w:r w:rsidRPr="00FA5226">
              <w:rPr>
                <w:rFonts w:cs="Arial"/>
                <w:b/>
                <w:bCs/>
                <w:color w:val="000000"/>
                <w:szCs w:val="18"/>
                <w:lang w:val="ru-RU"/>
              </w:rPr>
              <w:t> </w:t>
            </w:r>
            <w:r w:rsidRPr="00FA5226">
              <w:rPr>
                <w:rFonts w:cs="Arial"/>
                <w:b/>
                <w:bCs/>
                <w:color w:val="000000"/>
                <w:szCs w:val="18"/>
                <w:lang w:val="en-US"/>
              </w:rPr>
              <w:t>(29 438 037)</w:t>
            </w:r>
          </w:p>
        </w:tc>
      </w:tr>
      <w:tr w:rsidR="003606F4" w:rsidRPr="009652D5" w:rsidTr="00FA5226">
        <w:trPr>
          <w:trHeight w:val="330"/>
        </w:trPr>
        <w:tc>
          <w:tcPr>
            <w:tcW w:w="1796" w:type="pct"/>
            <w:gridSpan w:val="2"/>
            <w:tcBorders>
              <w:top w:val="nil"/>
              <w:left w:val="nil"/>
              <w:bottom w:val="nil"/>
              <w:right w:val="nil"/>
            </w:tcBorders>
            <w:shd w:val="clear" w:color="auto" w:fill="auto"/>
            <w:noWrap/>
            <w:vAlign w:val="bottom"/>
            <w:hideMark/>
          </w:tcPr>
          <w:p w:rsidR="00B623F4" w:rsidRPr="00FA5226" w:rsidRDefault="00B623F4" w:rsidP="00B623F4">
            <w:pPr>
              <w:rPr>
                <w:rFonts w:cs="Arial"/>
                <w:b/>
                <w:bCs/>
                <w:color w:val="000000"/>
                <w:szCs w:val="18"/>
                <w:lang w:val="ru-RU"/>
              </w:rPr>
            </w:pPr>
            <w:r w:rsidRPr="00FA5226">
              <w:rPr>
                <w:rFonts w:cs="Arial"/>
                <w:b/>
                <w:bCs/>
                <w:color w:val="000000"/>
                <w:szCs w:val="18"/>
                <w:lang w:val="ru-RU"/>
              </w:rPr>
              <w:t xml:space="preserve">Чистая балансовая позиция на 31 </w:t>
            </w:r>
            <w:r w:rsidRPr="00FA5226">
              <w:rPr>
                <w:rFonts w:cs="Arial"/>
                <w:b/>
                <w:bCs/>
                <w:color w:val="000000"/>
                <w:szCs w:val="18"/>
                <w:lang w:val="ru-RU"/>
              </w:rPr>
              <w:lastRenderedPageBreak/>
              <w:t>декабря 2013</w:t>
            </w:r>
          </w:p>
        </w:tc>
        <w:tc>
          <w:tcPr>
            <w:tcW w:w="652" w:type="pct"/>
            <w:tcBorders>
              <w:top w:val="nil"/>
              <w:left w:val="nil"/>
              <w:bottom w:val="double" w:sz="6"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lastRenderedPageBreak/>
              <w:t>2 715 687</w:t>
            </w:r>
          </w:p>
        </w:tc>
        <w:tc>
          <w:tcPr>
            <w:tcW w:w="667" w:type="pct"/>
            <w:tcBorders>
              <w:top w:val="nil"/>
              <w:left w:val="nil"/>
              <w:bottom w:val="double" w:sz="6"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(293 519)</w:t>
            </w:r>
          </w:p>
        </w:tc>
        <w:tc>
          <w:tcPr>
            <w:tcW w:w="639" w:type="pct"/>
            <w:tcBorders>
              <w:top w:val="nil"/>
              <w:left w:val="nil"/>
              <w:bottom w:val="double" w:sz="6"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(365 859)</w:t>
            </w:r>
          </w:p>
        </w:tc>
        <w:tc>
          <w:tcPr>
            <w:tcW w:w="572" w:type="pct"/>
            <w:tcBorders>
              <w:top w:val="nil"/>
              <w:left w:val="nil"/>
              <w:bottom w:val="double" w:sz="6"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(2)</w:t>
            </w:r>
          </w:p>
        </w:tc>
        <w:tc>
          <w:tcPr>
            <w:tcW w:w="673" w:type="pct"/>
            <w:tcBorders>
              <w:top w:val="nil"/>
              <w:left w:val="nil"/>
              <w:bottom w:val="double" w:sz="6" w:space="0" w:color="auto"/>
              <w:right w:val="nil"/>
            </w:tcBorders>
            <w:shd w:val="clear" w:color="auto" w:fill="auto"/>
            <w:noWrap/>
            <w:vAlign w:val="bottom"/>
            <w:hideMark/>
          </w:tcPr>
          <w:p w:rsidR="00B623F4" w:rsidRPr="00FA5226" w:rsidRDefault="00B623F4" w:rsidP="00B623F4">
            <w:pPr>
              <w:jc w:val="center"/>
              <w:rPr>
                <w:rFonts w:cs="Arial"/>
                <w:b/>
                <w:bCs/>
                <w:color w:val="000000"/>
                <w:szCs w:val="18"/>
                <w:lang w:val="ru-RU"/>
              </w:rPr>
            </w:pPr>
            <w:r w:rsidRPr="00FA5226">
              <w:rPr>
                <w:rFonts w:cs="Arial"/>
                <w:b/>
                <w:bCs/>
                <w:color w:val="000000"/>
                <w:szCs w:val="18"/>
                <w:lang w:val="ru-RU"/>
              </w:rPr>
              <w:t>2 056 307</w:t>
            </w:r>
          </w:p>
        </w:tc>
      </w:tr>
    </w:tbl>
    <w:p w:rsidR="00A91A56" w:rsidRPr="009652D5" w:rsidRDefault="00A91A56" w:rsidP="0025631B">
      <w:pPr>
        <w:pStyle w:val="210"/>
        <w:shd w:val="clear" w:color="auto" w:fill="auto"/>
        <w:spacing w:line="240" w:lineRule="exact"/>
        <w:ind w:firstLine="0"/>
        <w:rPr>
          <w:b w:val="0"/>
          <w:sz w:val="20"/>
          <w:szCs w:val="20"/>
        </w:rPr>
      </w:pPr>
    </w:p>
    <w:p w:rsidR="00B623F4" w:rsidRPr="009652D5" w:rsidRDefault="00B623F4" w:rsidP="00B623F4">
      <w:pPr>
        <w:pStyle w:val="53"/>
        <w:shd w:val="clear" w:color="auto" w:fill="auto"/>
        <w:rPr>
          <w:sz w:val="20"/>
          <w:szCs w:val="20"/>
        </w:rPr>
      </w:pPr>
      <w:r w:rsidRPr="009652D5">
        <w:rPr>
          <w:rStyle w:val="52"/>
          <w:color w:val="000000"/>
          <w:sz w:val="20"/>
          <w:szCs w:val="20"/>
        </w:rPr>
        <w:t xml:space="preserve">* Прочие активы и дебиторская задолженность включают в себя незавершенные расчетные операции по </w:t>
      </w:r>
      <w:r w:rsidR="002A020C">
        <w:rPr>
          <w:rStyle w:val="52"/>
          <w:color w:val="000000"/>
          <w:sz w:val="20"/>
          <w:szCs w:val="20"/>
        </w:rPr>
        <w:t>платежным</w:t>
      </w:r>
      <w:r w:rsidR="00B84D52">
        <w:rPr>
          <w:rStyle w:val="52"/>
          <w:color w:val="000000"/>
          <w:sz w:val="20"/>
          <w:szCs w:val="20"/>
        </w:rPr>
        <w:t xml:space="preserve"> </w:t>
      </w:r>
      <w:r w:rsidRPr="009652D5">
        <w:rPr>
          <w:rStyle w:val="52"/>
          <w:color w:val="000000"/>
          <w:sz w:val="20"/>
          <w:szCs w:val="20"/>
        </w:rPr>
        <w:t>картам и расчеты с прочими дебиторами.</w:t>
      </w:r>
    </w:p>
    <w:p w:rsidR="00B623F4" w:rsidRPr="009652D5" w:rsidRDefault="00B623F4" w:rsidP="00B623F4">
      <w:pPr>
        <w:pStyle w:val="53"/>
        <w:shd w:val="clear" w:color="auto" w:fill="auto"/>
        <w:rPr>
          <w:sz w:val="20"/>
          <w:szCs w:val="20"/>
        </w:rPr>
      </w:pPr>
      <w:r w:rsidRPr="009652D5">
        <w:rPr>
          <w:rStyle w:val="52"/>
          <w:color w:val="000000"/>
          <w:sz w:val="20"/>
          <w:szCs w:val="20"/>
        </w:rPr>
        <w:t xml:space="preserve">** Прочие обязательства и кредиторская задолженность включают в себя незавершенные расчетные операции по </w:t>
      </w:r>
      <w:r w:rsidR="002A020C">
        <w:rPr>
          <w:rStyle w:val="52"/>
          <w:color w:val="000000"/>
          <w:sz w:val="20"/>
          <w:szCs w:val="20"/>
        </w:rPr>
        <w:t>платежным</w:t>
      </w:r>
      <w:r w:rsidR="00B84D52">
        <w:rPr>
          <w:rStyle w:val="52"/>
          <w:color w:val="000000"/>
          <w:sz w:val="20"/>
          <w:szCs w:val="20"/>
        </w:rPr>
        <w:t xml:space="preserve"> </w:t>
      </w:r>
      <w:r w:rsidRPr="009652D5">
        <w:rPr>
          <w:rStyle w:val="52"/>
          <w:color w:val="000000"/>
          <w:sz w:val="20"/>
          <w:szCs w:val="20"/>
        </w:rPr>
        <w:t>картам, расчеты с прочими кредиторами и справедливую стоимость выданных гарантий.</w:t>
      </w:r>
    </w:p>
    <w:p w:rsidR="00B623F4" w:rsidRPr="009652D5" w:rsidRDefault="00B623F4" w:rsidP="00B623F4">
      <w:pPr>
        <w:pStyle w:val="210"/>
        <w:shd w:val="clear" w:color="auto" w:fill="auto"/>
        <w:spacing w:line="180" w:lineRule="exact"/>
        <w:ind w:firstLine="0"/>
        <w:rPr>
          <w:rStyle w:val="25"/>
          <w:b/>
          <w:bCs/>
          <w:color w:val="000000"/>
          <w:sz w:val="20"/>
          <w:szCs w:val="20"/>
        </w:rPr>
      </w:pPr>
    </w:p>
    <w:p w:rsidR="00B623F4" w:rsidRPr="009652D5" w:rsidRDefault="00B623F4" w:rsidP="00B623F4">
      <w:pPr>
        <w:pStyle w:val="210"/>
        <w:shd w:val="clear" w:color="auto" w:fill="auto"/>
        <w:spacing w:line="180" w:lineRule="exact"/>
        <w:ind w:firstLine="0"/>
        <w:rPr>
          <w:b w:val="0"/>
          <w:color w:val="000000"/>
          <w:sz w:val="20"/>
          <w:szCs w:val="20"/>
        </w:rPr>
      </w:pPr>
      <w:r w:rsidRPr="009652D5">
        <w:rPr>
          <w:b w:val="0"/>
          <w:sz w:val="20"/>
          <w:szCs w:val="20"/>
        </w:rPr>
        <w:t>Анализ валютного риска Банка по обязательствам кредитного характера представлен ниже:</w:t>
      </w:r>
    </w:p>
    <w:p w:rsidR="00B623F4" w:rsidRPr="009652D5" w:rsidRDefault="00B623F4" w:rsidP="0025631B">
      <w:pPr>
        <w:pStyle w:val="210"/>
        <w:shd w:val="clear" w:color="auto" w:fill="auto"/>
        <w:spacing w:line="240" w:lineRule="exact"/>
        <w:ind w:firstLine="0"/>
        <w:rPr>
          <w:b w:val="0"/>
          <w:sz w:val="20"/>
          <w:szCs w:val="20"/>
        </w:rPr>
      </w:pPr>
    </w:p>
    <w:p w:rsidR="00B623F4" w:rsidRPr="009652D5" w:rsidRDefault="00B623F4" w:rsidP="00B623F4">
      <w:pPr>
        <w:rPr>
          <w:rFonts w:cs="Arial"/>
          <w:sz w:val="20"/>
          <w:lang w:val="ru-RU"/>
        </w:rPr>
      </w:pPr>
    </w:p>
    <w:tbl>
      <w:tblPr>
        <w:tblW w:w="5000" w:type="pct"/>
        <w:tblLook w:val="04A0"/>
      </w:tblPr>
      <w:tblGrid>
        <w:gridCol w:w="2811"/>
        <w:gridCol w:w="1353"/>
        <w:gridCol w:w="1557"/>
        <w:gridCol w:w="1211"/>
        <w:gridCol w:w="1293"/>
        <w:gridCol w:w="1598"/>
      </w:tblGrid>
      <w:tr w:rsidR="00B12D0C" w:rsidRPr="009652D5" w:rsidTr="00B12D0C">
        <w:trPr>
          <w:trHeight w:val="300"/>
        </w:trPr>
        <w:tc>
          <w:tcPr>
            <w:tcW w:w="1350" w:type="pct"/>
            <w:tcBorders>
              <w:top w:val="nil"/>
              <w:left w:val="nil"/>
              <w:bottom w:val="nil"/>
              <w:right w:val="nil"/>
            </w:tcBorders>
            <w:shd w:val="clear" w:color="auto" w:fill="auto"/>
            <w:noWrap/>
            <w:vAlign w:val="bottom"/>
            <w:hideMark/>
          </w:tcPr>
          <w:p w:rsidR="00B12D0C" w:rsidRPr="009652D5" w:rsidRDefault="00B12D0C" w:rsidP="00B12D0C">
            <w:pPr>
              <w:rPr>
                <w:rFonts w:cs="Arial"/>
                <w:color w:val="000000"/>
                <w:sz w:val="20"/>
                <w:lang w:val="ru-RU"/>
              </w:rPr>
            </w:pPr>
          </w:p>
        </w:tc>
        <w:tc>
          <w:tcPr>
            <w:tcW w:w="705" w:type="pct"/>
            <w:tcBorders>
              <w:top w:val="nil"/>
              <w:left w:val="nil"/>
              <w:bottom w:val="single" w:sz="4"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Рубли</w:t>
            </w:r>
          </w:p>
        </w:tc>
        <w:tc>
          <w:tcPr>
            <w:tcW w:w="809" w:type="pct"/>
            <w:tcBorders>
              <w:top w:val="nil"/>
              <w:left w:val="nil"/>
              <w:bottom w:val="single" w:sz="4"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Доллар США</w:t>
            </w:r>
          </w:p>
        </w:tc>
        <w:tc>
          <w:tcPr>
            <w:tcW w:w="632" w:type="pct"/>
            <w:tcBorders>
              <w:top w:val="nil"/>
              <w:left w:val="nil"/>
              <w:bottom w:val="single" w:sz="4"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Евро</w:t>
            </w:r>
          </w:p>
        </w:tc>
        <w:tc>
          <w:tcPr>
            <w:tcW w:w="674" w:type="pct"/>
            <w:tcBorders>
              <w:top w:val="nil"/>
              <w:left w:val="nil"/>
              <w:bottom w:val="single" w:sz="4"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Прочие</w:t>
            </w:r>
          </w:p>
        </w:tc>
        <w:tc>
          <w:tcPr>
            <w:tcW w:w="829" w:type="pct"/>
            <w:tcBorders>
              <w:top w:val="nil"/>
              <w:left w:val="nil"/>
              <w:bottom w:val="single" w:sz="4"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Всего</w:t>
            </w:r>
          </w:p>
        </w:tc>
      </w:tr>
      <w:tr w:rsidR="00B12D0C" w:rsidRPr="009652D5" w:rsidTr="00B12D0C">
        <w:trPr>
          <w:trHeight w:val="315"/>
        </w:trPr>
        <w:tc>
          <w:tcPr>
            <w:tcW w:w="1350" w:type="pct"/>
            <w:tcBorders>
              <w:top w:val="nil"/>
              <w:left w:val="nil"/>
              <w:bottom w:val="nil"/>
              <w:right w:val="nil"/>
            </w:tcBorders>
            <w:shd w:val="clear" w:color="auto" w:fill="auto"/>
            <w:noWrap/>
            <w:vAlign w:val="bottom"/>
            <w:hideMark/>
          </w:tcPr>
          <w:p w:rsidR="00B12D0C" w:rsidRPr="009652D5" w:rsidRDefault="00B12D0C" w:rsidP="00B12D0C">
            <w:pPr>
              <w:rPr>
                <w:rFonts w:cs="Arial"/>
                <w:b/>
                <w:bCs/>
                <w:color w:val="000000"/>
                <w:sz w:val="20"/>
                <w:lang w:val="ru-RU"/>
              </w:rPr>
            </w:pPr>
            <w:r w:rsidRPr="009652D5">
              <w:rPr>
                <w:rFonts w:cs="Arial"/>
                <w:b/>
                <w:bCs/>
                <w:color w:val="000000"/>
                <w:sz w:val="20"/>
                <w:lang w:val="ru-RU"/>
              </w:rPr>
              <w:t>31 декабря 2014 (Прим.31)</w:t>
            </w:r>
          </w:p>
        </w:tc>
        <w:tc>
          <w:tcPr>
            <w:tcW w:w="705"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641 281</w:t>
            </w:r>
          </w:p>
        </w:tc>
        <w:tc>
          <w:tcPr>
            <w:tcW w:w="809"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5 740</w:t>
            </w:r>
          </w:p>
        </w:tc>
        <w:tc>
          <w:tcPr>
            <w:tcW w:w="632"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1 259</w:t>
            </w:r>
          </w:p>
        </w:tc>
        <w:tc>
          <w:tcPr>
            <w:tcW w:w="674"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w:t>
            </w:r>
          </w:p>
        </w:tc>
        <w:tc>
          <w:tcPr>
            <w:tcW w:w="829"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648 280</w:t>
            </w:r>
          </w:p>
        </w:tc>
      </w:tr>
      <w:tr w:rsidR="00B12D0C" w:rsidRPr="009652D5" w:rsidTr="00B12D0C">
        <w:trPr>
          <w:trHeight w:val="330"/>
        </w:trPr>
        <w:tc>
          <w:tcPr>
            <w:tcW w:w="1350" w:type="pct"/>
            <w:tcBorders>
              <w:top w:val="nil"/>
              <w:left w:val="nil"/>
              <w:bottom w:val="nil"/>
              <w:right w:val="nil"/>
            </w:tcBorders>
            <w:shd w:val="clear" w:color="auto" w:fill="auto"/>
            <w:noWrap/>
            <w:vAlign w:val="bottom"/>
            <w:hideMark/>
          </w:tcPr>
          <w:p w:rsidR="00B12D0C" w:rsidRPr="009652D5" w:rsidRDefault="00B12D0C" w:rsidP="00B12D0C">
            <w:pPr>
              <w:rPr>
                <w:rFonts w:cs="Arial"/>
                <w:b/>
                <w:bCs/>
                <w:color w:val="000000"/>
                <w:sz w:val="20"/>
                <w:lang w:val="ru-RU"/>
              </w:rPr>
            </w:pPr>
            <w:r w:rsidRPr="009652D5">
              <w:rPr>
                <w:rFonts w:cs="Arial"/>
                <w:b/>
                <w:bCs/>
                <w:color w:val="000000"/>
                <w:sz w:val="20"/>
                <w:lang w:val="ru-RU"/>
              </w:rPr>
              <w:t>32 декабря 2013 (Прим.31)</w:t>
            </w:r>
          </w:p>
        </w:tc>
        <w:tc>
          <w:tcPr>
            <w:tcW w:w="705"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1 116 087</w:t>
            </w:r>
          </w:p>
        </w:tc>
        <w:tc>
          <w:tcPr>
            <w:tcW w:w="809"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19 097</w:t>
            </w:r>
          </w:p>
        </w:tc>
        <w:tc>
          <w:tcPr>
            <w:tcW w:w="632"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21 980</w:t>
            </w:r>
          </w:p>
        </w:tc>
        <w:tc>
          <w:tcPr>
            <w:tcW w:w="674"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color w:val="000000"/>
                <w:sz w:val="20"/>
                <w:lang w:val="ru-RU"/>
              </w:rPr>
            </w:pPr>
            <w:r w:rsidRPr="009652D5">
              <w:rPr>
                <w:rFonts w:cs="Arial"/>
                <w:color w:val="000000"/>
                <w:sz w:val="20"/>
                <w:lang w:val="ru-RU"/>
              </w:rPr>
              <w:t>-</w:t>
            </w:r>
          </w:p>
        </w:tc>
        <w:tc>
          <w:tcPr>
            <w:tcW w:w="829" w:type="pct"/>
            <w:tcBorders>
              <w:top w:val="nil"/>
              <w:left w:val="nil"/>
              <w:bottom w:val="double" w:sz="6" w:space="0" w:color="auto"/>
              <w:right w:val="nil"/>
            </w:tcBorders>
            <w:shd w:val="clear" w:color="auto" w:fill="auto"/>
            <w:noWrap/>
            <w:vAlign w:val="bottom"/>
            <w:hideMark/>
          </w:tcPr>
          <w:p w:rsidR="00B12D0C" w:rsidRPr="009652D5" w:rsidRDefault="00B12D0C" w:rsidP="00FA5226">
            <w:pPr>
              <w:jc w:val="right"/>
              <w:rPr>
                <w:rFonts w:cs="Arial"/>
                <w:b/>
                <w:bCs/>
                <w:color w:val="000000"/>
                <w:sz w:val="20"/>
                <w:lang w:val="ru-RU"/>
              </w:rPr>
            </w:pPr>
            <w:r w:rsidRPr="009652D5">
              <w:rPr>
                <w:rFonts w:cs="Arial"/>
                <w:b/>
                <w:bCs/>
                <w:color w:val="000000"/>
                <w:sz w:val="20"/>
                <w:lang w:val="ru-RU"/>
              </w:rPr>
              <w:t>1 157 164</w:t>
            </w:r>
          </w:p>
        </w:tc>
      </w:tr>
    </w:tbl>
    <w:p w:rsidR="00B12D0C" w:rsidRPr="009652D5" w:rsidRDefault="00B12D0C" w:rsidP="00B623F4">
      <w:pPr>
        <w:rPr>
          <w:rFonts w:cs="Arial"/>
          <w:sz w:val="20"/>
          <w:lang w:val="ru-RU"/>
        </w:rPr>
      </w:pPr>
    </w:p>
    <w:p w:rsidR="00B12D0C" w:rsidRPr="009652D5" w:rsidRDefault="00B12D0C" w:rsidP="00B12D0C">
      <w:pPr>
        <w:rPr>
          <w:rFonts w:cs="Arial"/>
          <w:sz w:val="20"/>
          <w:lang w:val="ru-RU"/>
        </w:rPr>
      </w:pPr>
    </w:p>
    <w:p w:rsidR="00B12D0C" w:rsidRPr="009652D5" w:rsidRDefault="00B12D0C" w:rsidP="00C06AC5">
      <w:pPr>
        <w:pStyle w:val="210"/>
        <w:shd w:val="clear" w:color="auto" w:fill="auto"/>
        <w:ind w:firstLine="0"/>
        <w:jc w:val="both"/>
        <w:rPr>
          <w:rStyle w:val="52"/>
          <w:b w:val="0"/>
          <w:bCs w:val="0"/>
          <w:color w:val="000000"/>
          <w:sz w:val="20"/>
          <w:szCs w:val="20"/>
        </w:rPr>
      </w:pPr>
      <w:r w:rsidRPr="009652D5">
        <w:rPr>
          <w:rStyle w:val="52"/>
          <w:b w:val="0"/>
          <w:sz w:val="20"/>
          <w:szCs w:val="20"/>
        </w:rPr>
        <w:t>Банк предоставлял кредиты и авансы в иностранной валюте. В зависимости от денежных потоков, получаемых заемщиком, рост курсов иностранных валют по отношению к валюте Российской Федерации может оказывать негативное воздействие на способность заемщиков осуществлять погашение кредитов, что, в свою очередь, увеличивает вероятность возникновения убытков по кредитам.</w:t>
      </w:r>
    </w:p>
    <w:p w:rsidR="00014A8B" w:rsidRDefault="00014A8B" w:rsidP="00C06AC5">
      <w:pPr>
        <w:pStyle w:val="210"/>
        <w:shd w:val="clear" w:color="auto" w:fill="auto"/>
        <w:spacing w:line="230" w:lineRule="exact"/>
        <w:ind w:firstLine="0"/>
        <w:jc w:val="both"/>
        <w:rPr>
          <w:rStyle w:val="52"/>
          <w:b w:val="0"/>
          <w:sz w:val="20"/>
          <w:szCs w:val="20"/>
        </w:rPr>
      </w:pPr>
    </w:p>
    <w:p w:rsidR="00014A8B" w:rsidRDefault="00014A8B" w:rsidP="00C06AC5">
      <w:pPr>
        <w:pStyle w:val="210"/>
        <w:shd w:val="clear" w:color="auto" w:fill="auto"/>
        <w:spacing w:line="230" w:lineRule="exact"/>
        <w:ind w:firstLine="0"/>
        <w:jc w:val="both"/>
        <w:rPr>
          <w:rStyle w:val="52"/>
          <w:b w:val="0"/>
          <w:sz w:val="20"/>
          <w:szCs w:val="20"/>
        </w:rPr>
      </w:pPr>
    </w:p>
    <w:p w:rsidR="00014A8B" w:rsidRDefault="00014A8B" w:rsidP="00C06AC5">
      <w:pPr>
        <w:pStyle w:val="210"/>
        <w:shd w:val="clear" w:color="auto" w:fill="auto"/>
        <w:spacing w:line="230" w:lineRule="exact"/>
        <w:ind w:firstLine="0"/>
        <w:jc w:val="both"/>
        <w:rPr>
          <w:rStyle w:val="52"/>
          <w:b w:val="0"/>
          <w:sz w:val="20"/>
          <w:szCs w:val="20"/>
        </w:rPr>
      </w:pPr>
    </w:p>
    <w:p w:rsidR="00B12D0C" w:rsidRPr="009652D5" w:rsidRDefault="00B12D0C" w:rsidP="00C06AC5">
      <w:pPr>
        <w:pStyle w:val="210"/>
        <w:shd w:val="clear" w:color="auto" w:fill="auto"/>
        <w:spacing w:line="230" w:lineRule="exact"/>
        <w:ind w:firstLine="0"/>
        <w:jc w:val="both"/>
        <w:rPr>
          <w:rStyle w:val="52"/>
          <w:b w:val="0"/>
          <w:bCs w:val="0"/>
          <w:color w:val="000000"/>
          <w:sz w:val="20"/>
          <w:szCs w:val="20"/>
        </w:rPr>
      </w:pPr>
      <w:r w:rsidRPr="009652D5">
        <w:rPr>
          <w:rStyle w:val="52"/>
          <w:b w:val="0"/>
          <w:sz w:val="20"/>
          <w:szCs w:val="20"/>
        </w:rPr>
        <w:t>В таблице далее представлено изменение финансового результата в связи с возможными изменениями обменных курсов, используемых на отчетную дату, при том, что все остальные переменные характеристики остаются неизменными:</w:t>
      </w:r>
    </w:p>
    <w:p w:rsidR="00B12D0C" w:rsidRPr="009652D5" w:rsidRDefault="00B12D0C" w:rsidP="00B12D0C">
      <w:pPr>
        <w:rPr>
          <w:rFonts w:cs="Arial"/>
          <w:sz w:val="20"/>
          <w:lang w:val="ru-RU"/>
        </w:rPr>
      </w:pPr>
    </w:p>
    <w:tbl>
      <w:tblPr>
        <w:tblW w:w="5000" w:type="pct"/>
        <w:tblLook w:val="04A0"/>
      </w:tblPr>
      <w:tblGrid>
        <w:gridCol w:w="2922"/>
        <w:gridCol w:w="1729"/>
        <w:gridCol w:w="2022"/>
        <w:gridCol w:w="1525"/>
        <w:gridCol w:w="1625"/>
      </w:tblGrid>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p>
        </w:tc>
        <w:tc>
          <w:tcPr>
            <w:tcW w:w="1909" w:type="pct"/>
            <w:gridSpan w:val="2"/>
            <w:tcBorders>
              <w:top w:val="nil"/>
              <w:left w:val="nil"/>
              <w:bottom w:val="single" w:sz="4" w:space="0" w:color="auto"/>
              <w:right w:val="nil"/>
            </w:tcBorders>
            <w:shd w:val="clear" w:color="auto" w:fill="auto"/>
            <w:noWrap/>
            <w:vAlign w:val="bottom"/>
            <w:hideMark/>
          </w:tcPr>
          <w:p w:rsidR="00956D60" w:rsidRPr="009652D5" w:rsidRDefault="00956D60" w:rsidP="00956D60">
            <w:pPr>
              <w:jc w:val="center"/>
              <w:rPr>
                <w:rFonts w:cs="Arial"/>
                <w:b/>
                <w:bCs/>
                <w:color w:val="000000"/>
                <w:sz w:val="20"/>
                <w:lang w:val="ru-RU"/>
              </w:rPr>
            </w:pPr>
            <w:r w:rsidRPr="009652D5">
              <w:rPr>
                <w:rFonts w:cs="Arial"/>
                <w:b/>
                <w:bCs/>
                <w:color w:val="000000"/>
                <w:sz w:val="20"/>
                <w:lang w:val="ru-RU"/>
              </w:rPr>
              <w:t>На 31 декабря 2014</w:t>
            </w:r>
          </w:p>
        </w:tc>
        <w:tc>
          <w:tcPr>
            <w:tcW w:w="1603" w:type="pct"/>
            <w:gridSpan w:val="2"/>
            <w:tcBorders>
              <w:top w:val="nil"/>
              <w:left w:val="nil"/>
              <w:bottom w:val="single" w:sz="4" w:space="0" w:color="auto"/>
              <w:right w:val="nil"/>
            </w:tcBorders>
            <w:shd w:val="clear" w:color="auto" w:fill="auto"/>
            <w:noWrap/>
            <w:vAlign w:val="bottom"/>
            <w:hideMark/>
          </w:tcPr>
          <w:p w:rsidR="00956D60" w:rsidRPr="009652D5" w:rsidRDefault="00956D60" w:rsidP="00956D60">
            <w:pPr>
              <w:jc w:val="center"/>
              <w:rPr>
                <w:rFonts w:cs="Arial"/>
                <w:b/>
                <w:bCs/>
                <w:color w:val="000000"/>
                <w:sz w:val="20"/>
                <w:lang w:val="ru-RU"/>
              </w:rPr>
            </w:pPr>
            <w:r w:rsidRPr="009652D5">
              <w:rPr>
                <w:rFonts w:cs="Arial"/>
                <w:b/>
                <w:bCs/>
                <w:color w:val="000000"/>
                <w:sz w:val="20"/>
                <w:lang w:val="ru-RU"/>
              </w:rPr>
              <w:t>На 31 декабря 2013</w:t>
            </w:r>
          </w:p>
        </w:tc>
      </w:tr>
      <w:tr w:rsidR="00956D60" w:rsidRPr="009652D5" w:rsidTr="00956D60">
        <w:trPr>
          <w:trHeight w:val="12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p>
        </w:tc>
        <w:tc>
          <w:tcPr>
            <w:tcW w:w="880" w:type="pct"/>
            <w:tcBorders>
              <w:top w:val="nil"/>
              <w:left w:val="nil"/>
              <w:bottom w:val="single" w:sz="4" w:space="0" w:color="auto"/>
              <w:right w:val="nil"/>
            </w:tcBorders>
            <w:shd w:val="clear" w:color="auto" w:fill="auto"/>
            <w:vAlign w:val="bottom"/>
            <w:hideMark/>
          </w:tcPr>
          <w:p w:rsidR="00956D60" w:rsidRPr="009652D5" w:rsidRDefault="00956D60" w:rsidP="00956D60">
            <w:pPr>
              <w:jc w:val="center"/>
              <w:rPr>
                <w:rFonts w:cs="Arial"/>
                <w:b/>
                <w:bCs/>
                <w:color w:val="000000"/>
                <w:sz w:val="20"/>
                <w:lang w:val="ru-RU"/>
              </w:rPr>
            </w:pPr>
            <w:r w:rsidRPr="009652D5">
              <w:rPr>
                <w:rFonts w:cs="Arial"/>
                <w:b/>
                <w:bCs/>
                <w:color w:val="000000"/>
                <w:sz w:val="20"/>
                <w:lang w:val="ru-RU"/>
              </w:rPr>
              <w:t>Влияние на чистую прибыль</w:t>
            </w:r>
          </w:p>
        </w:tc>
        <w:tc>
          <w:tcPr>
            <w:tcW w:w="1028" w:type="pct"/>
            <w:tcBorders>
              <w:top w:val="nil"/>
              <w:left w:val="nil"/>
              <w:bottom w:val="single" w:sz="4" w:space="0" w:color="auto"/>
              <w:right w:val="nil"/>
            </w:tcBorders>
            <w:shd w:val="clear" w:color="auto" w:fill="auto"/>
            <w:vAlign w:val="bottom"/>
            <w:hideMark/>
          </w:tcPr>
          <w:p w:rsidR="00956D60" w:rsidRPr="009652D5" w:rsidRDefault="00956D60" w:rsidP="00902BC5">
            <w:pPr>
              <w:jc w:val="center"/>
              <w:rPr>
                <w:rFonts w:cs="Arial"/>
                <w:b/>
                <w:bCs/>
                <w:color w:val="000000"/>
                <w:sz w:val="20"/>
                <w:lang w:val="ru-RU"/>
              </w:rPr>
            </w:pPr>
            <w:r w:rsidRPr="009652D5">
              <w:rPr>
                <w:rFonts w:cs="Arial"/>
                <w:b/>
                <w:bCs/>
                <w:color w:val="000000"/>
                <w:sz w:val="20"/>
                <w:lang w:val="ru-RU"/>
              </w:rPr>
              <w:t xml:space="preserve">Влияние </w:t>
            </w:r>
            <w:r w:rsidR="00902BC5" w:rsidRPr="009652D5">
              <w:rPr>
                <w:rFonts w:cs="Arial"/>
                <w:b/>
                <w:bCs/>
                <w:color w:val="000000"/>
                <w:sz w:val="20"/>
                <w:lang w:val="ru-RU"/>
              </w:rPr>
              <w:t>на капитал</w:t>
            </w:r>
          </w:p>
        </w:tc>
        <w:tc>
          <w:tcPr>
            <w:tcW w:w="776" w:type="pct"/>
            <w:tcBorders>
              <w:top w:val="nil"/>
              <w:left w:val="nil"/>
              <w:bottom w:val="single" w:sz="4" w:space="0" w:color="auto"/>
              <w:right w:val="nil"/>
            </w:tcBorders>
            <w:shd w:val="clear" w:color="auto" w:fill="auto"/>
            <w:vAlign w:val="bottom"/>
            <w:hideMark/>
          </w:tcPr>
          <w:p w:rsidR="00956D60" w:rsidRPr="009652D5" w:rsidRDefault="00956D60" w:rsidP="00956D60">
            <w:pPr>
              <w:jc w:val="center"/>
              <w:rPr>
                <w:rFonts w:cs="Arial"/>
                <w:b/>
                <w:bCs/>
                <w:color w:val="000000"/>
                <w:sz w:val="20"/>
                <w:lang w:val="ru-RU"/>
              </w:rPr>
            </w:pPr>
            <w:r w:rsidRPr="009652D5">
              <w:rPr>
                <w:rFonts w:cs="Arial"/>
                <w:b/>
                <w:bCs/>
                <w:color w:val="000000"/>
                <w:sz w:val="20"/>
                <w:lang w:val="ru-RU"/>
              </w:rPr>
              <w:t>Влияние на чистую прибыль</w:t>
            </w:r>
          </w:p>
        </w:tc>
        <w:tc>
          <w:tcPr>
            <w:tcW w:w="827" w:type="pct"/>
            <w:tcBorders>
              <w:top w:val="nil"/>
              <w:left w:val="nil"/>
              <w:bottom w:val="single" w:sz="4" w:space="0" w:color="auto"/>
              <w:right w:val="nil"/>
            </w:tcBorders>
            <w:shd w:val="clear" w:color="auto" w:fill="auto"/>
            <w:vAlign w:val="bottom"/>
            <w:hideMark/>
          </w:tcPr>
          <w:p w:rsidR="00956D60" w:rsidRPr="009652D5" w:rsidRDefault="00956D60" w:rsidP="00902BC5">
            <w:pPr>
              <w:jc w:val="center"/>
              <w:rPr>
                <w:rFonts w:cs="Arial"/>
                <w:b/>
                <w:bCs/>
                <w:color w:val="000000"/>
                <w:sz w:val="20"/>
                <w:lang w:val="ru-RU"/>
              </w:rPr>
            </w:pPr>
            <w:r w:rsidRPr="009652D5">
              <w:rPr>
                <w:rFonts w:cs="Arial"/>
                <w:b/>
                <w:bCs/>
                <w:color w:val="000000"/>
                <w:sz w:val="20"/>
                <w:lang w:val="ru-RU"/>
              </w:rPr>
              <w:t xml:space="preserve">Влияние на </w:t>
            </w:r>
            <w:r w:rsidR="00902BC5" w:rsidRPr="009652D5">
              <w:rPr>
                <w:rFonts w:cs="Arial"/>
                <w:b/>
                <w:bCs/>
                <w:color w:val="000000"/>
                <w:sz w:val="20"/>
                <w:lang w:val="ru-RU"/>
              </w:rPr>
              <w:t>капитал</w:t>
            </w:r>
          </w:p>
        </w:tc>
      </w:tr>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r w:rsidRPr="009652D5">
              <w:rPr>
                <w:rFonts w:cs="Arial"/>
                <w:color w:val="000000"/>
                <w:sz w:val="20"/>
                <w:lang w:val="ru-RU"/>
              </w:rPr>
              <w:t>Доллар США +5%</w:t>
            </w:r>
          </w:p>
        </w:tc>
        <w:tc>
          <w:tcPr>
            <w:tcW w:w="880"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31 682</w:t>
            </w:r>
          </w:p>
        </w:tc>
        <w:tc>
          <w:tcPr>
            <w:tcW w:w="1028"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25 346</w:t>
            </w:r>
          </w:p>
        </w:tc>
        <w:tc>
          <w:tcPr>
            <w:tcW w:w="776"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(15 256)</w:t>
            </w:r>
          </w:p>
        </w:tc>
        <w:tc>
          <w:tcPr>
            <w:tcW w:w="827"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(12 205)</w:t>
            </w:r>
          </w:p>
        </w:tc>
      </w:tr>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r w:rsidRPr="009652D5">
              <w:rPr>
                <w:rFonts w:cs="Arial"/>
                <w:color w:val="000000"/>
                <w:sz w:val="20"/>
                <w:lang w:val="ru-RU"/>
              </w:rPr>
              <w:t>Доллар США -5%</w:t>
            </w:r>
          </w:p>
        </w:tc>
        <w:tc>
          <w:tcPr>
            <w:tcW w:w="880"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(31 682)</w:t>
            </w:r>
          </w:p>
        </w:tc>
        <w:tc>
          <w:tcPr>
            <w:tcW w:w="1028"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(25 346)</w:t>
            </w:r>
          </w:p>
        </w:tc>
        <w:tc>
          <w:tcPr>
            <w:tcW w:w="776"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15 256</w:t>
            </w:r>
          </w:p>
        </w:tc>
        <w:tc>
          <w:tcPr>
            <w:tcW w:w="827"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12 205</w:t>
            </w:r>
          </w:p>
        </w:tc>
      </w:tr>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r w:rsidRPr="009652D5">
              <w:rPr>
                <w:rFonts w:cs="Arial"/>
                <w:color w:val="000000"/>
                <w:sz w:val="20"/>
                <w:lang w:val="ru-RU"/>
              </w:rPr>
              <w:t>Евро +5%</w:t>
            </w:r>
          </w:p>
        </w:tc>
        <w:tc>
          <w:tcPr>
            <w:tcW w:w="880"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13 923</w:t>
            </w:r>
          </w:p>
        </w:tc>
        <w:tc>
          <w:tcPr>
            <w:tcW w:w="1028"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11 139</w:t>
            </w:r>
          </w:p>
        </w:tc>
        <w:tc>
          <w:tcPr>
            <w:tcW w:w="776"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(18 293)</w:t>
            </w:r>
          </w:p>
        </w:tc>
        <w:tc>
          <w:tcPr>
            <w:tcW w:w="827"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(14 634)</w:t>
            </w:r>
          </w:p>
        </w:tc>
      </w:tr>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r w:rsidRPr="009652D5">
              <w:rPr>
                <w:rFonts w:cs="Arial"/>
                <w:color w:val="000000"/>
                <w:sz w:val="20"/>
                <w:lang w:val="ru-RU"/>
              </w:rPr>
              <w:t>Евро -5%</w:t>
            </w:r>
          </w:p>
        </w:tc>
        <w:tc>
          <w:tcPr>
            <w:tcW w:w="880"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(13 923)</w:t>
            </w:r>
          </w:p>
        </w:tc>
        <w:tc>
          <w:tcPr>
            <w:tcW w:w="1028"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(11 139)</w:t>
            </w:r>
          </w:p>
        </w:tc>
        <w:tc>
          <w:tcPr>
            <w:tcW w:w="776"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18 293</w:t>
            </w:r>
          </w:p>
        </w:tc>
        <w:tc>
          <w:tcPr>
            <w:tcW w:w="827"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14 634</w:t>
            </w:r>
          </w:p>
        </w:tc>
      </w:tr>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r w:rsidRPr="009652D5">
              <w:rPr>
                <w:rFonts w:cs="Arial"/>
                <w:color w:val="000000"/>
                <w:sz w:val="20"/>
                <w:lang w:val="ru-RU"/>
              </w:rPr>
              <w:t>Прочие валюты +5%</w:t>
            </w:r>
          </w:p>
        </w:tc>
        <w:tc>
          <w:tcPr>
            <w:tcW w:w="880"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c>
          <w:tcPr>
            <w:tcW w:w="1028"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c>
          <w:tcPr>
            <w:tcW w:w="776"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c>
          <w:tcPr>
            <w:tcW w:w="827"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r>
      <w:tr w:rsidR="00956D60" w:rsidRPr="009652D5" w:rsidTr="00956D60">
        <w:trPr>
          <w:trHeight w:val="300"/>
        </w:trPr>
        <w:tc>
          <w:tcPr>
            <w:tcW w:w="1488" w:type="pct"/>
            <w:tcBorders>
              <w:top w:val="nil"/>
              <w:left w:val="nil"/>
              <w:bottom w:val="nil"/>
              <w:right w:val="nil"/>
            </w:tcBorders>
            <w:shd w:val="clear" w:color="auto" w:fill="auto"/>
            <w:noWrap/>
            <w:vAlign w:val="bottom"/>
            <w:hideMark/>
          </w:tcPr>
          <w:p w:rsidR="00956D60" w:rsidRPr="009652D5" w:rsidRDefault="00956D60" w:rsidP="00956D60">
            <w:pPr>
              <w:rPr>
                <w:rFonts w:cs="Arial"/>
                <w:color w:val="000000"/>
                <w:sz w:val="20"/>
                <w:lang w:val="ru-RU"/>
              </w:rPr>
            </w:pPr>
            <w:r w:rsidRPr="009652D5">
              <w:rPr>
                <w:rFonts w:cs="Arial"/>
                <w:color w:val="000000"/>
                <w:sz w:val="20"/>
                <w:lang w:val="ru-RU"/>
              </w:rPr>
              <w:t>Прочие валюты -5%</w:t>
            </w:r>
          </w:p>
        </w:tc>
        <w:tc>
          <w:tcPr>
            <w:tcW w:w="880"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c>
          <w:tcPr>
            <w:tcW w:w="1028"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c>
          <w:tcPr>
            <w:tcW w:w="776"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c>
          <w:tcPr>
            <w:tcW w:w="827" w:type="pct"/>
            <w:tcBorders>
              <w:top w:val="nil"/>
              <w:left w:val="nil"/>
              <w:bottom w:val="nil"/>
              <w:right w:val="nil"/>
            </w:tcBorders>
            <w:shd w:val="clear" w:color="auto" w:fill="auto"/>
            <w:noWrap/>
            <w:vAlign w:val="bottom"/>
            <w:hideMark/>
          </w:tcPr>
          <w:p w:rsidR="00956D60" w:rsidRPr="009652D5" w:rsidRDefault="00956D60" w:rsidP="00956D60">
            <w:pPr>
              <w:jc w:val="center"/>
              <w:rPr>
                <w:rFonts w:cs="Arial"/>
                <w:color w:val="000000"/>
                <w:sz w:val="20"/>
                <w:lang w:val="ru-RU"/>
              </w:rPr>
            </w:pPr>
            <w:r w:rsidRPr="009652D5">
              <w:rPr>
                <w:rFonts w:cs="Arial"/>
                <w:color w:val="000000"/>
                <w:sz w:val="20"/>
                <w:lang w:val="ru-RU"/>
              </w:rPr>
              <w:t>-</w:t>
            </w:r>
          </w:p>
        </w:tc>
      </w:tr>
    </w:tbl>
    <w:p w:rsidR="00B12D0C" w:rsidRPr="009652D5" w:rsidRDefault="00B12D0C" w:rsidP="00B12D0C">
      <w:pPr>
        <w:rPr>
          <w:rFonts w:cs="Arial"/>
          <w:sz w:val="20"/>
          <w:lang w:val="ru-RU"/>
        </w:rPr>
      </w:pPr>
    </w:p>
    <w:p w:rsidR="00956D60" w:rsidRPr="009652D5" w:rsidRDefault="00956D60" w:rsidP="00956D60">
      <w:pPr>
        <w:pStyle w:val="310"/>
        <w:shd w:val="clear" w:color="auto" w:fill="auto"/>
        <w:spacing w:line="200" w:lineRule="exact"/>
        <w:ind w:firstLine="0"/>
        <w:jc w:val="left"/>
        <w:rPr>
          <w:rStyle w:val="34"/>
          <w:b/>
          <w:bCs/>
          <w:i/>
          <w:iCs/>
          <w:color w:val="000000"/>
        </w:rPr>
      </w:pPr>
    </w:p>
    <w:p w:rsidR="00956D60" w:rsidRPr="009652D5" w:rsidRDefault="00956D60" w:rsidP="00956D60">
      <w:pPr>
        <w:pStyle w:val="310"/>
        <w:shd w:val="clear" w:color="auto" w:fill="auto"/>
        <w:spacing w:line="200" w:lineRule="exact"/>
        <w:ind w:firstLine="0"/>
        <w:jc w:val="left"/>
        <w:rPr>
          <w:rStyle w:val="34"/>
          <w:b/>
          <w:bCs/>
          <w:i/>
          <w:iCs/>
          <w:color w:val="000000"/>
        </w:rPr>
      </w:pPr>
      <w:r w:rsidRPr="009652D5">
        <w:rPr>
          <w:rStyle w:val="34"/>
          <w:b/>
          <w:bCs/>
          <w:i/>
          <w:iCs/>
          <w:color w:val="000000"/>
        </w:rPr>
        <w:t>Процентный риск</w:t>
      </w:r>
    </w:p>
    <w:p w:rsidR="00956D60" w:rsidRPr="009652D5" w:rsidRDefault="00956D60" w:rsidP="00956D60">
      <w:pPr>
        <w:pStyle w:val="310"/>
        <w:shd w:val="clear" w:color="auto" w:fill="auto"/>
        <w:spacing w:line="200" w:lineRule="exact"/>
        <w:ind w:firstLine="0"/>
        <w:jc w:val="left"/>
      </w:pPr>
    </w:p>
    <w:p w:rsidR="00956D60" w:rsidRPr="009652D5" w:rsidRDefault="00956D60" w:rsidP="00956D60">
      <w:pPr>
        <w:pStyle w:val="210"/>
        <w:shd w:val="clear" w:color="auto" w:fill="auto"/>
        <w:spacing w:line="230" w:lineRule="exact"/>
        <w:ind w:firstLine="0"/>
        <w:jc w:val="both"/>
        <w:rPr>
          <w:b w:val="0"/>
          <w:bCs w:val="0"/>
          <w:color w:val="000000"/>
          <w:sz w:val="20"/>
          <w:szCs w:val="20"/>
        </w:rPr>
      </w:pPr>
      <w:r w:rsidRPr="009652D5">
        <w:rPr>
          <w:b w:val="0"/>
          <w:sz w:val="20"/>
          <w:szCs w:val="20"/>
        </w:rPr>
        <w:t>Банк принимает на себя риск, связанный с влиянием колебаний преобладающих рыночных процентных ставок, как на е</w:t>
      </w:r>
      <w:r w:rsidR="002A020C">
        <w:rPr>
          <w:b w:val="0"/>
          <w:sz w:val="20"/>
          <w:szCs w:val="20"/>
        </w:rPr>
        <w:t>го</w:t>
      </w:r>
      <w:r w:rsidRPr="009652D5">
        <w:rPr>
          <w:b w:val="0"/>
          <w:sz w:val="20"/>
          <w:szCs w:val="20"/>
        </w:rPr>
        <w:t xml:space="preserve"> финансовое положение, так и </w:t>
      </w:r>
      <w:r w:rsidR="002A020C">
        <w:rPr>
          <w:b w:val="0"/>
          <w:sz w:val="20"/>
          <w:szCs w:val="20"/>
        </w:rPr>
        <w:t xml:space="preserve">на </w:t>
      </w:r>
      <w:r w:rsidRPr="009652D5">
        <w:rPr>
          <w:b w:val="0"/>
          <w:sz w:val="20"/>
          <w:szCs w:val="20"/>
        </w:rPr>
        <w:t>денежные потоки. В результате таких изменений процентная маржа может увеличиться, однако она может и снизиться или привести к убыткам в случае непредвиденных изменений.</w:t>
      </w:r>
    </w:p>
    <w:p w:rsidR="00956D60" w:rsidRPr="009652D5" w:rsidRDefault="00956D60" w:rsidP="00956D60">
      <w:pPr>
        <w:pStyle w:val="210"/>
        <w:shd w:val="clear" w:color="auto" w:fill="auto"/>
        <w:ind w:firstLine="0"/>
        <w:jc w:val="both"/>
        <w:rPr>
          <w:b w:val="0"/>
          <w:bCs w:val="0"/>
          <w:color w:val="000000"/>
          <w:sz w:val="20"/>
          <w:szCs w:val="20"/>
        </w:rPr>
      </w:pPr>
      <w:r w:rsidRPr="009652D5">
        <w:rPr>
          <w:b w:val="0"/>
          <w:sz w:val="20"/>
          <w:szCs w:val="20"/>
        </w:rPr>
        <w:t>Риск изменения процентных ставок контролируется через управление активами и обязательствами Банка в целях увеличения прибыли и снижения убытков от потенциальных колебаний процентных ставок.</w:t>
      </w:r>
    </w:p>
    <w:p w:rsidR="00956D60" w:rsidRPr="009652D5" w:rsidRDefault="00956D60" w:rsidP="00956D60">
      <w:pPr>
        <w:pStyle w:val="210"/>
        <w:shd w:val="clear" w:color="auto" w:fill="auto"/>
        <w:tabs>
          <w:tab w:val="left" w:pos="4546"/>
        </w:tabs>
        <w:spacing w:line="230" w:lineRule="exact"/>
        <w:ind w:firstLine="0"/>
        <w:jc w:val="both"/>
        <w:rPr>
          <w:b w:val="0"/>
          <w:bCs w:val="0"/>
          <w:color w:val="000000"/>
          <w:sz w:val="20"/>
          <w:szCs w:val="20"/>
        </w:rPr>
      </w:pPr>
      <w:r w:rsidRPr="009652D5">
        <w:rPr>
          <w:b w:val="0"/>
          <w:sz w:val="20"/>
          <w:szCs w:val="20"/>
        </w:rPr>
        <w:t>Правление отвечает за обоснование уровня процентного риска, приемлемого для Банка, разработку процедур для его оценки, определение параметров активов и обязательств, контроль за их соблюдением, а также за  управление процентной политикой Банка.</w:t>
      </w:r>
    </w:p>
    <w:p w:rsidR="00956D60" w:rsidRPr="009652D5" w:rsidRDefault="00956D60" w:rsidP="00956D60">
      <w:pPr>
        <w:pStyle w:val="210"/>
        <w:shd w:val="clear" w:color="auto" w:fill="auto"/>
        <w:ind w:firstLine="0"/>
        <w:jc w:val="both"/>
        <w:rPr>
          <w:b w:val="0"/>
          <w:bCs w:val="0"/>
          <w:color w:val="000000"/>
          <w:sz w:val="20"/>
          <w:szCs w:val="20"/>
        </w:rPr>
      </w:pPr>
      <w:r w:rsidRPr="009652D5">
        <w:rPr>
          <w:b w:val="0"/>
          <w:sz w:val="20"/>
          <w:szCs w:val="20"/>
        </w:rPr>
        <w:t xml:space="preserve">Банк управляет риском процентной ставки в рамках своей политики по привлечению и размещению средств в рублях и иностранной валюте. Контроль за процентным риском осуществляется за счет регулярного мониторинга уровня рыночных процентных ставок, анализа несоответствий по срокам </w:t>
      </w:r>
      <w:r w:rsidRPr="009652D5">
        <w:rPr>
          <w:b w:val="0"/>
          <w:sz w:val="20"/>
          <w:szCs w:val="20"/>
        </w:rPr>
        <w:lastRenderedPageBreak/>
        <w:t>погашения активов, пассивов, а также несоответствия внебалансовых обязательств обязательствам Банка по инструментам, чувствительным к колебаниям процентных ставок; за счет анализа рентабельности банковских операций, а также принятия решений о корректировке существующих процентных ставок по продуктам Банка. Процентные ставки обычно устанавливаются на короткий период времени. Фиксированные процентные ставки по активам и обязательствам пересматриваются на основе взаимной договоренности, в зависимости от ситуации на рынке. Как правило, Банк стремится устанавливать процентные ставки, приносящие определенный уровень дохода.</w:t>
      </w:r>
    </w:p>
    <w:p w:rsidR="00956D60" w:rsidRPr="009652D5" w:rsidRDefault="00956D60" w:rsidP="00F15D5C">
      <w:pPr>
        <w:pStyle w:val="210"/>
        <w:shd w:val="clear" w:color="auto" w:fill="auto"/>
        <w:ind w:firstLine="0"/>
        <w:jc w:val="both"/>
        <w:rPr>
          <w:rStyle w:val="25"/>
          <w:b/>
          <w:bCs/>
          <w:color w:val="000000"/>
          <w:sz w:val="20"/>
          <w:szCs w:val="20"/>
        </w:rPr>
      </w:pPr>
    </w:p>
    <w:p w:rsidR="00956D60" w:rsidRPr="009652D5" w:rsidRDefault="00956D60" w:rsidP="00F15D5C">
      <w:pPr>
        <w:pStyle w:val="210"/>
        <w:shd w:val="clear" w:color="auto" w:fill="auto"/>
        <w:ind w:firstLine="0"/>
        <w:jc w:val="both"/>
        <w:rPr>
          <w:b w:val="0"/>
          <w:sz w:val="20"/>
          <w:szCs w:val="20"/>
        </w:rPr>
      </w:pPr>
      <w:r w:rsidRPr="009652D5">
        <w:rPr>
          <w:b w:val="0"/>
          <w:sz w:val="20"/>
          <w:szCs w:val="20"/>
        </w:rPr>
        <w:t>В приведенной ниже таблице отражены данные о действующих средних процентных ставках по основным видам иностранной валюты и по финансовым инструментам. Анализ подготовлен на основе средневзвешенных процентных ставок для различных финансовых инструментов с учетом действующих процентных ставок на конец года.</w:t>
      </w:r>
    </w:p>
    <w:p w:rsidR="00B12D0C" w:rsidRPr="009652D5" w:rsidRDefault="00B12D0C" w:rsidP="00B12D0C">
      <w:pPr>
        <w:rPr>
          <w:rFonts w:cs="Arial"/>
          <w:bCs/>
          <w:sz w:val="20"/>
          <w:lang w:val="ru-RU"/>
        </w:rPr>
      </w:pPr>
    </w:p>
    <w:tbl>
      <w:tblPr>
        <w:tblW w:w="5000" w:type="pct"/>
        <w:tblLook w:val="04A0"/>
      </w:tblPr>
      <w:tblGrid>
        <w:gridCol w:w="3188"/>
        <w:gridCol w:w="835"/>
        <w:gridCol w:w="1601"/>
        <w:gridCol w:w="881"/>
        <w:gridCol w:w="835"/>
        <w:gridCol w:w="1602"/>
        <w:gridCol w:w="881"/>
      </w:tblGrid>
      <w:tr w:rsidR="00B86A43" w:rsidRPr="009652D5" w:rsidTr="00B86A43">
        <w:trPr>
          <w:trHeight w:val="300"/>
        </w:trPr>
        <w:tc>
          <w:tcPr>
            <w:tcW w:w="1633" w:type="pct"/>
            <w:tcBorders>
              <w:top w:val="nil"/>
              <w:left w:val="nil"/>
              <w:bottom w:val="nil"/>
              <w:right w:val="nil"/>
            </w:tcBorders>
            <w:shd w:val="clear" w:color="auto" w:fill="auto"/>
            <w:noWrap/>
            <w:vAlign w:val="bottom"/>
            <w:hideMark/>
          </w:tcPr>
          <w:p w:rsidR="00B86A43" w:rsidRPr="009652D5" w:rsidRDefault="00B86A43" w:rsidP="00B86A43">
            <w:pPr>
              <w:rPr>
                <w:rFonts w:cs="Arial"/>
                <w:color w:val="000000"/>
                <w:sz w:val="20"/>
                <w:lang w:val="ru-RU"/>
              </w:rPr>
            </w:pPr>
          </w:p>
        </w:tc>
        <w:tc>
          <w:tcPr>
            <w:tcW w:w="1683" w:type="pct"/>
            <w:gridSpan w:val="3"/>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31 декабря 2014 (%)</w:t>
            </w:r>
          </w:p>
        </w:tc>
        <w:tc>
          <w:tcPr>
            <w:tcW w:w="1683" w:type="pct"/>
            <w:gridSpan w:val="3"/>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31 декабря 2013 (%)</w:t>
            </w:r>
          </w:p>
        </w:tc>
      </w:tr>
      <w:tr w:rsidR="00B86A43" w:rsidRPr="009652D5" w:rsidTr="00B86A43">
        <w:trPr>
          <w:trHeight w:val="300"/>
        </w:trPr>
        <w:tc>
          <w:tcPr>
            <w:tcW w:w="1633" w:type="pct"/>
            <w:tcBorders>
              <w:top w:val="nil"/>
              <w:left w:val="nil"/>
              <w:bottom w:val="nil"/>
              <w:right w:val="nil"/>
            </w:tcBorders>
            <w:shd w:val="clear" w:color="auto" w:fill="auto"/>
            <w:noWrap/>
            <w:vAlign w:val="bottom"/>
            <w:hideMark/>
          </w:tcPr>
          <w:p w:rsidR="00B86A43" w:rsidRPr="009652D5" w:rsidRDefault="00B86A43" w:rsidP="00B86A43">
            <w:pPr>
              <w:rPr>
                <w:rFonts w:cs="Arial"/>
                <w:color w:val="000000"/>
                <w:sz w:val="20"/>
                <w:lang w:val="ru-RU"/>
              </w:rPr>
            </w:pPr>
          </w:p>
        </w:tc>
        <w:tc>
          <w:tcPr>
            <w:tcW w:w="400" w:type="pct"/>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Рубли</w:t>
            </w:r>
          </w:p>
        </w:tc>
        <w:tc>
          <w:tcPr>
            <w:tcW w:w="825" w:type="pct"/>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Доллар США</w:t>
            </w:r>
          </w:p>
        </w:tc>
        <w:tc>
          <w:tcPr>
            <w:tcW w:w="458" w:type="pct"/>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Евро</w:t>
            </w:r>
          </w:p>
        </w:tc>
        <w:tc>
          <w:tcPr>
            <w:tcW w:w="400" w:type="pct"/>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Рубли</w:t>
            </w:r>
          </w:p>
        </w:tc>
        <w:tc>
          <w:tcPr>
            <w:tcW w:w="825" w:type="pct"/>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Доллар США</w:t>
            </w:r>
          </w:p>
        </w:tc>
        <w:tc>
          <w:tcPr>
            <w:tcW w:w="458" w:type="pct"/>
            <w:tcBorders>
              <w:top w:val="nil"/>
              <w:left w:val="nil"/>
              <w:bottom w:val="single" w:sz="4" w:space="0" w:color="auto"/>
              <w:right w:val="nil"/>
            </w:tcBorders>
            <w:shd w:val="clear" w:color="auto" w:fill="auto"/>
            <w:noWrap/>
            <w:vAlign w:val="bottom"/>
            <w:hideMark/>
          </w:tcPr>
          <w:p w:rsidR="00B86A43" w:rsidRPr="009652D5" w:rsidRDefault="00B86A43" w:rsidP="00B86A43">
            <w:pPr>
              <w:jc w:val="center"/>
              <w:rPr>
                <w:rFonts w:cs="Arial"/>
                <w:b/>
                <w:bCs/>
                <w:color w:val="000000"/>
                <w:sz w:val="20"/>
                <w:lang w:val="ru-RU"/>
              </w:rPr>
            </w:pPr>
            <w:r w:rsidRPr="009652D5">
              <w:rPr>
                <w:rFonts w:cs="Arial"/>
                <w:b/>
                <w:bCs/>
                <w:color w:val="000000"/>
                <w:sz w:val="20"/>
                <w:lang w:val="ru-RU"/>
              </w:rPr>
              <w:t>Евро</w:t>
            </w:r>
          </w:p>
        </w:tc>
      </w:tr>
      <w:tr w:rsidR="00B86A43" w:rsidRPr="009652D5" w:rsidTr="00B86A43">
        <w:trPr>
          <w:trHeight w:val="300"/>
        </w:trPr>
        <w:tc>
          <w:tcPr>
            <w:tcW w:w="1633" w:type="pct"/>
            <w:tcBorders>
              <w:top w:val="nil"/>
              <w:left w:val="nil"/>
              <w:bottom w:val="nil"/>
              <w:right w:val="nil"/>
            </w:tcBorders>
            <w:shd w:val="clear" w:color="auto" w:fill="auto"/>
            <w:noWrap/>
            <w:vAlign w:val="bottom"/>
            <w:hideMark/>
          </w:tcPr>
          <w:p w:rsidR="00B86A43" w:rsidRPr="009652D5" w:rsidRDefault="00B86A43" w:rsidP="00B86A43">
            <w:pPr>
              <w:rPr>
                <w:rFonts w:cs="Arial"/>
                <w:b/>
                <w:bCs/>
                <w:color w:val="000000"/>
                <w:sz w:val="20"/>
                <w:lang w:val="ru-RU"/>
              </w:rPr>
            </w:pPr>
            <w:r w:rsidRPr="009652D5">
              <w:rPr>
                <w:rFonts w:cs="Arial"/>
                <w:b/>
                <w:bCs/>
                <w:color w:val="000000"/>
                <w:sz w:val="20"/>
                <w:lang w:val="ru-RU"/>
              </w:rPr>
              <w:t>Активы</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Средства в других банках</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0.5</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0.0</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Кредиты клиентов</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Кредиты крупному бизнесу</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10.8</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12.2</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11.2</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12.9</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12.4</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14.3</w:t>
            </w:r>
          </w:p>
        </w:tc>
      </w:tr>
      <w:tr w:rsidR="00B86A43" w:rsidRPr="009652D5" w:rsidTr="00B86A43">
        <w:trPr>
          <w:trHeight w:val="9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Кредиты среднему бизнесу и частным предпринимателям</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13.0</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13.2</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11.9</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12.4</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10.9</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12.6</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Потребительские кредиты</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11.7</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9.3</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11.6</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12.0</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10.3</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9.3</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b/>
                <w:bCs/>
                <w:color w:val="000000"/>
                <w:sz w:val="20"/>
                <w:lang w:val="ru-RU"/>
              </w:rPr>
            </w:pPr>
            <w:r w:rsidRPr="009652D5">
              <w:rPr>
                <w:rFonts w:cs="Arial"/>
                <w:b/>
                <w:bCs/>
                <w:color w:val="000000"/>
                <w:sz w:val="20"/>
                <w:lang w:val="ru-RU"/>
              </w:rPr>
              <w:t>Обязательства</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Средства  других банков</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10.5</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9.8</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4.3</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3.4</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Счета клиентов</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Депозиты юридических лиц</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8.7</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6.2</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7.4</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10.1</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7.6</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6.9</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Вклады физических лиц</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12.7</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6.4</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5.6</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8.6</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5.1</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5.5</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Текущие счета</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0.0</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2.8</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2.0</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4.1</w:t>
            </w:r>
          </w:p>
        </w:tc>
      </w:tr>
      <w:tr w:rsidR="00B86A43" w:rsidRPr="009652D5" w:rsidTr="00B86A43">
        <w:trPr>
          <w:trHeight w:val="6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Выпущенные долговые ценные бумаги</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Векселя</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10.3</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7.99</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6.09</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10.5</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8.0</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6.0</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Депозитные сертификаты</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12.4</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12.4</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r>
      <w:tr w:rsidR="00B86A43" w:rsidRPr="009652D5" w:rsidTr="00B86A43">
        <w:trPr>
          <w:trHeight w:val="300"/>
        </w:trPr>
        <w:tc>
          <w:tcPr>
            <w:tcW w:w="1633" w:type="pct"/>
            <w:tcBorders>
              <w:top w:val="nil"/>
              <w:left w:val="nil"/>
              <w:bottom w:val="nil"/>
              <w:right w:val="nil"/>
            </w:tcBorders>
            <w:shd w:val="clear" w:color="auto" w:fill="auto"/>
            <w:vAlign w:val="bottom"/>
            <w:hideMark/>
          </w:tcPr>
          <w:p w:rsidR="00B86A43" w:rsidRPr="009652D5" w:rsidRDefault="00B86A43" w:rsidP="00B86A43">
            <w:pPr>
              <w:rPr>
                <w:rFonts w:cs="Arial"/>
                <w:color w:val="000000"/>
                <w:sz w:val="20"/>
                <w:lang w:val="ru-RU"/>
              </w:rPr>
            </w:pPr>
            <w:r w:rsidRPr="009652D5">
              <w:rPr>
                <w:rFonts w:cs="Arial"/>
                <w:color w:val="000000"/>
                <w:sz w:val="20"/>
                <w:lang w:val="ru-RU"/>
              </w:rPr>
              <w:t>Субординированные займы</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8.3</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5.8</w:t>
            </w:r>
          </w:p>
        </w:tc>
        <w:tc>
          <w:tcPr>
            <w:tcW w:w="400"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8.3</w:t>
            </w:r>
          </w:p>
        </w:tc>
        <w:tc>
          <w:tcPr>
            <w:tcW w:w="825"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w:t>
            </w:r>
          </w:p>
        </w:tc>
        <w:tc>
          <w:tcPr>
            <w:tcW w:w="458" w:type="pct"/>
            <w:tcBorders>
              <w:top w:val="nil"/>
              <w:left w:val="nil"/>
              <w:bottom w:val="nil"/>
              <w:right w:val="nil"/>
            </w:tcBorders>
            <w:shd w:val="clear" w:color="auto" w:fill="auto"/>
            <w:noWrap/>
            <w:vAlign w:val="bottom"/>
            <w:hideMark/>
          </w:tcPr>
          <w:p w:rsidR="00B86A43" w:rsidRPr="009652D5" w:rsidRDefault="00B86A43" w:rsidP="00B86A43">
            <w:pPr>
              <w:jc w:val="center"/>
              <w:rPr>
                <w:rFonts w:cs="Arial"/>
                <w:color w:val="000000"/>
                <w:sz w:val="20"/>
                <w:lang w:val="ru-RU"/>
              </w:rPr>
            </w:pPr>
            <w:r w:rsidRPr="009652D5">
              <w:rPr>
                <w:rFonts w:cs="Arial"/>
                <w:color w:val="000000"/>
                <w:sz w:val="20"/>
                <w:lang w:val="ru-RU"/>
              </w:rPr>
              <w:t>9.0</w:t>
            </w:r>
          </w:p>
        </w:tc>
      </w:tr>
    </w:tbl>
    <w:p w:rsidR="00B86A43" w:rsidRPr="009652D5" w:rsidRDefault="00B86A43" w:rsidP="00B12D0C">
      <w:pPr>
        <w:rPr>
          <w:rFonts w:cs="Arial"/>
          <w:sz w:val="20"/>
          <w:lang w:val="ru-RU"/>
        </w:rPr>
      </w:pPr>
    </w:p>
    <w:p w:rsidR="00B86A43" w:rsidRPr="009652D5" w:rsidRDefault="00B86A43" w:rsidP="00B86A43">
      <w:pPr>
        <w:pStyle w:val="212"/>
        <w:shd w:val="clear" w:color="auto" w:fill="auto"/>
        <w:spacing w:line="226" w:lineRule="exact"/>
        <w:jc w:val="both"/>
        <w:rPr>
          <w:b w:val="0"/>
          <w:bCs w:val="0"/>
          <w:color w:val="000000"/>
          <w:sz w:val="20"/>
          <w:szCs w:val="20"/>
        </w:rPr>
      </w:pPr>
      <w:r w:rsidRPr="009652D5">
        <w:rPr>
          <w:b w:val="0"/>
          <w:bCs w:val="0"/>
          <w:color w:val="000000"/>
          <w:sz w:val="20"/>
          <w:szCs w:val="20"/>
        </w:rPr>
        <w:t xml:space="preserve">В таблице ниже представлен анализ риска изменения процентных ставок, которому подвержен Банк по состоянию на 31 декабря 2014 и 31 декабря 2013 гг., показаны </w:t>
      </w:r>
      <w:r w:rsidRPr="009652D5">
        <w:rPr>
          <w:b w:val="0"/>
          <w:sz w:val="20"/>
          <w:szCs w:val="20"/>
        </w:rPr>
        <w:t>суммы процентных активов и обязательств по их балансовой стоимости, отнесенные к различным категориям, по наиболее ранней из следующих дат: установленной в договоре даты изменения процентной ставки или даты наступления срока платежа (погашения).</w:t>
      </w:r>
    </w:p>
    <w:p w:rsidR="00014A8B" w:rsidRDefault="00014A8B" w:rsidP="00B86A43">
      <w:pPr>
        <w:rPr>
          <w:rStyle w:val="25"/>
          <w:b w:val="0"/>
          <w:bCs w:val="0"/>
          <w:color w:val="000000"/>
          <w:sz w:val="20"/>
          <w:szCs w:val="20"/>
          <w:lang w:val="ru-RU"/>
        </w:rPr>
      </w:pPr>
    </w:p>
    <w:p w:rsidR="00B623F4" w:rsidRPr="009652D5" w:rsidRDefault="002678D7" w:rsidP="00B86A43">
      <w:pPr>
        <w:rPr>
          <w:rFonts w:cs="Arial"/>
          <w:sz w:val="20"/>
          <w:lang w:val="ru-RU"/>
        </w:rPr>
      </w:pPr>
      <w:r>
        <w:rPr>
          <w:rStyle w:val="25"/>
          <w:b w:val="0"/>
          <w:bCs w:val="0"/>
          <w:color w:val="000000"/>
          <w:sz w:val="20"/>
          <w:szCs w:val="20"/>
          <w:lang w:val="ru-RU"/>
        </w:rPr>
        <w:t>В таблице ниже представлен анализ финансовых активов и обязательств по срокам погашения по состоянию</w:t>
      </w:r>
      <w:r w:rsidR="00B86A43" w:rsidRPr="009652D5">
        <w:rPr>
          <w:rStyle w:val="25"/>
          <w:b w:val="0"/>
          <w:bCs w:val="0"/>
          <w:color w:val="000000"/>
          <w:sz w:val="20"/>
          <w:szCs w:val="20"/>
          <w:lang w:val="ru-RU"/>
        </w:rPr>
        <w:t xml:space="preserve"> на 31 декабря 2014 и 31 декабря 2013 года:</w:t>
      </w:r>
    </w:p>
    <w:p w:rsidR="00B86A43" w:rsidRPr="009652D5" w:rsidRDefault="00B86A43" w:rsidP="00B86A43">
      <w:pPr>
        <w:rPr>
          <w:rFonts w:cs="Arial"/>
          <w:sz w:val="20"/>
          <w:lang w:val="ru-RU"/>
        </w:rPr>
      </w:pPr>
    </w:p>
    <w:tbl>
      <w:tblPr>
        <w:tblW w:w="5195" w:type="pct"/>
        <w:tblInd w:w="-176" w:type="dxa"/>
        <w:tblLayout w:type="fixed"/>
        <w:tblLook w:val="04A0"/>
      </w:tblPr>
      <w:tblGrid>
        <w:gridCol w:w="2269"/>
        <w:gridCol w:w="1275"/>
        <w:gridCol w:w="1417"/>
        <w:gridCol w:w="1135"/>
        <w:gridCol w:w="1419"/>
        <w:gridCol w:w="1276"/>
        <w:gridCol w:w="1415"/>
      </w:tblGrid>
      <w:tr w:rsidR="007D6A83" w:rsidRPr="009652D5" w:rsidTr="002678D7">
        <w:trPr>
          <w:trHeight w:val="1155"/>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color w:val="000000"/>
                <w:sz w:val="20"/>
                <w:lang w:val="ru-RU"/>
              </w:rPr>
            </w:pPr>
          </w:p>
        </w:tc>
        <w:tc>
          <w:tcPr>
            <w:tcW w:w="625" w:type="pct"/>
            <w:tcBorders>
              <w:top w:val="nil"/>
              <w:left w:val="nil"/>
              <w:bottom w:val="single" w:sz="4" w:space="0" w:color="auto"/>
              <w:right w:val="nil"/>
            </w:tcBorders>
            <w:shd w:val="clear" w:color="auto" w:fill="auto"/>
            <w:vAlign w:val="bottom"/>
            <w:hideMark/>
          </w:tcPr>
          <w:p w:rsidR="007D6A83" w:rsidRPr="009652D5" w:rsidRDefault="007D6A83" w:rsidP="007D6A83">
            <w:pPr>
              <w:jc w:val="center"/>
              <w:rPr>
                <w:rFonts w:cs="Arial"/>
                <w:b/>
                <w:bCs/>
                <w:color w:val="000000"/>
                <w:sz w:val="20"/>
                <w:lang w:val="ru-RU"/>
              </w:rPr>
            </w:pPr>
            <w:r w:rsidRPr="009652D5">
              <w:rPr>
                <w:rFonts w:cs="Arial"/>
                <w:b/>
                <w:bCs/>
                <w:color w:val="000000"/>
                <w:sz w:val="20"/>
                <w:lang w:val="ru-RU"/>
              </w:rPr>
              <w:t xml:space="preserve">До востребования и менее </w:t>
            </w:r>
            <w:r w:rsidRPr="009652D5">
              <w:rPr>
                <w:rFonts w:cs="Arial"/>
                <w:b/>
                <w:bCs/>
                <w:color w:val="000000"/>
                <w:sz w:val="20"/>
                <w:lang w:val="ru-RU"/>
              </w:rPr>
              <w:br/>
              <w:t>1 мес.</w:t>
            </w:r>
          </w:p>
        </w:tc>
        <w:tc>
          <w:tcPr>
            <w:tcW w:w="694" w:type="pct"/>
            <w:tcBorders>
              <w:top w:val="nil"/>
              <w:left w:val="nil"/>
              <w:bottom w:val="single" w:sz="4" w:space="0" w:color="auto"/>
              <w:right w:val="nil"/>
            </w:tcBorders>
            <w:shd w:val="clear" w:color="auto" w:fill="auto"/>
            <w:vAlign w:val="bottom"/>
            <w:hideMark/>
          </w:tcPr>
          <w:p w:rsidR="007D6A83" w:rsidRPr="009652D5" w:rsidRDefault="007D6A83" w:rsidP="007D6A83">
            <w:pPr>
              <w:jc w:val="center"/>
              <w:rPr>
                <w:rFonts w:cs="Arial"/>
                <w:b/>
                <w:bCs/>
                <w:color w:val="000000"/>
                <w:sz w:val="20"/>
                <w:lang w:val="ru-RU"/>
              </w:rPr>
            </w:pPr>
            <w:r w:rsidRPr="009652D5">
              <w:rPr>
                <w:rFonts w:cs="Arial"/>
                <w:b/>
                <w:bCs/>
                <w:color w:val="000000"/>
                <w:sz w:val="20"/>
                <w:lang w:val="ru-RU"/>
              </w:rPr>
              <w:t>От 1 до 6 месяцев</w:t>
            </w:r>
          </w:p>
        </w:tc>
        <w:tc>
          <w:tcPr>
            <w:tcW w:w="556" w:type="pct"/>
            <w:tcBorders>
              <w:top w:val="nil"/>
              <w:left w:val="nil"/>
              <w:bottom w:val="single" w:sz="4" w:space="0" w:color="auto"/>
              <w:right w:val="nil"/>
            </w:tcBorders>
            <w:shd w:val="clear" w:color="auto" w:fill="auto"/>
            <w:vAlign w:val="bottom"/>
            <w:hideMark/>
          </w:tcPr>
          <w:p w:rsidR="007D6A83" w:rsidRPr="009652D5" w:rsidRDefault="007D6A83" w:rsidP="007D6A83">
            <w:pPr>
              <w:jc w:val="center"/>
              <w:rPr>
                <w:rFonts w:cs="Arial"/>
                <w:b/>
                <w:bCs/>
                <w:color w:val="000000"/>
                <w:sz w:val="20"/>
                <w:lang w:val="ru-RU"/>
              </w:rPr>
            </w:pPr>
            <w:r w:rsidRPr="009652D5">
              <w:rPr>
                <w:rFonts w:cs="Arial"/>
                <w:b/>
                <w:bCs/>
                <w:color w:val="000000"/>
                <w:sz w:val="20"/>
                <w:lang w:val="ru-RU"/>
              </w:rPr>
              <w:t>От 6 месяцев до 1 года</w:t>
            </w:r>
          </w:p>
        </w:tc>
        <w:tc>
          <w:tcPr>
            <w:tcW w:w="695" w:type="pct"/>
            <w:tcBorders>
              <w:top w:val="nil"/>
              <w:left w:val="nil"/>
              <w:bottom w:val="single" w:sz="4" w:space="0" w:color="auto"/>
              <w:right w:val="nil"/>
            </w:tcBorders>
            <w:shd w:val="clear" w:color="auto" w:fill="auto"/>
            <w:vAlign w:val="bottom"/>
            <w:hideMark/>
          </w:tcPr>
          <w:p w:rsidR="007D6A83" w:rsidRPr="009652D5" w:rsidRDefault="007D6A83" w:rsidP="007D6A83">
            <w:pPr>
              <w:jc w:val="center"/>
              <w:rPr>
                <w:rFonts w:cs="Arial"/>
                <w:b/>
                <w:bCs/>
                <w:color w:val="000000"/>
                <w:sz w:val="20"/>
                <w:lang w:val="ru-RU"/>
              </w:rPr>
            </w:pPr>
            <w:r w:rsidRPr="009652D5">
              <w:rPr>
                <w:rFonts w:cs="Arial"/>
                <w:b/>
                <w:bCs/>
                <w:color w:val="000000"/>
                <w:sz w:val="20"/>
                <w:lang w:val="ru-RU"/>
              </w:rPr>
              <w:t>Более 1 года</w:t>
            </w:r>
          </w:p>
        </w:tc>
        <w:tc>
          <w:tcPr>
            <w:tcW w:w="625" w:type="pct"/>
            <w:tcBorders>
              <w:top w:val="nil"/>
              <w:left w:val="nil"/>
              <w:bottom w:val="single" w:sz="4" w:space="0" w:color="auto"/>
              <w:right w:val="nil"/>
            </w:tcBorders>
            <w:shd w:val="clear" w:color="auto" w:fill="auto"/>
            <w:vAlign w:val="bottom"/>
            <w:hideMark/>
          </w:tcPr>
          <w:p w:rsidR="007D6A83" w:rsidRPr="009652D5" w:rsidRDefault="007D6A83" w:rsidP="007D6A83">
            <w:pPr>
              <w:jc w:val="center"/>
              <w:rPr>
                <w:rFonts w:cs="Arial"/>
                <w:b/>
                <w:bCs/>
                <w:color w:val="000000"/>
                <w:sz w:val="20"/>
                <w:lang w:val="ru-RU"/>
              </w:rPr>
            </w:pPr>
            <w:r w:rsidRPr="009652D5">
              <w:rPr>
                <w:rFonts w:cs="Arial"/>
                <w:b/>
                <w:bCs/>
                <w:color w:val="000000"/>
                <w:sz w:val="20"/>
                <w:lang w:val="ru-RU"/>
              </w:rPr>
              <w:t>Просро-ченные</w:t>
            </w:r>
          </w:p>
        </w:tc>
        <w:tc>
          <w:tcPr>
            <w:tcW w:w="693" w:type="pct"/>
            <w:tcBorders>
              <w:top w:val="nil"/>
              <w:left w:val="nil"/>
              <w:bottom w:val="single" w:sz="4" w:space="0" w:color="auto"/>
              <w:right w:val="nil"/>
            </w:tcBorders>
            <w:shd w:val="clear" w:color="auto" w:fill="auto"/>
            <w:vAlign w:val="bottom"/>
            <w:hideMark/>
          </w:tcPr>
          <w:p w:rsidR="007D6A83" w:rsidRPr="009652D5" w:rsidRDefault="007D6A83" w:rsidP="007D6A83">
            <w:pPr>
              <w:jc w:val="center"/>
              <w:rPr>
                <w:rFonts w:cs="Arial"/>
                <w:b/>
                <w:bCs/>
                <w:color w:val="000000"/>
                <w:sz w:val="20"/>
                <w:lang w:val="ru-RU"/>
              </w:rPr>
            </w:pPr>
            <w:r w:rsidRPr="009652D5">
              <w:rPr>
                <w:rFonts w:cs="Arial"/>
                <w:b/>
                <w:bCs/>
                <w:color w:val="000000"/>
                <w:sz w:val="20"/>
                <w:lang w:val="ru-RU"/>
              </w:rPr>
              <w:t>Итого</w:t>
            </w: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b/>
                <w:bCs/>
                <w:color w:val="000000"/>
                <w:sz w:val="20"/>
                <w:lang w:val="ru-RU"/>
              </w:rPr>
            </w:pPr>
            <w:r w:rsidRPr="009652D5">
              <w:rPr>
                <w:rFonts w:cs="Arial"/>
                <w:b/>
                <w:bCs/>
                <w:color w:val="000000"/>
                <w:sz w:val="20"/>
                <w:lang w:val="ru-RU"/>
              </w:rPr>
              <w:t>Активы</w:t>
            </w:r>
          </w:p>
        </w:tc>
        <w:tc>
          <w:tcPr>
            <w:tcW w:w="625" w:type="pct"/>
            <w:tcBorders>
              <w:top w:val="nil"/>
              <w:left w:val="nil"/>
              <w:bottom w:val="nil"/>
              <w:right w:val="nil"/>
            </w:tcBorders>
            <w:shd w:val="clear" w:color="auto" w:fill="auto"/>
            <w:noWrap/>
            <w:vAlign w:val="bottom"/>
            <w:hideMark/>
          </w:tcPr>
          <w:p w:rsidR="007D6A83" w:rsidRPr="009652D5" w:rsidRDefault="007D6A83" w:rsidP="007D6A83">
            <w:pPr>
              <w:jc w:val="center"/>
              <w:rPr>
                <w:rFonts w:cs="Arial"/>
                <w:color w:val="000000"/>
                <w:sz w:val="20"/>
                <w:lang w:val="ru-RU"/>
              </w:rPr>
            </w:pPr>
          </w:p>
        </w:tc>
        <w:tc>
          <w:tcPr>
            <w:tcW w:w="694" w:type="pct"/>
            <w:tcBorders>
              <w:top w:val="nil"/>
              <w:left w:val="nil"/>
              <w:bottom w:val="nil"/>
              <w:right w:val="nil"/>
            </w:tcBorders>
            <w:shd w:val="clear" w:color="auto" w:fill="auto"/>
            <w:noWrap/>
            <w:vAlign w:val="bottom"/>
            <w:hideMark/>
          </w:tcPr>
          <w:p w:rsidR="007D6A83" w:rsidRPr="009652D5" w:rsidRDefault="007D6A83" w:rsidP="007D6A83">
            <w:pPr>
              <w:jc w:val="center"/>
              <w:rPr>
                <w:rFonts w:cs="Arial"/>
                <w:color w:val="000000"/>
                <w:sz w:val="20"/>
                <w:lang w:val="ru-RU"/>
              </w:rPr>
            </w:pPr>
          </w:p>
        </w:tc>
        <w:tc>
          <w:tcPr>
            <w:tcW w:w="556" w:type="pct"/>
            <w:tcBorders>
              <w:top w:val="nil"/>
              <w:left w:val="nil"/>
              <w:bottom w:val="nil"/>
              <w:right w:val="nil"/>
            </w:tcBorders>
            <w:shd w:val="clear" w:color="auto" w:fill="auto"/>
            <w:noWrap/>
            <w:vAlign w:val="bottom"/>
            <w:hideMark/>
          </w:tcPr>
          <w:p w:rsidR="007D6A83" w:rsidRPr="009652D5" w:rsidRDefault="007D6A83" w:rsidP="007D6A83">
            <w:pPr>
              <w:jc w:val="center"/>
              <w:rPr>
                <w:rFonts w:cs="Arial"/>
                <w:color w:val="000000"/>
                <w:sz w:val="20"/>
                <w:lang w:val="ru-RU"/>
              </w:rPr>
            </w:pPr>
          </w:p>
        </w:tc>
        <w:tc>
          <w:tcPr>
            <w:tcW w:w="695" w:type="pct"/>
            <w:tcBorders>
              <w:top w:val="nil"/>
              <w:left w:val="nil"/>
              <w:bottom w:val="nil"/>
              <w:right w:val="nil"/>
            </w:tcBorders>
            <w:shd w:val="clear" w:color="auto" w:fill="auto"/>
            <w:noWrap/>
            <w:vAlign w:val="bottom"/>
            <w:hideMark/>
          </w:tcPr>
          <w:p w:rsidR="007D6A83" w:rsidRPr="009652D5" w:rsidRDefault="007D6A83" w:rsidP="007D6A83">
            <w:pPr>
              <w:jc w:val="center"/>
              <w:rPr>
                <w:rFonts w:cs="Arial"/>
                <w:color w:val="000000"/>
                <w:sz w:val="20"/>
                <w:lang w:val="ru-RU"/>
              </w:rPr>
            </w:pPr>
          </w:p>
        </w:tc>
        <w:tc>
          <w:tcPr>
            <w:tcW w:w="625" w:type="pct"/>
            <w:tcBorders>
              <w:top w:val="nil"/>
              <w:left w:val="nil"/>
              <w:bottom w:val="nil"/>
              <w:right w:val="nil"/>
            </w:tcBorders>
            <w:shd w:val="clear" w:color="auto" w:fill="auto"/>
            <w:noWrap/>
            <w:vAlign w:val="bottom"/>
            <w:hideMark/>
          </w:tcPr>
          <w:p w:rsidR="007D6A83" w:rsidRPr="009652D5" w:rsidRDefault="007D6A83" w:rsidP="007D6A83">
            <w:pPr>
              <w:jc w:val="center"/>
              <w:rPr>
                <w:rFonts w:cs="Arial"/>
                <w:color w:val="000000"/>
                <w:sz w:val="20"/>
                <w:lang w:val="ru-RU"/>
              </w:rPr>
            </w:pPr>
          </w:p>
        </w:tc>
        <w:tc>
          <w:tcPr>
            <w:tcW w:w="693" w:type="pct"/>
            <w:tcBorders>
              <w:top w:val="nil"/>
              <w:left w:val="nil"/>
              <w:bottom w:val="nil"/>
              <w:right w:val="nil"/>
            </w:tcBorders>
            <w:shd w:val="clear" w:color="auto" w:fill="auto"/>
            <w:noWrap/>
            <w:vAlign w:val="bottom"/>
            <w:hideMark/>
          </w:tcPr>
          <w:p w:rsidR="007D6A83" w:rsidRPr="009652D5" w:rsidRDefault="007D6A83" w:rsidP="007D6A83">
            <w:pPr>
              <w:jc w:val="center"/>
              <w:rPr>
                <w:rFonts w:cs="Arial"/>
                <w:color w:val="000000"/>
                <w:sz w:val="20"/>
                <w:lang w:val="ru-RU"/>
              </w:rPr>
            </w:pP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color w:val="000000"/>
                <w:sz w:val="20"/>
                <w:lang w:val="ru-RU"/>
              </w:rPr>
            </w:pPr>
            <w:r w:rsidRPr="009652D5">
              <w:rPr>
                <w:rFonts w:cs="Arial"/>
                <w:color w:val="000000"/>
                <w:sz w:val="20"/>
                <w:lang w:val="ru-RU"/>
              </w:rPr>
              <w:t>Средства в банках</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43 799</w:t>
            </w: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93"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43 799</w:t>
            </w: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EB783F">
            <w:pPr>
              <w:rPr>
                <w:rFonts w:cs="Arial"/>
                <w:color w:val="000000"/>
                <w:sz w:val="20"/>
                <w:lang w:val="ru-RU"/>
              </w:rPr>
            </w:pPr>
            <w:r w:rsidRPr="009652D5">
              <w:rPr>
                <w:rFonts w:cs="Arial"/>
                <w:color w:val="000000"/>
                <w:sz w:val="20"/>
                <w:lang w:val="ru-RU"/>
              </w:rPr>
              <w:t xml:space="preserve">Кредиты </w:t>
            </w:r>
            <w:r w:rsidR="00EB783F" w:rsidRPr="009652D5">
              <w:rPr>
                <w:rFonts w:cs="Arial"/>
                <w:color w:val="000000"/>
                <w:sz w:val="20"/>
                <w:lang w:val="ru-RU"/>
              </w:rPr>
              <w:t>клиентам</w:t>
            </w:r>
          </w:p>
        </w:tc>
        <w:tc>
          <w:tcPr>
            <w:tcW w:w="625" w:type="pct"/>
            <w:tcBorders>
              <w:top w:val="nil"/>
              <w:left w:val="nil"/>
              <w:bottom w:val="single" w:sz="4" w:space="0" w:color="auto"/>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478 930</w:t>
            </w:r>
          </w:p>
        </w:tc>
        <w:tc>
          <w:tcPr>
            <w:tcW w:w="694" w:type="pct"/>
            <w:tcBorders>
              <w:top w:val="nil"/>
              <w:left w:val="nil"/>
              <w:bottom w:val="single" w:sz="4" w:space="0" w:color="auto"/>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3 887 885</w:t>
            </w:r>
          </w:p>
        </w:tc>
        <w:tc>
          <w:tcPr>
            <w:tcW w:w="556" w:type="pct"/>
            <w:tcBorders>
              <w:top w:val="nil"/>
              <w:left w:val="nil"/>
              <w:bottom w:val="single" w:sz="4" w:space="0" w:color="auto"/>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4 718 060</w:t>
            </w:r>
          </w:p>
        </w:tc>
        <w:tc>
          <w:tcPr>
            <w:tcW w:w="695" w:type="pct"/>
            <w:tcBorders>
              <w:top w:val="nil"/>
              <w:left w:val="nil"/>
              <w:bottom w:val="single" w:sz="4" w:space="0" w:color="auto"/>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1 244 687</w:t>
            </w:r>
          </w:p>
        </w:tc>
        <w:tc>
          <w:tcPr>
            <w:tcW w:w="625" w:type="pct"/>
            <w:tcBorders>
              <w:top w:val="nil"/>
              <w:left w:val="nil"/>
              <w:bottom w:val="single" w:sz="4" w:space="0" w:color="auto"/>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645 691</w:t>
            </w:r>
          </w:p>
        </w:tc>
        <w:tc>
          <w:tcPr>
            <w:tcW w:w="693" w:type="pct"/>
            <w:tcBorders>
              <w:top w:val="nil"/>
              <w:left w:val="nil"/>
              <w:bottom w:val="single" w:sz="4"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10 975 253</w:t>
            </w: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b/>
                <w:bCs/>
                <w:color w:val="000000"/>
                <w:sz w:val="20"/>
                <w:lang w:val="ru-RU"/>
              </w:rPr>
            </w:pPr>
            <w:r w:rsidRPr="009652D5">
              <w:rPr>
                <w:rFonts w:cs="Arial"/>
                <w:b/>
                <w:bCs/>
                <w:color w:val="000000"/>
                <w:sz w:val="20"/>
                <w:lang w:val="ru-RU"/>
              </w:rPr>
              <w:lastRenderedPageBreak/>
              <w:t>Итого активов</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522 729</w:t>
            </w: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3 887 885</w:t>
            </w: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4 718 060</w:t>
            </w: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1 244 687</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645 691</w:t>
            </w:r>
          </w:p>
        </w:tc>
        <w:tc>
          <w:tcPr>
            <w:tcW w:w="693"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11 019 052</w:t>
            </w: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color w:val="000000"/>
                <w:sz w:val="20"/>
                <w:lang w:val="ru-RU"/>
              </w:rPr>
            </w:pP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93"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b/>
                <w:bCs/>
                <w:color w:val="000000"/>
                <w:sz w:val="20"/>
                <w:lang w:val="ru-RU"/>
              </w:rPr>
            </w:pPr>
            <w:r w:rsidRPr="009652D5">
              <w:rPr>
                <w:rFonts w:cs="Arial"/>
                <w:b/>
                <w:bCs/>
                <w:color w:val="000000"/>
                <w:sz w:val="20"/>
                <w:lang w:val="ru-RU"/>
              </w:rPr>
              <w:t>Обязательства</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p>
        </w:tc>
        <w:tc>
          <w:tcPr>
            <w:tcW w:w="693"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color w:val="000000"/>
                <w:sz w:val="20"/>
                <w:lang w:val="ru-RU"/>
              </w:rPr>
            </w:pPr>
            <w:r w:rsidRPr="009652D5">
              <w:rPr>
                <w:rFonts w:cs="Arial"/>
                <w:color w:val="000000"/>
                <w:sz w:val="20"/>
                <w:lang w:val="ru-RU"/>
              </w:rPr>
              <w:t>Средства банков</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411 383</w:t>
            </w: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93"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411 383</w:t>
            </w: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9652D5" w:rsidRDefault="007D6A83" w:rsidP="007D6A83">
            <w:pPr>
              <w:rPr>
                <w:rFonts w:cs="Arial"/>
                <w:color w:val="000000"/>
                <w:sz w:val="20"/>
                <w:lang w:val="ru-RU"/>
              </w:rPr>
            </w:pPr>
            <w:r w:rsidRPr="009652D5">
              <w:rPr>
                <w:rFonts w:cs="Arial"/>
                <w:color w:val="000000"/>
                <w:sz w:val="20"/>
                <w:lang w:val="ru-RU"/>
              </w:rPr>
              <w:t>Средства клиентов</w:t>
            </w:r>
          </w:p>
        </w:tc>
        <w:tc>
          <w:tcPr>
            <w:tcW w:w="625" w:type="pct"/>
            <w:tcBorders>
              <w:top w:val="nil"/>
              <w:left w:val="nil"/>
              <w:bottom w:val="nil"/>
              <w:right w:val="nil"/>
            </w:tcBorders>
            <w:shd w:val="clear" w:color="auto" w:fill="auto"/>
            <w:noWrap/>
            <w:vAlign w:val="bottom"/>
            <w:hideMark/>
          </w:tcPr>
          <w:p w:rsidR="007D6A83" w:rsidRPr="009652D5" w:rsidRDefault="003F440C" w:rsidP="00EB783F">
            <w:pPr>
              <w:jc w:val="right"/>
              <w:rPr>
                <w:rFonts w:cs="Arial"/>
                <w:color w:val="000000"/>
                <w:sz w:val="20"/>
                <w:lang w:val="ru-RU"/>
              </w:rPr>
            </w:pPr>
            <w:r w:rsidRPr="009652D5">
              <w:rPr>
                <w:rFonts w:cs="Arial"/>
                <w:color w:val="000000"/>
                <w:sz w:val="20"/>
                <w:lang w:val="ru-RU"/>
              </w:rPr>
              <w:t>3 193 763</w:t>
            </w: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27 103 236</w:t>
            </w: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5 567 081</w:t>
            </w: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319 781</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3 742 942</w:t>
            </w:r>
          </w:p>
        </w:tc>
        <w:tc>
          <w:tcPr>
            <w:tcW w:w="693" w:type="pct"/>
            <w:tcBorders>
              <w:top w:val="nil"/>
              <w:left w:val="nil"/>
              <w:bottom w:val="nil"/>
              <w:right w:val="nil"/>
            </w:tcBorders>
            <w:shd w:val="clear" w:color="auto" w:fill="auto"/>
            <w:noWrap/>
            <w:vAlign w:val="bottom"/>
            <w:hideMark/>
          </w:tcPr>
          <w:p w:rsidR="007D6A83" w:rsidRPr="009652D5" w:rsidRDefault="003F440C" w:rsidP="00EB783F">
            <w:pPr>
              <w:jc w:val="right"/>
              <w:rPr>
                <w:rFonts w:cs="Arial"/>
                <w:b/>
                <w:bCs/>
                <w:color w:val="000000"/>
                <w:sz w:val="20"/>
                <w:lang w:val="ru-RU"/>
              </w:rPr>
            </w:pPr>
            <w:r w:rsidRPr="009652D5">
              <w:rPr>
                <w:rFonts w:cs="Arial"/>
                <w:b/>
                <w:bCs/>
                <w:color w:val="000000"/>
                <w:sz w:val="20"/>
                <w:lang w:val="ru-RU"/>
              </w:rPr>
              <w:t>39 926 803</w:t>
            </w:r>
          </w:p>
        </w:tc>
      </w:tr>
      <w:tr w:rsidR="007D6A83" w:rsidRPr="009652D5" w:rsidTr="002678D7">
        <w:trPr>
          <w:trHeight w:val="900"/>
        </w:trPr>
        <w:tc>
          <w:tcPr>
            <w:tcW w:w="1112" w:type="pct"/>
            <w:tcBorders>
              <w:top w:val="nil"/>
              <w:left w:val="nil"/>
              <w:bottom w:val="nil"/>
              <w:right w:val="nil"/>
            </w:tcBorders>
            <w:shd w:val="clear" w:color="auto" w:fill="auto"/>
            <w:vAlign w:val="bottom"/>
            <w:hideMark/>
          </w:tcPr>
          <w:p w:rsidR="007D6A83" w:rsidRPr="009652D5" w:rsidRDefault="007D6A83" w:rsidP="007D6A83">
            <w:pPr>
              <w:rPr>
                <w:rFonts w:cs="Arial"/>
                <w:color w:val="000000"/>
                <w:sz w:val="20"/>
                <w:lang w:val="ru-RU"/>
              </w:rPr>
            </w:pPr>
            <w:r w:rsidRPr="009652D5">
              <w:rPr>
                <w:rFonts w:cs="Arial"/>
                <w:color w:val="000000"/>
                <w:sz w:val="20"/>
                <w:lang w:val="ru-RU"/>
              </w:rPr>
              <w:t>Выпущенные долговые ценные бумаги</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86 787</w:t>
            </w: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w:t>
            </w:r>
          </w:p>
        </w:tc>
        <w:tc>
          <w:tcPr>
            <w:tcW w:w="69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3 632</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color w:val="000000"/>
                <w:sz w:val="20"/>
                <w:lang w:val="ru-RU"/>
              </w:rPr>
            </w:pPr>
            <w:r w:rsidRPr="009652D5">
              <w:rPr>
                <w:rFonts w:cs="Arial"/>
                <w:color w:val="000000"/>
                <w:sz w:val="20"/>
                <w:lang w:val="ru-RU"/>
              </w:rPr>
              <w:t>81 886</w:t>
            </w:r>
          </w:p>
        </w:tc>
        <w:tc>
          <w:tcPr>
            <w:tcW w:w="693"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172 305</w:t>
            </w:r>
          </w:p>
        </w:tc>
      </w:tr>
      <w:tr w:rsidR="007D6A83" w:rsidRPr="00ED3E6F" w:rsidTr="002678D7">
        <w:trPr>
          <w:trHeight w:val="600"/>
        </w:trPr>
        <w:tc>
          <w:tcPr>
            <w:tcW w:w="1112" w:type="pct"/>
            <w:tcBorders>
              <w:top w:val="nil"/>
              <w:left w:val="nil"/>
              <w:bottom w:val="nil"/>
              <w:right w:val="nil"/>
            </w:tcBorders>
            <w:shd w:val="clear" w:color="auto" w:fill="auto"/>
            <w:vAlign w:val="bottom"/>
            <w:hideMark/>
          </w:tcPr>
          <w:p w:rsidR="007D6A83" w:rsidRPr="00ED3E6F" w:rsidRDefault="007D6A83" w:rsidP="007D6A83">
            <w:pPr>
              <w:rPr>
                <w:rFonts w:cs="Arial"/>
                <w:color w:val="000000"/>
                <w:sz w:val="20"/>
                <w:lang w:val="ru-RU"/>
              </w:rPr>
            </w:pPr>
            <w:r w:rsidRPr="00ED3E6F">
              <w:rPr>
                <w:rFonts w:cs="Arial"/>
                <w:color w:val="000000"/>
                <w:sz w:val="20"/>
                <w:lang w:val="ru-RU"/>
              </w:rPr>
              <w:t>Субординированные займы</w:t>
            </w:r>
          </w:p>
        </w:tc>
        <w:tc>
          <w:tcPr>
            <w:tcW w:w="625"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color w:val="000000"/>
                <w:sz w:val="20"/>
                <w:lang w:val="ru-RU"/>
              </w:rPr>
            </w:pPr>
            <w:r w:rsidRPr="00ED3E6F">
              <w:rPr>
                <w:rFonts w:cs="Arial"/>
                <w:color w:val="000000"/>
                <w:sz w:val="20"/>
                <w:lang w:val="ru-RU"/>
              </w:rPr>
              <w:t>-</w:t>
            </w:r>
          </w:p>
        </w:tc>
        <w:tc>
          <w:tcPr>
            <w:tcW w:w="694"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color w:val="000000"/>
                <w:sz w:val="20"/>
                <w:lang w:val="ru-RU"/>
              </w:rPr>
            </w:pPr>
            <w:r w:rsidRPr="00ED3E6F">
              <w:rPr>
                <w:rFonts w:cs="Arial"/>
                <w:color w:val="000000"/>
                <w:sz w:val="20"/>
                <w:lang w:val="ru-RU"/>
              </w:rPr>
              <w:t>-</w:t>
            </w:r>
          </w:p>
        </w:tc>
        <w:tc>
          <w:tcPr>
            <w:tcW w:w="556"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color w:val="000000"/>
                <w:sz w:val="20"/>
                <w:lang w:val="ru-RU"/>
              </w:rPr>
            </w:pPr>
            <w:r w:rsidRPr="00ED3E6F">
              <w:rPr>
                <w:rFonts w:cs="Arial"/>
                <w:color w:val="000000"/>
                <w:sz w:val="20"/>
                <w:lang w:val="ru-RU"/>
              </w:rPr>
              <w:t>-</w:t>
            </w:r>
          </w:p>
        </w:tc>
        <w:tc>
          <w:tcPr>
            <w:tcW w:w="695" w:type="pct"/>
            <w:tcBorders>
              <w:top w:val="nil"/>
              <w:left w:val="nil"/>
              <w:bottom w:val="single" w:sz="4" w:space="0" w:color="auto"/>
              <w:right w:val="nil"/>
            </w:tcBorders>
            <w:shd w:val="clear" w:color="auto" w:fill="auto"/>
            <w:noWrap/>
            <w:vAlign w:val="bottom"/>
            <w:hideMark/>
          </w:tcPr>
          <w:p w:rsidR="007D6A83" w:rsidRPr="00ED3E6F" w:rsidRDefault="007D6A83" w:rsidP="003F440C">
            <w:pPr>
              <w:jc w:val="right"/>
              <w:rPr>
                <w:rFonts w:cs="Arial"/>
                <w:color w:val="000000"/>
                <w:sz w:val="20"/>
                <w:lang w:val="ru-RU"/>
              </w:rPr>
            </w:pPr>
            <w:r w:rsidRPr="00ED3E6F">
              <w:rPr>
                <w:rFonts w:cs="Arial"/>
                <w:color w:val="000000"/>
                <w:sz w:val="20"/>
                <w:lang w:val="ru-RU"/>
              </w:rPr>
              <w:t xml:space="preserve">2 274 </w:t>
            </w:r>
            <w:r w:rsidR="003F440C" w:rsidRPr="00ED3E6F">
              <w:rPr>
                <w:rFonts w:cs="Arial"/>
                <w:color w:val="000000"/>
                <w:sz w:val="20"/>
                <w:lang w:val="ru-RU"/>
              </w:rPr>
              <w:t>605</w:t>
            </w:r>
          </w:p>
        </w:tc>
        <w:tc>
          <w:tcPr>
            <w:tcW w:w="625"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color w:val="000000"/>
                <w:sz w:val="20"/>
                <w:lang w:val="ru-RU"/>
              </w:rPr>
            </w:pPr>
            <w:r w:rsidRPr="00ED3E6F">
              <w:rPr>
                <w:rFonts w:cs="Arial"/>
                <w:color w:val="000000"/>
                <w:sz w:val="20"/>
                <w:lang w:val="ru-RU"/>
              </w:rPr>
              <w:t>-</w:t>
            </w:r>
          </w:p>
        </w:tc>
        <w:tc>
          <w:tcPr>
            <w:tcW w:w="693" w:type="pct"/>
            <w:tcBorders>
              <w:top w:val="nil"/>
              <w:left w:val="nil"/>
              <w:bottom w:val="nil"/>
              <w:right w:val="nil"/>
            </w:tcBorders>
            <w:shd w:val="clear" w:color="auto" w:fill="auto"/>
            <w:noWrap/>
            <w:vAlign w:val="bottom"/>
            <w:hideMark/>
          </w:tcPr>
          <w:p w:rsidR="007D6A83" w:rsidRPr="00ED3E6F" w:rsidRDefault="007D6A83" w:rsidP="003F440C">
            <w:pPr>
              <w:jc w:val="right"/>
              <w:rPr>
                <w:rFonts w:cs="Arial"/>
                <w:b/>
                <w:bCs/>
                <w:color w:val="000000"/>
                <w:sz w:val="20"/>
                <w:lang w:val="ru-RU"/>
              </w:rPr>
            </w:pPr>
            <w:r w:rsidRPr="00ED3E6F">
              <w:rPr>
                <w:rFonts w:cs="Arial"/>
                <w:b/>
                <w:bCs/>
                <w:color w:val="000000"/>
                <w:sz w:val="20"/>
                <w:lang w:val="ru-RU"/>
              </w:rPr>
              <w:t xml:space="preserve">2 274 </w:t>
            </w:r>
            <w:r w:rsidR="003F440C" w:rsidRPr="00ED3E6F">
              <w:rPr>
                <w:rFonts w:cs="Arial"/>
                <w:b/>
                <w:bCs/>
                <w:color w:val="000000"/>
                <w:sz w:val="20"/>
                <w:lang w:val="ru-RU"/>
              </w:rPr>
              <w:t>605</w:t>
            </w:r>
          </w:p>
        </w:tc>
      </w:tr>
      <w:tr w:rsidR="007D6A83" w:rsidRPr="009652D5" w:rsidTr="002678D7">
        <w:trPr>
          <w:trHeight w:val="300"/>
        </w:trPr>
        <w:tc>
          <w:tcPr>
            <w:tcW w:w="1112" w:type="pct"/>
            <w:tcBorders>
              <w:top w:val="nil"/>
              <w:left w:val="nil"/>
              <w:bottom w:val="nil"/>
              <w:right w:val="nil"/>
            </w:tcBorders>
            <w:shd w:val="clear" w:color="auto" w:fill="auto"/>
            <w:noWrap/>
            <w:vAlign w:val="bottom"/>
            <w:hideMark/>
          </w:tcPr>
          <w:p w:rsidR="007D6A83" w:rsidRPr="00ED3E6F" w:rsidRDefault="007D6A83" w:rsidP="007D6A83">
            <w:pPr>
              <w:rPr>
                <w:rFonts w:cs="Arial"/>
                <w:b/>
                <w:bCs/>
                <w:color w:val="000000"/>
                <w:sz w:val="20"/>
                <w:lang w:val="ru-RU"/>
              </w:rPr>
            </w:pPr>
            <w:r w:rsidRPr="00ED3E6F">
              <w:rPr>
                <w:rFonts w:cs="Arial"/>
                <w:b/>
                <w:bCs/>
                <w:color w:val="000000"/>
                <w:sz w:val="20"/>
                <w:lang w:val="ru-RU"/>
              </w:rPr>
              <w:t>Итого обязательств</w:t>
            </w:r>
          </w:p>
        </w:tc>
        <w:tc>
          <w:tcPr>
            <w:tcW w:w="625" w:type="pct"/>
            <w:tcBorders>
              <w:top w:val="nil"/>
              <w:left w:val="nil"/>
              <w:bottom w:val="single" w:sz="4" w:space="0" w:color="auto"/>
              <w:right w:val="nil"/>
            </w:tcBorders>
            <w:shd w:val="clear" w:color="auto" w:fill="auto"/>
            <w:noWrap/>
            <w:vAlign w:val="bottom"/>
            <w:hideMark/>
          </w:tcPr>
          <w:p w:rsidR="007D6A83" w:rsidRPr="00ED3E6F" w:rsidRDefault="007D6A83" w:rsidP="003F440C">
            <w:pPr>
              <w:jc w:val="right"/>
              <w:rPr>
                <w:rFonts w:cs="Arial"/>
                <w:b/>
                <w:bCs/>
                <w:color w:val="000000"/>
                <w:sz w:val="20"/>
                <w:lang w:val="ru-RU"/>
              </w:rPr>
            </w:pPr>
            <w:r w:rsidRPr="00ED3E6F">
              <w:rPr>
                <w:rFonts w:cs="Arial"/>
                <w:b/>
                <w:bCs/>
                <w:color w:val="000000"/>
                <w:sz w:val="20"/>
                <w:lang w:val="ru-RU"/>
              </w:rPr>
              <w:t xml:space="preserve">3 </w:t>
            </w:r>
            <w:r w:rsidR="003F440C" w:rsidRPr="00ED3E6F">
              <w:rPr>
                <w:rFonts w:cs="Arial"/>
                <w:b/>
                <w:bCs/>
                <w:color w:val="000000"/>
                <w:sz w:val="20"/>
                <w:lang w:val="ru-RU"/>
              </w:rPr>
              <w:t>605 146</w:t>
            </w:r>
          </w:p>
        </w:tc>
        <w:tc>
          <w:tcPr>
            <w:tcW w:w="694"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b/>
                <w:bCs/>
                <w:color w:val="000000"/>
                <w:sz w:val="20"/>
                <w:lang w:val="ru-RU"/>
              </w:rPr>
            </w:pPr>
            <w:r w:rsidRPr="00ED3E6F">
              <w:rPr>
                <w:rFonts w:cs="Arial"/>
                <w:b/>
                <w:bCs/>
                <w:color w:val="000000"/>
                <w:sz w:val="20"/>
                <w:lang w:val="ru-RU"/>
              </w:rPr>
              <w:t>27 190 023</w:t>
            </w:r>
          </w:p>
        </w:tc>
        <w:tc>
          <w:tcPr>
            <w:tcW w:w="556"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b/>
                <w:bCs/>
                <w:color w:val="000000"/>
                <w:sz w:val="20"/>
                <w:lang w:val="ru-RU"/>
              </w:rPr>
            </w:pPr>
            <w:r w:rsidRPr="00ED3E6F">
              <w:rPr>
                <w:rFonts w:cs="Arial"/>
                <w:b/>
                <w:bCs/>
                <w:color w:val="000000"/>
                <w:sz w:val="20"/>
                <w:lang w:val="ru-RU"/>
              </w:rPr>
              <w:t>5 567 081</w:t>
            </w:r>
          </w:p>
        </w:tc>
        <w:tc>
          <w:tcPr>
            <w:tcW w:w="695" w:type="pct"/>
            <w:tcBorders>
              <w:top w:val="nil"/>
              <w:left w:val="nil"/>
              <w:bottom w:val="single" w:sz="4" w:space="0" w:color="auto"/>
              <w:right w:val="nil"/>
            </w:tcBorders>
            <w:shd w:val="clear" w:color="auto" w:fill="auto"/>
            <w:noWrap/>
            <w:vAlign w:val="bottom"/>
            <w:hideMark/>
          </w:tcPr>
          <w:p w:rsidR="007D6A83" w:rsidRPr="00ED3E6F" w:rsidRDefault="007D6A83" w:rsidP="00706D0B">
            <w:pPr>
              <w:jc w:val="right"/>
              <w:rPr>
                <w:rFonts w:cs="Arial"/>
                <w:b/>
                <w:bCs/>
                <w:color w:val="000000"/>
                <w:sz w:val="20"/>
                <w:lang w:val="ru-RU"/>
              </w:rPr>
            </w:pPr>
            <w:r w:rsidRPr="00ED3E6F">
              <w:rPr>
                <w:rFonts w:cs="Arial"/>
                <w:b/>
                <w:bCs/>
                <w:color w:val="000000"/>
                <w:sz w:val="20"/>
                <w:lang w:val="ru-RU"/>
              </w:rPr>
              <w:t xml:space="preserve">2 598 </w:t>
            </w:r>
            <w:r w:rsidR="00706D0B" w:rsidRPr="00ED3E6F">
              <w:rPr>
                <w:rFonts w:cs="Arial"/>
                <w:b/>
                <w:bCs/>
                <w:color w:val="000000"/>
                <w:sz w:val="20"/>
                <w:lang w:val="ru-RU"/>
              </w:rPr>
              <w:t>018</w:t>
            </w:r>
          </w:p>
        </w:tc>
        <w:tc>
          <w:tcPr>
            <w:tcW w:w="625" w:type="pct"/>
            <w:tcBorders>
              <w:top w:val="nil"/>
              <w:left w:val="nil"/>
              <w:bottom w:val="single" w:sz="4" w:space="0" w:color="auto"/>
              <w:right w:val="nil"/>
            </w:tcBorders>
            <w:shd w:val="clear" w:color="auto" w:fill="auto"/>
            <w:noWrap/>
            <w:vAlign w:val="bottom"/>
            <w:hideMark/>
          </w:tcPr>
          <w:p w:rsidR="007D6A83" w:rsidRPr="00ED3E6F" w:rsidRDefault="007D6A83" w:rsidP="00EB783F">
            <w:pPr>
              <w:jc w:val="right"/>
              <w:rPr>
                <w:rFonts w:cs="Arial"/>
                <w:b/>
                <w:bCs/>
                <w:color w:val="000000"/>
                <w:sz w:val="20"/>
                <w:lang w:val="ru-RU"/>
              </w:rPr>
            </w:pPr>
            <w:r w:rsidRPr="00ED3E6F">
              <w:rPr>
                <w:rFonts w:cs="Arial"/>
                <w:b/>
                <w:bCs/>
                <w:color w:val="000000"/>
                <w:sz w:val="20"/>
                <w:lang w:val="ru-RU"/>
              </w:rPr>
              <w:t>3 824 828</w:t>
            </w:r>
          </w:p>
        </w:tc>
        <w:tc>
          <w:tcPr>
            <w:tcW w:w="693" w:type="pct"/>
            <w:tcBorders>
              <w:top w:val="single" w:sz="4" w:space="0" w:color="auto"/>
              <w:left w:val="nil"/>
              <w:bottom w:val="single" w:sz="4" w:space="0" w:color="auto"/>
              <w:right w:val="nil"/>
            </w:tcBorders>
            <w:shd w:val="clear" w:color="auto" w:fill="auto"/>
            <w:noWrap/>
            <w:vAlign w:val="bottom"/>
            <w:hideMark/>
          </w:tcPr>
          <w:p w:rsidR="007D6A83" w:rsidRPr="009652D5" w:rsidRDefault="003F440C" w:rsidP="00706D0B">
            <w:pPr>
              <w:jc w:val="right"/>
              <w:rPr>
                <w:rFonts w:cs="Arial"/>
                <w:b/>
                <w:bCs/>
                <w:color w:val="000000"/>
                <w:sz w:val="20"/>
                <w:lang w:val="ru-RU"/>
              </w:rPr>
            </w:pPr>
            <w:r w:rsidRPr="00ED3E6F">
              <w:rPr>
                <w:rFonts w:cs="Arial"/>
                <w:b/>
                <w:bCs/>
                <w:color w:val="000000"/>
                <w:sz w:val="20"/>
                <w:lang w:val="ru-RU"/>
              </w:rPr>
              <w:t xml:space="preserve">42 785 </w:t>
            </w:r>
            <w:r w:rsidR="00706D0B" w:rsidRPr="00ED3E6F">
              <w:rPr>
                <w:rFonts w:cs="Arial"/>
                <w:b/>
                <w:bCs/>
                <w:color w:val="000000"/>
                <w:sz w:val="20"/>
                <w:lang w:val="ru-RU"/>
              </w:rPr>
              <w:t>096</w:t>
            </w:r>
          </w:p>
        </w:tc>
      </w:tr>
      <w:tr w:rsidR="007D6A83" w:rsidRPr="009652D5" w:rsidTr="002678D7">
        <w:trPr>
          <w:trHeight w:val="600"/>
        </w:trPr>
        <w:tc>
          <w:tcPr>
            <w:tcW w:w="1112" w:type="pct"/>
            <w:tcBorders>
              <w:top w:val="nil"/>
              <w:left w:val="nil"/>
              <w:bottom w:val="nil"/>
              <w:right w:val="nil"/>
            </w:tcBorders>
            <w:shd w:val="clear" w:color="auto" w:fill="auto"/>
            <w:vAlign w:val="bottom"/>
            <w:hideMark/>
          </w:tcPr>
          <w:p w:rsidR="007D6A83" w:rsidRPr="009652D5" w:rsidRDefault="007D6A83" w:rsidP="007D6A83">
            <w:pPr>
              <w:rPr>
                <w:rFonts w:cs="Arial"/>
                <w:b/>
                <w:bCs/>
                <w:color w:val="000000"/>
                <w:sz w:val="20"/>
                <w:lang w:val="ru-RU"/>
              </w:rPr>
            </w:pPr>
            <w:r w:rsidRPr="009652D5">
              <w:rPr>
                <w:rFonts w:cs="Arial"/>
                <w:b/>
                <w:bCs/>
                <w:color w:val="000000"/>
                <w:sz w:val="20"/>
                <w:lang w:val="ru-RU"/>
              </w:rPr>
              <w:t>Чистая позиция на 31 декабря 2014</w:t>
            </w:r>
          </w:p>
        </w:tc>
        <w:tc>
          <w:tcPr>
            <w:tcW w:w="625" w:type="pct"/>
            <w:tcBorders>
              <w:top w:val="nil"/>
              <w:left w:val="nil"/>
              <w:bottom w:val="nil"/>
              <w:right w:val="nil"/>
            </w:tcBorders>
            <w:shd w:val="clear" w:color="auto" w:fill="auto"/>
            <w:noWrap/>
            <w:vAlign w:val="bottom"/>
            <w:hideMark/>
          </w:tcPr>
          <w:p w:rsidR="007D6A83" w:rsidRPr="009652D5" w:rsidRDefault="007D6A83" w:rsidP="00706D0B">
            <w:pPr>
              <w:jc w:val="right"/>
              <w:rPr>
                <w:rFonts w:cs="Arial"/>
                <w:b/>
                <w:bCs/>
                <w:color w:val="000000"/>
                <w:sz w:val="20"/>
                <w:lang w:val="ru-RU"/>
              </w:rPr>
            </w:pPr>
            <w:r w:rsidRPr="009652D5">
              <w:rPr>
                <w:rFonts w:cs="Arial"/>
                <w:b/>
                <w:bCs/>
                <w:color w:val="000000"/>
                <w:sz w:val="20"/>
                <w:lang w:val="ru-RU"/>
              </w:rPr>
              <w:t>(3 0</w:t>
            </w:r>
            <w:r w:rsidR="00706D0B" w:rsidRPr="009652D5">
              <w:rPr>
                <w:rFonts w:cs="Arial"/>
                <w:b/>
                <w:bCs/>
                <w:color w:val="000000"/>
                <w:sz w:val="20"/>
                <w:lang w:val="ru-RU"/>
              </w:rPr>
              <w:t>82417</w:t>
            </w:r>
            <w:r w:rsidRPr="009652D5">
              <w:rPr>
                <w:rFonts w:cs="Arial"/>
                <w:b/>
                <w:bCs/>
                <w:color w:val="000000"/>
                <w:sz w:val="20"/>
                <w:lang w:val="ru-RU"/>
              </w:rPr>
              <w:t>)</w:t>
            </w:r>
          </w:p>
        </w:tc>
        <w:tc>
          <w:tcPr>
            <w:tcW w:w="694"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(23 302 138)</w:t>
            </w:r>
          </w:p>
        </w:tc>
        <w:tc>
          <w:tcPr>
            <w:tcW w:w="556"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(849 021)</w:t>
            </w:r>
          </w:p>
        </w:tc>
        <w:tc>
          <w:tcPr>
            <w:tcW w:w="695" w:type="pct"/>
            <w:tcBorders>
              <w:top w:val="nil"/>
              <w:left w:val="nil"/>
              <w:bottom w:val="nil"/>
              <w:right w:val="nil"/>
            </w:tcBorders>
            <w:shd w:val="clear" w:color="auto" w:fill="auto"/>
            <w:noWrap/>
            <w:vAlign w:val="bottom"/>
            <w:hideMark/>
          </w:tcPr>
          <w:p w:rsidR="007D6A83" w:rsidRPr="009652D5" w:rsidRDefault="007D6A83" w:rsidP="00706D0B">
            <w:pPr>
              <w:jc w:val="right"/>
              <w:rPr>
                <w:rFonts w:cs="Arial"/>
                <w:b/>
                <w:bCs/>
                <w:color w:val="000000"/>
                <w:sz w:val="20"/>
                <w:lang w:val="ru-RU"/>
              </w:rPr>
            </w:pPr>
            <w:r w:rsidRPr="009652D5">
              <w:rPr>
                <w:rFonts w:cs="Arial"/>
                <w:b/>
                <w:bCs/>
                <w:color w:val="000000"/>
                <w:sz w:val="20"/>
                <w:lang w:val="ru-RU"/>
              </w:rPr>
              <w:t xml:space="preserve">(1 353 </w:t>
            </w:r>
            <w:r w:rsidR="00706D0B" w:rsidRPr="009652D5">
              <w:rPr>
                <w:rFonts w:cs="Arial"/>
                <w:b/>
                <w:bCs/>
                <w:color w:val="000000"/>
                <w:sz w:val="20"/>
                <w:lang w:val="ru-RU"/>
              </w:rPr>
              <w:t>331</w:t>
            </w:r>
            <w:r w:rsidRPr="009652D5">
              <w:rPr>
                <w:rFonts w:cs="Arial"/>
                <w:b/>
                <w:bCs/>
                <w:color w:val="000000"/>
                <w:sz w:val="20"/>
                <w:lang w:val="ru-RU"/>
              </w:rPr>
              <w:t>)</w:t>
            </w:r>
          </w:p>
        </w:tc>
        <w:tc>
          <w:tcPr>
            <w:tcW w:w="625" w:type="pct"/>
            <w:tcBorders>
              <w:top w:val="nil"/>
              <w:left w:val="nil"/>
              <w:bottom w:val="nil"/>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(3 179 137)</w:t>
            </w:r>
          </w:p>
        </w:tc>
        <w:tc>
          <w:tcPr>
            <w:tcW w:w="693" w:type="pct"/>
            <w:tcBorders>
              <w:top w:val="nil"/>
              <w:left w:val="nil"/>
              <w:bottom w:val="nil"/>
              <w:right w:val="nil"/>
            </w:tcBorders>
            <w:shd w:val="clear" w:color="auto" w:fill="auto"/>
            <w:noWrap/>
            <w:vAlign w:val="bottom"/>
            <w:hideMark/>
          </w:tcPr>
          <w:p w:rsidR="007D6A83" w:rsidRPr="009652D5" w:rsidRDefault="007D6A83" w:rsidP="00706D0B">
            <w:pPr>
              <w:jc w:val="right"/>
              <w:rPr>
                <w:rFonts w:cs="Arial"/>
                <w:b/>
                <w:bCs/>
                <w:color w:val="000000"/>
                <w:sz w:val="20"/>
                <w:lang w:val="ru-RU"/>
              </w:rPr>
            </w:pPr>
            <w:r w:rsidRPr="009652D5">
              <w:rPr>
                <w:rFonts w:cs="Arial"/>
                <w:b/>
                <w:bCs/>
                <w:color w:val="000000"/>
                <w:sz w:val="20"/>
                <w:lang w:val="ru-RU"/>
              </w:rPr>
              <w:t>(31 7</w:t>
            </w:r>
            <w:r w:rsidR="00706D0B" w:rsidRPr="009652D5">
              <w:rPr>
                <w:rFonts w:cs="Arial"/>
                <w:b/>
                <w:bCs/>
                <w:color w:val="000000"/>
                <w:sz w:val="20"/>
                <w:lang w:val="ru-RU"/>
              </w:rPr>
              <w:t>66044</w:t>
            </w:r>
            <w:r w:rsidRPr="009652D5">
              <w:rPr>
                <w:rFonts w:cs="Arial"/>
                <w:b/>
                <w:bCs/>
                <w:color w:val="000000"/>
                <w:sz w:val="20"/>
                <w:lang w:val="ru-RU"/>
              </w:rPr>
              <w:t>)</w:t>
            </w:r>
          </w:p>
        </w:tc>
      </w:tr>
      <w:tr w:rsidR="007D6A83" w:rsidRPr="009652D5" w:rsidTr="002678D7">
        <w:trPr>
          <w:trHeight w:val="615"/>
        </w:trPr>
        <w:tc>
          <w:tcPr>
            <w:tcW w:w="1111" w:type="pct"/>
            <w:tcBorders>
              <w:top w:val="nil"/>
              <w:left w:val="nil"/>
              <w:bottom w:val="nil"/>
              <w:right w:val="nil"/>
            </w:tcBorders>
            <w:shd w:val="clear" w:color="auto" w:fill="auto"/>
            <w:vAlign w:val="bottom"/>
            <w:hideMark/>
          </w:tcPr>
          <w:p w:rsidR="007D6A83" w:rsidRPr="009652D5" w:rsidRDefault="007D6A83" w:rsidP="007D6A83">
            <w:pPr>
              <w:rPr>
                <w:rFonts w:cs="Arial"/>
                <w:b/>
                <w:bCs/>
                <w:color w:val="000000"/>
                <w:sz w:val="20"/>
                <w:lang w:val="ru-RU"/>
              </w:rPr>
            </w:pPr>
            <w:r w:rsidRPr="009652D5">
              <w:rPr>
                <w:rFonts w:cs="Arial"/>
                <w:b/>
                <w:bCs/>
                <w:color w:val="000000"/>
                <w:sz w:val="20"/>
                <w:lang w:val="ru-RU"/>
              </w:rPr>
              <w:t>Чистая позиция на 31 декабря 2013</w:t>
            </w:r>
          </w:p>
        </w:tc>
        <w:tc>
          <w:tcPr>
            <w:tcW w:w="625" w:type="pct"/>
            <w:tcBorders>
              <w:top w:val="nil"/>
              <w:left w:val="nil"/>
              <w:bottom w:val="double" w:sz="6"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(8 015 982)</w:t>
            </w:r>
          </w:p>
        </w:tc>
        <w:tc>
          <w:tcPr>
            <w:tcW w:w="694" w:type="pct"/>
            <w:tcBorders>
              <w:top w:val="nil"/>
              <w:left w:val="nil"/>
              <w:bottom w:val="double" w:sz="6"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11 561 386</w:t>
            </w:r>
          </w:p>
        </w:tc>
        <w:tc>
          <w:tcPr>
            <w:tcW w:w="556" w:type="pct"/>
            <w:tcBorders>
              <w:top w:val="nil"/>
              <w:left w:val="nil"/>
              <w:bottom w:val="double" w:sz="6"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7 950 113</w:t>
            </w:r>
          </w:p>
        </w:tc>
        <w:tc>
          <w:tcPr>
            <w:tcW w:w="695" w:type="pct"/>
            <w:tcBorders>
              <w:top w:val="nil"/>
              <w:left w:val="nil"/>
              <w:bottom w:val="double" w:sz="6"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(16 873 390)</w:t>
            </w:r>
          </w:p>
        </w:tc>
        <w:tc>
          <w:tcPr>
            <w:tcW w:w="625" w:type="pct"/>
            <w:tcBorders>
              <w:top w:val="nil"/>
              <w:left w:val="nil"/>
              <w:bottom w:val="double" w:sz="6"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279 729</w:t>
            </w:r>
          </w:p>
        </w:tc>
        <w:tc>
          <w:tcPr>
            <w:tcW w:w="693" w:type="pct"/>
            <w:tcBorders>
              <w:top w:val="nil"/>
              <w:left w:val="nil"/>
              <w:bottom w:val="double" w:sz="6" w:space="0" w:color="auto"/>
              <w:right w:val="nil"/>
            </w:tcBorders>
            <w:shd w:val="clear" w:color="auto" w:fill="auto"/>
            <w:noWrap/>
            <w:vAlign w:val="bottom"/>
            <w:hideMark/>
          </w:tcPr>
          <w:p w:rsidR="007D6A83" w:rsidRPr="009652D5" w:rsidRDefault="007D6A83" w:rsidP="00EB783F">
            <w:pPr>
              <w:jc w:val="right"/>
              <w:rPr>
                <w:rFonts w:cs="Arial"/>
                <w:b/>
                <w:bCs/>
                <w:color w:val="000000"/>
                <w:sz w:val="20"/>
                <w:lang w:val="ru-RU"/>
              </w:rPr>
            </w:pPr>
            <w:r w:rsidRPr="009652D5">
              <w:rPr>
                <w:rFonts w:cs="Arial"/>
                <w:b/>
                <w:bCs/>
                <w:color w:val="000000"/>
                <w:sz w:val="20"/>
                <w:lang w:val="ru-RU"/>
              </w:rPr>
              <w:t>(5 098 144)</w:t>
            </w:r>
          </w:p>
        </w:tc>
      </w:tr>
    </w:tbl>
    <w:p w:rsidR="007D6A83" w:rsidRPr="009652D5" w:rsidRDefault="007D6A83" w:rsidP="00B86A43">
      <w:pPr>
        <w:rPr>
          <w:rFonts w:cs="Arial"/>
          <w:sz w:val="20"/>
          <w:lang w:val="ru-RU"/>
        </w:rPr>
      </w:pPr>
    </w:p>
    <w:p w:rsidR="002678D7" w:rsidRDefault="002678D7" w:rsidP="008C7C5A">
      <w:pPr>
        <w:pStyle w:val="210"/>
        <w:shd w:val="clear" w:color="auto" w:fill="auto"/>
        <w:spacing w:line="216" w:lineRule="exact"/>
        <w:ind w:firstLine="0"/>
        <w:jc w:val="both"/>
        <w:rPr>
          <w:b w:val="0"/>
          <w:sz w:val="20"/>
          <w:szCs w:val="20"/>
        </w:rPr>
      </w:pPr>
    </w:p>
    <w:p w:rsidR="003E55F7" w:rsidRDefault="002678D7">
      <w:pPr>
        <w:pStyle w:val="ABC-paragrahinNotes"/>
        <w:spacing w:before="240"/>
        <w:rPr>
          <w:lang w:val="ru-RU"/>
        </w:rPr>
      </w:pPr>
      <w:r w:rsidRPr="00096B49">
        <w:rPr>
          <w:rFonts w:cs="Arial"/>
          <w:szCs w:val="24"/>
          <w:lang w:val="ru-RU"/>
        </w:rPr>
        <w:t>Представленный</w:t>
      </w:r>
      <w:r>
        <w:rPr>
          <w:rFonts w:cs="Arial"/>
          <w:szCs w:val="24"/>
          <w:lang w:val="ru-RU"/>
        </w:rPr>
        <w:t xml:space="preserve"> в таблице</w:t>
      </w:r>
      <w:r w:rsidRPr="00096B49">
        <w:rPr>
          <w:rFonts w:cs="Arial"/>
          <w:szCs w:val="24"/>
          <w:lang w:val="ru-RU"/>
        </w:rPr>
        <w:t xml:space="preserve"> выше анализ основан на контрактных сроках погашения. </w:t>
      </w:r>
      <w:r w:rsidRPr="00ED276F">
        <w:rPr>
          <w:rFonts w:cs="Arial"/>
          <w:szCs w:val="24"/>
          <w:lang w:val="ru-RU"/>
        </w:rPr>
        <w:t>Банк проводит регулярную работу с пассивной базой, направленную на прогнозирование возможной динамики средств на текущих счетах клиентов, с целью обеспечения бесперебойности исполнения своих обязательств, в связи с востребованием средств клиентами. Проводится статистический анализ динамики остатков на счетах клиентов. Прогнозы по крупнейшим счетам клиентов – юридических лиц составляются на индивидуальной основе с учетом информации, предоставляемой клиентами, их специфики деятельности</w:t>
      </w:r>
      <w:r>
        <w:rPr>
          <w:rFonts w:cs="Arial"/>
          <w:szCs w:val="24"/>
          <w:lang w:val="ru-RU"/>
        </w:rPr>
        <w:t xml:space="preserve">. </w:t>
      </w:r>
    </w:p>
    <w:p w:rsidR="002678D7" w:rsidRPr="00ED276F" w:rsidRDefault="002678D7" w:rsidP="002678D7">
      <w:pPr>
        <w:pStyle w:val="ABC-paragrahinNotes"/>
        <w:rPr>
          <w:rFonts w:cs="Arial"/>
          <w:szCs w:val="24"/>
          <w:lang w:val="ru-RU"/>
        </w:rPr>
      </w:pPr>
      <w:r w:rsidRPr="00ED276F">
        <w:rPr>
          <w:rFonts w:cs="Arial"/>
          <w:szCs w:val="24"/>
          <w:lang w:val="ru-RU"/>
        </w:rPr>
        <w:t>Руководство считает, что, несмотря на существенную долю средств клиентов, имеющих статус «до востребования»</w:t>
      </w:r>
      <w:r>
        <w:rPr>
          <w:rFonts w:cs="Arial"/>
          <w:szCs w:val="24"/>
          <w:lang w:val="ru-RU"/>
        </w:rPr>
        <w:t xml:space="preserve"> и «от 1 до 6 месяцев»</w:t>
      </w:r>
      <w:r w:rsidRPr="00ED276F">
        <w:rPr>
          <w:rFonts w:cs="Arial"/>
          <w:szCs w:val="24"/>
          <w:lang w:val="ru-RU"/>
        </w:rPr>
        <w:t xml:space="preserve">, диверсификация таких средств по количеству и типу вкладчиков, индивидуальная работа с клиентами, а также опыт, накопленный Банком за </w:t>
      </w:r>
      <w:r w:rsidRPr="004732DE">
        <w:rPr>
          <w:rFonts w:cs="Arial"/>
          <w:spacing w:val="-2"/>
          <w:szCs w:val="24"/>
          <w:lang w:val="ru-RU"/>
        </w:rPr>
        <w:t xml:space="preserve">предыдущие периоды, указывают на то, что данные средства формируют долгосрочный и стабильный источник финансирования деятельности </w:t>
      </w:r>
      <w:r>
        <w:rPr>
          <w:rFonts w:cs="Arial"/>
          <w:spacing w:val="-2"/>
          <w:szCs w:val="24"/>
          <w:lang w:val="ru-RU"/>
        </w:rPr>
        <w:t>Банка</w:t>
      </w:r>
      <w:r w:rsidRPr="004732DE">
        <w:rPr>
          <w:rFonts w:cs="Arial"/>
          <w:spacing w:val="-2"/>
          <w:szCs w:val="24"/>
          <w:lang w:val="ru-RU"/>
        </w:rPr>
        <w:t>.</w:t>
      </w:r>
    </w:p>
    <w:p w:rsidR="002678D7" w:rsidRDefault="002678D7" w:rsidP="002678D7">
      <w:pPr>
        <w:pStyle w:val="ABC-paragrahinNotes"/>
        <w:spacing w:after="480"/>
        <w:rPr>
          <w:rFonts w:cs="Arial"/>
          <w:szCs w:val="24"/>
          <w:lang w:val="ru-RU"/>
        </w:rPr>
      </w:pPr>
      <w:r w:rsidRPr="00C61A72">
        <w:rPr>
          <w:rFonts w:cs="Arial"/>
          <w:szCs w:val="24"/>
          <w:lang w:val="ru-RU"/>
        </w:rPr>
        <w:t xml:space="preserve">По мнению руководства, совпадение и (или) контролируемое несовпадение сроков размещения и погашения, а также процентных ставок по активам и обязательствам является основополагающим фактором для успешного управления </w:t>
      </w:r>
      <w:r>
        <w:rPr>
          <w:rFonts w:cs="Arial"/>
          <w:szCs w:val="24"/>
          <w:lang w:val="ru-RU"/>
        </w:rPr>
        <w:t>Банком</w:t>
      </w:r>
      <w:r w:rsidRPr="00C61A72">
        <w:rPr>
          <w:rFonts w:cs="Arial"/>
          <w:szCs w:val="24"/>
          <w:lang w:val="ru-RU"/>
        </w:rPr>
        <w:t xml:space="preserve">. В банках, как правило, не происходит полного совпадения по указанным позициям, так как операции часто имеют неопределенные сроки погашения и различный характер. Несовпадение данных позиций потенциально повышает прибыльность деятельности, вместе с этим одновременно повышается риск признания убытков. Сроки погашения активов и обязательств и возможность замещения процентных обязательств по приемлемой стоимости по мере наступления сроков их погашения являются важными факторами для оценки ликвидности </w:t>
      </w:r>
      <w:r w:rsidR="002A020C">
        <w:rPr>
          <w:rFonts w:cs="Arial"/>
          <w:szCs w:val="24"/>
          <w:lang w:val="ru-RU"/>
        </w:rPr>
        <w:t>Банка</w:t>
      </w:r>
      <w:r w:rsidR="00B84D52">
        <w:rPr>
          <w:rFonts w:cs="Arial"/>
          <w:szCs w:val="24"/>
          <w:lang w:val="ru-RU"/>
        </w:rPr>
        <w:t xml:space="preserve"> </w:t>
      </w:r>
      <w:r w:rsidRPr="00C61A72">
        <w:rPr>
          <w:rFonts w:cs="Arial"/>
          <w:szCs w:val="24"/>
          <w:lang w:val="ru-RU"/>
        </w:rPr>
        <w:t>и е</w:t>
      </w:r>
      <w:r w:rsidR="002A020C">
        <w:rPr>
          <w:rFonts w:cs="Arial"/>
          <w:szCs w:val="24"/>
          <w:lang w:val="ru-RU"/>
        </w:rPr>
        <w:t>го</w:t>
      </w:r>
      <w:r w:rsidRPr="00C61A72">
        <w:rPr>
          <w:rFonts w:cs="Arial"/>
          <w:szCs w:val="24"/>
          <w:lang w:val="ru-RU"/>
        </w:rPr>
        <w:t xml:space="preserve"> рисков в случае изменения процентных ставок и валютных курсов.</w:t>
      </w:r>
    </w:p>
    <w:p w:rsidR="00973448" w:rsidRPr="0046683A" w:rsidRDefault="00973448" w:rsidP="002678D7">
      <w:pPr>
        <w:pStyle w:val="ABC-paragrahinNotes"/>
        <w:spacing w:after="480"/>
        <w:rPr>
          <w:rFonts w:cs="Arial"/>
          <w:szCs w:val="24"/>
          <w:highlight w:val="yellow"/>
          <w:lang w:val="ru-RU"/>
        </w:rPr>
      </w:pPr>
      <w:r>
        <w:rPr>
          <w:rFonts w:cs="Arial"/>
          <w:szCs w:val="24"/>
          <w:lang w:val="ru-RU"/>
        </w:rPr>
        <w:t>В тоже время, руководство отмечает, что значительный разрыв ликвидности связан также с ухудшением качества кредитного портфеля Банка по состоянию на 31 декабря 2014 года (см. Прим</w:t>
      </w:r>
      <w:r w:rsidR="00FA5226">
        <w:rPr>
          <w:rFonts w:cs="Arial"/>
          <w:szCs w:val="24"/>
          <w:lang w:val="ru-RU"/>
        </w:rPr>
        <w:t xml:space="preserve">ечание </w:t>
      </w:r>
      <w:r>
        <w:rPr>
          <w:rFonts w:cs="Arial"/>
          <w:szCs w:val="24"/>
          <w:lang w:val="ru-RU"/>
        </w:rPr>
        <w:t>8).</w:t>
      </w:r>
    </w:p>
    <w:p w:rsidR="008C7C5A" w:rsidRDefault="008C7C5A" w:rsidP="008C7C5A">
      <w:pPr>
        <w:pStyle w:val="210"/>
        <w:shd w:val="clear" w:color="auto" w:fill="auto"/>
        <w:spacing w:line="216" w:lineRule="exact"/>
        <w:ind w:firstLine="0"/>
        <w:jc w:val="both"/>
        <w:rPr>
          <w:b w:val="0"/>
          <w:sz w:val="20"/>
          <w:szCs w:val="20"/>
        </w:rPr>
      </w:pPr>
      <w:r w:rsidRPr="009652D5">
        <w:rPr>
          <w:b w:val="0"/>
          <w:sz w:val="20"/>
          <w:szCs w:val="20"/>
        </w:rPr>
        <w:t>Предполагая, что финансовые активы и обязательства, как на 31 декабря 2014 года, так и на 31 декабря 2013 года оставались до погашения или без каких-либо действий со стороны</w:t>
      </w:r>
      <w:r w:rsidR="00B84D52">
        <w:rPr>
          <w:b w:val="0"/>
          <w:sz w:val="20"/>
          <w:szCs w:val="20"/>
        </w:rPr>
        <w:t xml:space="preserve"> </w:t>
      </w:r>
      <w:r w:rsidR="002A020C">
        <w:rPr>
          <w:b w:val="0"/>
          <w:sz w:val="20"/>
          <w:szCs w:val="20"/>
        </w:rPr>
        <w:t>Б</w:t>
      </w:r>
      <w:r w:rsidRPr="009652D5">
        <w:rPr>
          <w:b w:val="0"/>
          <w:sz w:val="20"/>
          <w:szCs w:val="20"/>
        </w:rPr>
        <w:t xml:space="preserve">анка по изменению процентной ставки, увеличение на 1% процентной ставки по всем срокам погашения и валютам по разным процентным ставками могло бы </w:t>
      </w:r>
      <w:r w:rsidR="00630DFE">
        <w:rPr>
          <w:b w:val="0"/>
          <w:sz w:val="20"/>
          <w:szCs w:val="20"/>
        </w:rPr>
        <w:t>увеличить</w:t>
      </w:r>
      <w:r w:rsidR="00B84D52">
        <w:rPr>
          <w:b w:val="0"/>
          <w:sz w:val="20"/>
          <w:szCs w:val="20"/>
        </w:rPr>
        <w:t xml:space="preserve"> </w:t>
      </w:r>
      <w:r w:rsidRPr="009652D5">
        <w:rPr>
          <w:b w:val="0"/>
          <w:sz w:val="20"/>
          <w:szCs w:val="20"/>
        </w:rPr>
        <w:t>прибыль следующего года примерно на</w:t>
      </w:r>
      <w:r w:rsidR="00630DFE">
        <w:rPr>
          <w:b w:val="0"/>
          <w:sz w:val="20"/>
          <w:szCs w:val="20"/>
        </w:rPr>
        <w:t xml:space="preserve"> 40 276 тысяч рублей</w:t>
      </w:r>
      <w:r w:rsidR="00B84D52">
        <w:rPr>
          <w:b w:val="0"/>
          <w:sz w:val="20"/>
          <w:szCs w:val="20"/>
        </w:rPr>
        <w:t xml:space="preserve"> </w:t>
      </w:r>
      <w:r w:rsidRPr="009652D5">
        <w:rPr>
          <w:b w:val="0"/>
          <w:sz w:val="20"/>
          <w:szCs w:val="20"/>
        </w:rPr>
        <w:t>(31 декабря 2013</w:t>
      </w:r>
      <w:r w:rsidR="00630DFE">
        <w:rPr>
          <w:b w:val="0"/>
          <w:sz w:val="20"/>
          <w:szCs w:val="20"/>
        </w:rPr>
        <w:t xml:space="preserve"> уменьшить</w:t>
      </w:r>
      <w:r w:rsidRPr="009652D5">
        <w:rPr>
          <w:b w:val="0"/>
          <w:sz w:val="20"/>
          <w:szCs w:val="20"/>
        </w:rPr>
        <w:t>: 25</w:t>
      </w:r>
      <w:r w:rsidR="00B84D52">
        <w:rPr>
          <w:b w:val="0"/>
          <w:sz w:val="20"/>
          <w:szCs w:val="20"/>
        </w:rPr>
        <w:t> </w:t>
      </w:r>
      <w:r w:rsidRPr="009652D5">
        <w:rPr>
          <w:b w:val="0"/>
          <w:sz w:val="20"/>
          <w:szCs w:val="20"/>
        </w:rPr>
        <w:t>637</w:t>
      </w:r>
      <w:r w:rsidR="00B84D52">
        <w:rPr>
          <w:b w:val="0"/>
          <w:sz w:val="20"/>
          <w:szCs w:val="20"/>
        </w:rPr>
        <w:t xml:space="preserve"> </w:t>
      </w:r>
      <w:r w:rsidR="00004C6E" w:rsidRPr="009652D5">
        <w:rPr>
          <w:b w:val="0"/>
          <w:sz w:val="20"/>
          <w:szCs w:val="20"/>
        </w:rPr>
        <w:t>тысяч рублей</w:t>
      </w:r>
      <w:r w:rsidRPr="009652D5">
        <w:rPr>
          <w:b w:val="0"/>
          <w:sz w:val="20"/>
          <w:szCs w:val="20"/>
        </w:rPr>
        <w:t>).</w:t>
      </w:r>
    </w:p>
    <w:p w:rsidR="00CD0FC1" w:rsidRDefault="00CD0FC1" w:rsidP="008C7C5A">
      <w:pPr>
        <w:pStyle w:val="210"/>
        <w:shd w:val="clear" w:color="auto" w:fill="auto"/>
        <w:spacing w:line="216" w:lineRule="exact"/>
        <w:ind w:firstLine="0"/>
        <w:jc w:val="both"/>
        <w:rPr>
          <w:b w:val="0"/>
          <w:sz w:val="20"/>
          <w:szCs w:val="20"/>
        </w:rPr>
      </w:pPr>
    </w:p>
    <w:p w:rsidR="00CD0FC1" w:rsidRPr="009652D5" w:rsidRDefault="00CD0FC1" w:rsidP="008C7C5A">
      <w:pPr>
        <w:pStyle w:val="210"/>
        <w:shd w:val="clear" w:color="auto" w:fill="auto"/>
        <w:spacing w:line="216" w:lineRule="exact"/>
        <w:ind w:firstLine="0"/>
        <w:jc w:val="both"/>
        <w:rPr>
          <w:b w:val="0"/>
          <w:bCs w:val="0"/>
          <w:color w:val="000000"/>
          <w:sz w:val="20"/>
          <w:szCs w:val="20"/>
        </w:rPr>
      </w:pPr>
    </w:p>
    <w:p w:rsidR="008C7C5A" w:rsidRPr="009652D5" w:rsidRDefault="008C7C5A" w:rsidP="00B86A43">
      <w:pPr>
        <w:rPr>
          <w:rFonts w:cs="Arial"/>
          <w:sz w:val="20"/>
          <w:lang w:val="ru-RU"/>
        </w:rPr>
      </w:pPr>
    </w:p>
    <w:p w:rsidR="00763F88" w:rsidRPr="009652D5" w:rsidRDefault="00763F88" w:rsidP="00763F88">
      <w:pPr>
        <w:pStyle w:val="310"/>
        <w:shd w:val="clear" w:color="auto" w:fill="auto"/>
        <w:spacing w:line="200" w:lineRule="exact"/>
        <w:ind w:firstLine="0"/>
        <w:jc w:val="left"/>
        <w:rPr>
          <w:rStyle w:val="34"/>
          <w:b/>
          <w:bCs/>
          <w:i/>
          <w:iCs/>
          <w:color w:val="000000"/>
        </w:rPr>
      </w:pPr>
      <w:r w:rsidRPr="009652D5">
        <w:rPr>
          <w:rStyle w:val="34"/>
          <w:b/>
          <w:bCs/>
          <w:i/>
          <w:iCs/>
          <w:color w:val="000000"/>
        </w:rPr>
        <w:lastRenderedPageBreak/>
        <w:t>Прочий ценовой риск</w:t>
      </w:r>
    </w:p>
    <w:p w:rsidR="00763F88" w:rsidRPr="009652D5" w:rsidRDefault="00763F88" w:rsidP="00763F88">
      <w:pPr>
        <w:pStyle w:val="310"/>
        <w:shd w:val="clear" w:color="auto" w:fill="auto"/>
        <w:spacing w:line="200" w:lineRule="exact"/>
        <w:ind w:firstLine="0"/>
        <w:jc w:val="left"/>
      </w:pPr>
    </w:p>
    <w:p w:rsidR="00763F88" w:rsidRPr="009652D5" w:rsidRDefault="00763F88" w:rsidP="00763F88">
      <w:pPr>
        <w:pStyle w:val="210"/>
        <w:shd w:val="clear" w:color="auto" w:fill="auto"/>
        <w:spacing w:line="216" w:lineRule="exact"/>
        <w:ind w:firstLine="0"/>
        <w:jc w:val="both"/>
        <w:rPr>
          <w:b w:val="0"/>
          <w:sz w:val="20"/>
          <w:szCs w:val="20"/>
        </w:rPr>
      </w:pPr>
      <w:r w:rsidRPr="009652D5">
        <w:rPr>
          <w:b w:val="0"/>
          <w:sz w:val="20"/>
          <w:szCs w:val="20"/>
        </w:rPr>
        <w:t>Помимо рисков, связанных с процентной ставкой, а также валютного риска, Банк подвержен риску, связанному с колебаниями справедливой стоимости прочих финансовых инструментов (в основном ценных бумаг) в связи с колебаниями рыночных цен.</w:t>
      </w:r>
    </w:p>
    <w:p w:rsidR="00763F88" w:rsidRPr="009652D5" w:rsidRDefault="00763F88" w:rsidP="00763F88">
      <w:pPr>
        <w:pStyle w:val="210"/>
        <w:shd w:val="clear" w:color="auto" w:fill="auto"/>
        <w:spacing w:line="221" w:lineRule="exact"/>
        <w:ind w:firstLine="0"/>
        <w:jc w:val="both"/>
        <w:rPr>
          <w:b w:val="0"/>
          <w:sz w:val="20"/>
          <w:szCs w:val="20"/>
        </w:rPr>
      </w:pPr>
      <w:r w:rsidRPr="009652D5">
        <w:rPr>
          <w:b w:val="0"/>
          <w:sz w:val="20"/>
          <w:szCs w:val="20"/>
        </w:rPr>
        <w:t>Колебания справедливой стоимости могут возникнуть в результате факторов, характерных как для определенной ценной бумаги, так и факторов, оказывающих влияние на все финансовые инструменты рынка.</w:t>
      </w:r>
    </w:p>
    <w:p w:rsidR="00763F88" w:rsidRPr="009652D5" w:rsidRDefault="002A020C" w:rsidP="00763F88">
      <w:pPr>
        <w:pStyle w:val="210"/>
        <w:shd w:val="clear" w:color="auto" w:fill="auto"/>
        <w:spacing w:line="180" w:lineRule="exact"/>
        <w:ind w:firstLine="0"/>
        <w:jc w:val="both"/>
        <w:rPr>
          <w:b w:val="0"/>
          <w:sz w:val="20"/>
          <w:szCs w:val="20"/>
        </w:rPr>
      </w:pPr>
      <w:r>
        <w:rPr>
          <w:b w:val="0"/>
          <w:sz w:val="20"/>
          <w:szCs w:val="20"/>
        </w:rPr>
        <w:t>Подробная</w:t>
      </w:r>
      <w:r w:rsidR="00763F88" w:rsidRPr="009652D5">
        <w:rPr>
          <w:b w:val="0"/>
          <w:sz w:val="20"/>
          <w:szCs w:val="20"/>
        </w:rPr>
        <w:t xml:space="preserve"> информации о ценных бумагах, принадлежащих Банку, </w:t>
      </w:r>
      <w:r>
        <w:rPr>
          <w:b w:val="0"/>
          <w:sz w:val="20"/>
          <w:szCs w:val="20"/>
        </w:rPr>
        <w:t>приведена в П</w:t>
      </w:r>
      <w:r w:rsidR="00763F88" w:rsidRPr="009652D5">
        <w:rPr>
          <w:b w:val="0"/>
          <w:sz w:val="20"/>
          <w:szCs w:val="20"/>
        </w:rPr>
        <w:t>римечани</w:t>
      </w:r>
      <w:r>
        <w:rPr>
          <w:b w:val="0"/>
          <w:sz w:val="20"/>
          <w:szCs w:val="20"/>
        </w:rPr>
        <w:t>и</w:t>
      </w:r>
      <w:r w:rsidR="00763F88" w:rsidRPr="009652D5">
        <w:rPr>
          <w:b w:val="0"/>
          <w:sz w:val="20"/>
          <w:szCs w:val="20"/>
        </w:rPr>
        <w:t xml:space="preserve"> 9.</w:t>
      </w:r>
    </w:p>
    <w:p w:rsidR="00763F88" w:rsidRPr="009652D5" w:rsidRDefault="00763F88" w:rsidP="00763F88">
      <w:pPr>
        <w:pStyle w:val="210"/>
        <w:shd w:val="clear" w:color="auto" w:fill="auto"/>
        <w:spacing w:line="221" w:lineRule="exact"/>
        <w:ind w:firstLine="0"/>
        <w:jc w:val="both"/>
        <w:rPr>
          <w:b w:val="0"/>
          <w:sz w:val="20"/>
          <w:szCs w:val="20"/>
        </w:rPr>
      </w:pPr>
      <w:r w:rsidRPr="009652D5">
        <w:rPr>
          <w:b w:val="0"/>
          <w:sz w:val="20"/>
          <w:szCs w:val="20"/>
        </w:rPr>
        <w:t xml:space="preserve">Если бы за 31 декабря 2014 года цены на акции были на 20% (31 декабря 2013: на 20%) меньше при том, что другие переменные остались бы неизменными, прибыль за год составила бы на </w:t>
      </w:r>
      <w:r w:rsidR="00CB540B">
        <w:rPr>
          <w:b w:val="0"/>
          <w:sz w:val="20"/>
          <w:szCs w:val="20"/>
        </w:rPr>
        <w:t xml:space="preserve"> 30 499 тысяч рублей</w:t>
      </w:r>
      <w:r w:rsidRPr="009652D5">
        <w:rPr>
          <w:b w:val="0"/>
          <w:sz w:val="20"/>
          <w:szCs w:val="20"/>
        </w:rPr>
        <w:t xml:space="preserve"> (201</w:t>
      </w:r>
      <w:r w:rsidR="00973448">
        <w:rPr>
          <w:b w:val="0"/>
          <w:sz w:val="20"/>
          <w:szCs w:val="20"/>
        </w:rPr>
        <w:t>3</w:t>
      </w:r>
      <w:r w:rsidRPr="009652D5">
        <w:rPr>
          <w:b w:val="0"/>
          <w:sz w:val="20"/>
          <w:szCs w:val="20"/>
        </w:rPr>
        <w:t>: на 43</w:t>
      </w:r>
      <w:r w:rsidR="00B2704D">
        <w:rPr>
          <w:b w:val="0"/>
          <w:sz w:val="20"/>
          <w:szCs w:val="20"/>
        </w:rPr>
        <w:t> </w:t>
      </w:r>
      <w:r w:rsidRPr="009652D5">
        <w:rPr>
          <w:b w:val="0"/>
          <w:sz w:val="20"/>
          <w:szCs w:val="20"/>
        </w:rPr>
        <w:t>154</w:t>
      </w:r>
      <w:r w:rsidR="00B2704D">
        <w:rPr>
          <w:b w:val="0"/>
          <w:sz w:val="20"/>
          <w:szCs w:val="20"/>
        </w:rPr>
        <w:t xml:space="preserve"> </w:t>
      </w:r>
      <w:r w:rsidR="00004C6E" w:rsidRPr="009652D5">
        <w:rPr>
          <w:b w:val="0"/>
          <w:sz w:val="20"/>
          <w:szCs w:val="20"/>
        </w:rPr>
        <w:t>тысяч</w:t>
      </w:r>
      <w:r w:rsidR="00973448">
        <w:rPr>
          <w:b w:val="0"/>
          <w:sz w:val="20"/>
          <w:szCs w:val="20"/>
        </w:rPr>
        <w:t>и</w:t>
      </w:r>
      <w:r w:rsidR="00004C6E" w:rsidRPr="009652D5">
        <w:rPr>
          <w:b w:val="0"/>
          <w:sz w:val="20"/>
          <w:szCs w:val="20"/>
        </w:rPr>
        <w:t xml:space="preserve"> рублей</w:t>
      </w:r>
      <w:r w:rsidRPr="009652D5">
        <w:rPr>
          <w:b w:val="0"/>
          <w:sz w:val="20"/>
          <w:szCs w:val="20"/>
        </w:rPr>
        <w:t>) меньше (в основном в результате переоценки корпоративных акций, имеющихся в наличии для продажи).</w:t>
      </w:r>
    </w:p>
    <w:p w:rsidR="00763F88" w:rsidRPr="009652D5" w:rsidRDefault="00763F88" w:rsidP="00763F88">
      <w:pPr>
        <w:pStyle w:val="210"/>
        <w:shd w:val="clear" w:color="auto" w:fill="auto"/>
        <w:spacing w:line="216" w:lineRule="exact"/>
        <w:ind w:firstLine="0"/>
        <w:jc w:val="both"/>
        <w:rPr>
          <w:b w:val="0"/>
          <w:sz w:val="20"/>
          <w:szCs w:val="20"/>
        </w:rPr>
      </w:pPr>
      <w:r w:rsidRPr="009652D5">
        <w:rPr>
          <w:b w:val="0"/>
          <w:sz w:val="20"/>
          <w:szCs w:val="20"/>
        </w:rPr>
        <w:t>Банк подвержен риску досрочного погашения за счет предоставления кредитов  с фиксированной или переменной процентной ставкой, которые дают заемщику право досрочного погашения кредитов. Финансовый результат и собственный капитал Банка за текущий год и на текущую отчетную дату не зависели бы существенно от изменений в ставках при досрочном погашении, так как такие кредиты отражаются по амортизированной стоимости, а сумма досрочного погашения соответствует, или почти соответствует амортизированной стоимости кредитов и дебиторской задолженности.</w:t>
      </w:r>
    </w:p>
    <w:p w:rsidR="00763F88" w:rsidRPr="009652D5" w:rsidRDefault="00763F88" w:rsidP="00763F88">
      <w:pPr>
        <w:pStyle w:val="210"/>
        <w:shd w:val="clear" w:color="auto" w:fill="auto"/>
        <w:spacing w:line="216" w:lineRule="exact"/>
        <w:ind w:firstLine="0"/>
        <w:jc w:val="both"/>
        <w:rPr>
          <w:b w:val="0"/>
          <w:sz w:val="20"/>
          <w:szCs w:val="20"/>
        </w:rPr>
      </w:pPr>
    </w:p>
    <w:p w:rsidR="00763F88" w:rsidRDefault="00763F88" w:rsidP="00763F88">
      <w:pPr>
        <w:pStyle w:val="310"/>
        <w:shd w:val="clear" w:color="auto" w:fill="auto"/>
        <w:spacing w:line="200" w:lineRule="exact"/>
        <w:ind w:firstLine="0"/>
        <w:jc w:val="left"/>
        <w:rPr>
          <w:rStyle w:val="34"/>
          <w:b/>
          <w:bCs/>
          <w:i/>
          <w:iCs/>
          <w:color w:val="000000"/>
        </w:rPr>
      </w:pPr>
      <w:r w:rsidRPr="009652D5">
        <w:rPr>
          <w:rStyle w:val="34"/>
          <w:b/>
          <w:bCs/>
          <w:i/>
          <w:iCs/>
          <w:color w:val="000000"/>
        </w:rPr>
        <w:t>Риск ликвидности</w:t>
      </w:r>
    </w:p>
    <w:p w:rsidR="00FA5226" w:rsidRPr="009652D5" w:rsidRDefault="00FA5226" w:rsidP="00763F88">
      <w:pPr>
        <w:pStyle w:val="310"/>
        <w:shd w:val="clear" w:color="auto" w:fill="auto"/>
        <w:spacing w:line="200" w:lineRule="exact"/>
        <w:ind w:firstLine="0"/>
        <w:jc w:val="left"/>
      </w:pPr>
    </w:p>
    <w:p w:rsidR="00763F88" w:rsidRPr="009652D5" w:rsidRDefault="00763F88" w:rsidP="00F15D5C">
      <w:pPr>
        <w:pStyle w:val="210"/>
        <w:shd w:val="clear" w:color="auto" w:fill="auto"/>
        <w:spacing w:line="221" w:lineRule="exact"/>
        <w:ind w:firstLine="0"/>
        <w:jc w:val="both"/>
        <w:rPr>
          <w:b w:val="0"/>
          <w:sz w:val="20"/>
          <w:szCs w:val="20"/>
        </w:rPr>
      </w:pPr>
      <w:r w:rsidRPr="009652D5">
        <w:rPr>
          <w:b w:val="0"/>
          <w:sz w:val="20"/>
          <w:szCs w:val="20"/>
        </w:rPr>
        <w:t>Риск ликвидности определяется как риск того, что Банк столкнется с трудностями при выполнении финансовых обязательств.</w:t>
      </w:r>
    </w:p>
    <w:p w:rsidR="00763F88" w:rsidRPr="009652D5" w:rsidRDefault="00763F88" w:rsidP="00F15D5C">
      <w:pPr>
        <w:pStyle w:val="210"/>
        <w:shd w:val="clear" w:color="auto" w:fill="auto"/>
        <w:spacing w:line="216" w:lineRule="exact"/>
        <w:ind w:firstLine="0"/>
        <w:jc w:val="both"/>
        <w:rPr>
          <w:b w:val="0"/>
          <w:sz w:val="20"/>
          <w:szCs w:val="20"/>
        </w:rPr>
      </w:pPr>
      <w:r w:rsidRPr="009652D5">
        <w:rPr>
          <w:b w:val="0"/>
          <w:sz w:val="20"/>
          <w:szCs w:val="20"/>
        </w:rPr>
        <w:t xml:space="preserve">Риск ликвидности возникает при несовпадении сроков требования по активным операциям со сроками погашения по пассивным операциям. Банк подвержен риску </w:t>
      </w:r>
      <w:r w:rsidR="00372319">
        <w:rPr>
          <w:b w:val="0"/>
          <w:sz w:val="20"/>
          <w:szCs w:val="20"/>
        </w:rPr>
        <w:t xml:space="preserve">ликвидности </w:t>
      </w:r>
      <w:r w:rsidRPr="009652D5">
        <w:rPr>
          <w:b w:val="0"/>
          <w:sz w:val="20"/>
          <w:szCs w:val="20"/>
        </w:rPr>
        <w:t>в связи с ежедневной необходимостью использования имеющихся денежных средств для расчетов по счетам клиентов, при наступлении срок</w:t>
      </w:r>
      <w:r w:rsidR="00372319">
        <w:rPr>
          <w:b w:val="0"/>
          <w:sz w:val="20"/>
          <w:szCs w:val="20"/>
        </w:rPr>
        <w:t>ов</w:t>
      </w:r>
      <w:r w:rsidRPr="009652D5">
        <w:rPr>
          <w:b w:val="0"/>
          <w:sz w:val="20"/>
          <w:szCs w:val="20"/>
        </w:rPr>
        <w:t xml:space="preserve"> погашения депозит</w:t>
      </w:r>
      <w:r w:rsidR="00372319">
        <w:rPr>
          <w:b w:val="0"/>
          <w:sz w:val="20"/>
          <w:szCs w:val="20"/>
        </w:rPr>
        <w:t>ов</w:t>
      </w:r>
      <w:r w:rsidRPr="009652D5">
        <w:rPr>
          <w:b w:val="0"/>
          <w:sz w:val="20"/>
          <w:szCs w:val="20"/>
        </w:rPr>
        <w:t>, выдаче кредитов, выплат по гарантиям и по производным финансовым инструментам, расчеты по которым производятся денежными средствами. Банк не резервирует денежные средства на случай единовременного выполнения обязательств по всем вышеуказанным требованиям, так как, исходя из накопленного опыта работы, можно с достаточной долей точности прогнозировать необходимый уровень денежных средств для выполнения данных обязательств.</w:t>
      </w:r>
    </w:p>
    <w:p w:rsidR="00763F88" w:rsidRPr="009652D5" w:rsidRDefault="00763F88" w:rsidP="00F15D5C">
      <w:pPr>
        <w:pStyle w:val="210"/>
        <w:shd w:val="clear" w:color="auto" w:fill="auto"/>
        <w:spacing w:line="216" w:lineRule="exact"/>
        <w:ind w:firstLine="0"/>
        <w:jc w:val="both"/>
        <w:rPr>
          <w:b w:val="0"/>
          <w:sz w:val="20"/>
          <w:szCs w:val="20"/>
        </w:rPr>
      </w:pPr>
      <w:r w:rsidRPr="009652D5">
        <w:rPr>
          <w:b w:val="0"/>
          <w:sz w:val="20"/>
          <w:szCs w:val="20"/>
        </w:rPr>
        <w:t>Банк стремится поддерживать диверсифицированную и стабильную структуру источников финансирования, состоящую из выпущенных долговых ценных бумаг, краткосрочных депозитов банков, депозитов и текущих средств юридических и физических лиц, а также диверсифицировать портфель высоколиквидных активов для того, чтобы Банк был способен оперативно и без затруднений выполнять непредвиденные требования по ликвидности.</w:t>
      </w:r>
    </w:p>
    <w:p w:rsidR="00763F88" w:rsidRPr="009652D5" w:rsidRDefault="00763F88" w:rsidP="00F15D5C">
      <w:pPr>
        <w:pStyle w:val="210"/>
        <w:shd w:val="clear" w:color="auto" w:fill="auto"/>
        <w:spacing w:line="216" w:lineRule="exact"/>
        <w:ind w:firstLine="0"/>
        <w:jc w:val="both"/>
        <w:rPr>
          <w:b w:val="0"/>
          <w:sz w:val="20"/>
          <w:szCs w:val="20"/>
        </w:rPr>
      </w:pPr>
      <w:r w:rsidRPr="009652D5">
        <w:rPr>
          <w:b w:val="0"/>
          <w:sz w:val="20"/>
          <w:szCs w:val="20"/>
        </w:rPr>
        <w:t xml:space="preserve">Управление ликвидностью Банком осуществляется с </w:t>
      </w:r>
      <w:r w:rsidR="00372319">
        <w:rPr>
          <w:b w:val="0"/>
          <w:sz w:val="20"/>
          <w:szCs w:val="20"/>
        </w:rPr>
        <w:t xml:space="preserve">целью </w:t>
      </w:r>
      <w:r w:rsidRPr="009652D5">
        <w:rPr>
          <w:b w:val="0"/>
          <w:sz w:val="20"/>
          <w:szCs w:val="20"/>
        </w:rPr>
        <w:t>сохранени</w:t>
      </w:r>
      <w:r w:rsidR="00372319">
        <w:rPr>
          <w:b w:val="0"/>
          <w:sz w:val="20"/>
          <w:szCs w:val="20"/>
        </w:rPr>
        <w:t>я</w:t>
      </w:r>
      <w:r w:rsidRPr="009652D5">
        <w:rPr>
          <w:b w:val="0"/>
          <w:sz w:val="20"/>
          <w:szCs w:val="20"/>
        </w:rPr>
        <w:t xml:space="preserve"> достаточного запаса ликвидных средств на случай непредвиденных ситуаций. По результатам анализа макроэкономической ситуации или состояния рынка банковских услуг, а также общих тенденций деятельности Банка руководство может предъявлять повышенные требования к такому запасу ликвидных средств, если это необходимо.</w:t>
      </w:r>
    </w:p>
    <w:p w:rsidR="00763F88" w:rsidRPr="009652D5" w:rsidRDefault="00763F88" w:rsidP="00F15D5C">
      <w:pPr>
        <w:pStyle w:val="210"/>
        <w:shd w:val="clear" w:color="auto" w:fill="auto"/>
        <w:spacing w:line="221" w:lineRule="exact"/>
        <w:ind w:firstLine="0"/>
        <w:jc w:val="both"/>
        <w:rPr>
          <w:b w:val="0"/>
          <w:sz w:val="20"/>
          <w:szCs w:val="20"/>
        </w:rPr>
      </w:pPr>
      <w:r w:rsidRPr="009652D5">
        <w:rPr>
          <w:b w:val="0"/>
          <w:sz w:val="20"/>
          <w:szCs w:val="20"/>
        </w:rPr>
        <w:t>Управление риском ликвидности, оценка и его анализ осуществляется в соответствии с требованиями Банка России и внутренними нормативными документами Банка.</w:t>
      </w:r>
    </w:p>
    <w:p w:rsidR="00763F88" w:rsidRPr="009652D5" w:rsidRDefault="00763F88" w:rsidP="00F15D5C">
      <w:pPr>
        <w:pStyle w:val="210"/>
        <w:shd w:val="clear" w:color="auto" w:fill="auto"/>
        <w:spacing w:line="221" w:lineRule="exact"/>
        <w:ind w:firstLine="0"/>
        <w:jc w:val="both"/>
        <w:rPr>
          <w:b w:val="0"/>
          <w:sz w:val="20"/>
          <w:szCs w:val="20"/>
        </w:rPr>
      </w:pPr>
    </w:p>
    <w:p w:rsidR="00763F88" w:rsidRPr="009652D5" w:rsidRDefault="00763F88" w:rsidP="00F15D5C">
      <w:pPr>
        <w:pStyle w:val="210"/>
        <w:shd w:val="clear" w:color="auto" w:fill="auto"/>
        <w:spacing w:line="180" w:lineRule="exact"/>
        <w:ind w:firstLine="0"/>
        <w:jc w:val="both"/>
        <w:rPr>
          <w:b w:val="0"/>
          <w:sz w:val="20"/>
          <w:szCs w:val="20"/>
        </w:rPr>
      </w:pPr>
      <w:r w:rsidRPr="009652D5">
        <w:rPr>
          <w:b w:val="0"/>
          <w:sz w:val="20"/>
          <w:szCs w:val="20"/>
        </w:rPr>
        <w:t>С целью управления риском ликвидности в Банке осуществляются следующие мероприятия:</w:t>
      </w:r>
    </w:p>
    <w:p w:rsidR="00763F88" w:rsidRPr="009652D5" w:rsidRDefault="00763F88" w:rsidP="00F15D5C">
      <w:pPr>
        <w:pStyle w:val="210"/>
        <w:numPr>
          <w:ilvl w:val="0"/>
          <w:numId w:val="30"/>
        </w:numPr>
        <w:shd w:val="clear" w:color="auto" w:fill="auto"/>
        <w:tabs>
          <w:tab w:val="left" w:pos="1189"/>
        </w:tabs>
        <w:spacing w:line="180" w:lineRule="exact"/>
        <w:ind w:left="360" w:hanging="360"/>
        <w:jc w:val="both"/>
        <w:rPr>
          <w:b w:val="0"/>
          <w:sz w:val="20"/>
          <w:szCs w:val="20"/>
        </w:rPr>
      </w:pPr>
      <w:r w:rsidRPr="009652D5">
        <w:rPr>
          <w:b w:val="0"/>
          <w:sz w:val="20"/>
          <w:szCs w:val="20"/>
        </w:rPr>
        <w:t>постоянный контроль и управление структурой баланса Банка;</w:t>
      </w:r>
    </w:p>
    <w:p w:rsidR="00763F88" w:rsidRPr="009652D5" w:rsidRDefault="00763F88" w:rsidP="00F15D5C">
      <w:pPr>
        <w:pStyle w:val="210"/>
        <w:numPr>
          <w:ilvl w:val="0"/>
          <w:numId w:val="30"/>
        </w:numPr>
        <w:shd w:val="clear" w:color="auto" w:fill="auto"/>
        <w:tabs>
          <w:tab w:val="left" w:pos="1189"/>
        </w:tabs>
        <w:spacing w:line="221" w:lineRule="exact"/>
        <w:ind w:left="360" w:hanging="360"/>
        <w:jc w:val="both"/>
        <w:rPr>
          <w:b w:val="0"/>
          <w:sz w:val="20"/>
          <w:szCs w:val="20"/>
        </w:rPr>
      </w:pPr>
      <w:r w:rsidRPr="009652D5">
        <w:rPr>
          <w:b w:val="0"/>
          <w:sz w:val="20"/>
          <w:szCs w:val="20"/>
        </w:rPr>
        <w:t>ежедневное прогнозирование денежных потоков в разрезе валют и расчета связанного с данными денежными потоками необходимого уровня резервов текущей ликвидности;</w:t>
      </w:r>
    </w:p>
    <w:p w:rsidR="00763F88" w:rsidRPr="009652D5" w:rsidRDefault="00763F88" w:rsidP="00F15D5C">
      <w:pPr>
        <w:pStyle w:val="210"/>
        <w:numPr>
          <w:ilvl w:val="0"/>
          <w:numId w:val="30"/>
        </w:numPr>
        <w:shd w:val="clear" w:color="auto" w:fill="auto"/>
        <w:tabs>
          <w:tab w:val="left" w:pos="1189"/>
        </w:tabs>
        <w:spacing w:line="221" w:lineRule="exact"/>
        <w:ind w:left="360" w:hanging="360"/>
        <w:jc w:val="both"/>
        <w:rPr>
          <w:b w:val="0"/>
          <w:sz w:val="20"/>
          <w:szCs w:val="20"/>
        </w:rPr>
      </w:pPr>
      <w:r w:rsidRPr="009652D5">
        <w:rPr>
          <w:b w:val="0"/>
          <w:sz w:val="20"/>
          <w:szCs w:val="20"/>
        </w:rPr>
        <w:t>поддержание достаточного запаса высоколиквидных активов, включая остатки денежных средств на корреспондентском счете в Банке России и в банках-корреспондентах на случай непредвиденного оттока денежных средств;</w:t>
      </w:r>
    </w:p>
    <w:p w:rsidR="00763F88" w:rsidRPr="009652D5" w:rsidRDefault="00763F88" w:rsidP="00F15D5C">
      <w:pPr>
        <w:pStyle w:val="210"/>
        <w:numPr>
          <w:ilvl w:val="0"/>
          <w:numId w:val="30"/>
        </w:numPr>
        <w:shd w:val="clear" w:color="auto" w:fill="auto"/>
        <w:tabs>
          <w:tab w:val="left" w:pos="1189"/>
        </w:tabs>
        <w:spacing w:line="221" w:lineRule="exact"/>
        <w:ind w:left="360" w:hanging="360"/>
        <w:jc w:val="both"/>
        <w:rPr>
          <w:b w:val="0"/>
          <w:sz w:val="20"/>
          <w:szCs w:val="20"/>
        </w:rPr>
      </w:pPr>
      <w:r w:rsidRPr="009652D5">
        <w:rPr>
          <w:b w:val="0"/>
          <w:sz w:val="20"/>
          <w:szCs w:val="20"/>
        </w:rPr>
        <w:t>соблюдение установленных Банком России нормативов, в том числе нормативов мгновенной, текущей и долгосрочной ликвидности;</w:t>
      </w:r>
    </w:p>
    <w:p w:rsidR="00763F88" w:rsidRPr="009652D5" w:rsidRDefault="00763F88" w:rsidP="00F15D5C">
      <w:pPr>
        <w:pStyle w:val="210"/>
        <w:numPr>
          <w:ilvl w:val="0"/>
          <w:numId w:val="30"/>
        </w:numPr>
        <w:shd w:val="clear" w:color="auto" w:fill="auto"/>
        <w:tabs>
          <w:tab w:val="left" w:pos="1189"/>
        </w:tabs>
        <w:spacing w:line="216" w:lineRule="exact"/>
        <w:ind w:left="360" w:hanging="360"/>
        <w:jc w:val="both"/>
        <w:rPr>
          <w:b w:val="0"/>
          <w:sz w:val="20"/>
          <w:szCs w:val="20"/>
        </w:rPr>
      </w:pPr>
      <w:r w:rsidRPr="009652D5">
        <w:rPr>
          <w:b w:val="0"/>
          <w:sz w:val="20"/>
          <w:szCs w:val="20"/>
        </w:rPr>
        <w:t>в целях выявления тенденций снижения или возрастания риска ликвидности проведение мониторинга изменений коэффициентов избытка (дефицита) ликвидности и контроль их соответствия утвержденным предельным значениям.</w:t>
      </w:r>
    </w:p>
    <w:p w:rsidR="00763F88" w:rsidRPr="009652D5" w:rsidRDefault="00763F88" w:rsidP="00F15D5C">
      <w:pPr>
        <w:pStyle w:val="210"/>
        <w:shd w:val="clear" w:color="auto" w:fill="auto"/>
        <w:spacing w:line="221" w:lineRule="exact"/>
        <w:ind w:firstLine="0"/>
        <w:jc w:val="both"/>
        <w:rPr>
          <w:b w:val="0"/>
          <w:sz w:val="20"/>
          <w:szCs w:val="20"/>
        </w:rPr>
      </w:pPr>
    </w:p>
    <w:p w:rsidR="00763F88" w:rsidRPr="009652D5" w:rsidRDefault="00763F88" w:rsidP="00F15D5C">
      <w:pPr>
        <w:pStyle w:val="210"/>
        <w:shd w:val="clear" w:color="auto" w:fill="auto"/>
        <w:spacing w:line="221" w:lineRule="exact"/>
        <w:ind w:firstLine="0"/>
        <w:jc w:val="both"/>
        <w:rPr>
          <w:b w:val="0"/>
          <w:sz w:val="20"/>
          <w:szCs w:val="20"/>
        </w:rPr>
      </w:pPr>
      <w:r w:rsidRPr="009652D5">
        <w:rPr>
          <w:b w:val="0"/>
          <w:sz w:val="20"/>
          <w:szCs w:val="20"/>
        </w:rPr>
        <w:t xml:space="preserve">Банк рассчитывает нормативы ликвидности на ежедневной основе в соответствии с требованиями </w:t>
      </w:r>
      <w:r w:rsidR="0021189B">
        <w:rPr>
          <w:b w:val="0"/>
          <w:sz w:val="20"/>
          <w:szCs w:val="20"/>
        </w:rPr>
        <w:t>Банка</w:t>
      </w:r>
      <w:r w:rsidRPr="009652D5">
        <w:rPr>
          <w:b w:val="0"/>
          <w:sz w:val="20"/>
          <w:szCs w:val="20"/>
        </w:rPr>
        <w:t xml:space="preserve"> России. В состав этих нормативов входят следующие:</w:t>
      </w:r>
    </w:p>
    <w:p w:rsidR="00763F88" w:rsidRPr="009652D5" w:rsidRDefault="0021189B" w:rsidP="00F15D5C">
      <w:pPr>
        <w:pStyle w:val="210"/>
        <w:numPr>
          <w:ilvl w:val="0"/>
          <w:numId w:val="30"/>
        </w:numPr>
        <w:shd w:val="clear" w:color="auto" w:fill="auto"/>
        <w:tabs>
          <w:tab w:val="left" w:pos="1189"/>
        </w:tabs>
        <w:spacing w:line="221" w:lineRule="exact"/>
        <w:ind w:left="360" w:hanging="360"/>
        <w:jc w:val="both"/>
        <w:rPr>
          <w:b w:val="0"/>
          <w:sz w:val="20"/>
          <w:szCs w:val="20"/>
        </w:rPr>
      </w:pPr>
      <w:r>
        <w:rPr>
          <w:b w:val="0"/>
          <w:sz w:val="20"/>
          <w:szCs w:val="20"/>
        </w:rPr>
        <w:t>Норматив</w:t>
      </w:r>
      <w:r w:rsidR="00B84D52">
        <w:rPr>
          <w:b w:val="0"/>
          <w:sz w:val="20"/>
          <w:szCs w:val="20"/>
        </w:rPr>
        <w:t xml:space="preserve"> </w:t>
      </w:r>
      <w:r w:rsidR="00763F88" w:rsidRPr="009652D5">
        <w:rPr>
          <w:b w:val="0"/>
          <w:sz w:val="20"/>
          <w:szCs w:val="20"/>
        </w:rPr>
        <w:t>срочной ликвидности (Н2), который рассчитывается как соотношение высоколиквидных активов к обязательствам уплачиваемых по требованию</w:t>
      </w:r>
    </w:p>
    <w:p w:rsidR="00763F88" w:rsidRPr="009652D5" w:rsidRDefault="0021189B" w:rsidP="00F15D5C">
      <w:pPr>
        <w:pStyle w:val="210"/>
        <w:numPr>
          <w:ilvl w:val="0"/>
          <w:numId w:val="30"/>
        </w:numPr>
        <w:shd w:val="clear" w:color="auto" w:fill="auto"/>
        <w:tabs>
          <w:tab w:val="left" w:pos="1189"/>
        </w:tabs>
        <w:spacing w:line="221" w:lineRule="exact"/>
        <w:ind w:left="360" w:hanging="360"/>
        <w:jc w:val="both"/>
        <w:rPr>
          <w:b w:val="0"/>
          <w:sz w:val="20"/>
          <w:szCs w:val="20"/>
        </w:rPr>
      </w:pPr>
      <w:r>
        <w:rPr>
          <w:b w:val="0"/>
          <w:sz w:val="20"/>
          <w:szCs w:val="20"/>
        </w:rPr>
        <w:t>Норматив</w:t>
      </w:r>
      <w:r w:rsidR="00B84D52">
        <w:rPr>
          <w:b w:val="0"/>
          <w:sz w:val="20"/>
          <w:szCs w:val="20"/>
        </w:rPr>
        <w:t xml:space="preserve"> </w:t>
      </w:r>
      <w:r w:rsidR="00763F88" w:rsidRPr="009652D5">
        <w:rPr>
          <w:b w:val="0"/>
          <w:sz w:val="20"/>
          <w:szCs w:val="20"/>
        </w:rPr>
        <w:t>текущей ликвидности (Н3), который рассчитывается как отношение ликвидных активов к обязательствам со сроком погашения в течение 30 календарных дней</w:t>
      </w:r>
    </w:p>
    <w:p w:rsidR="00763F88" w:rsidRPr="009652D5" w:rsidRDefault="0021189B" w:rsidP="00F15D5C">
      <w:pPr>
        <w:pStyle w:val="210"/>
        <w:numPr>
          <w:ilvl w:val="0"/>
          <w:numId w:val="30"/>
        </w:numPr>
        <w:shd w:val="clear" w:color="auto" w:fill="auto"/>
        <w:tabs>
          <w:tab w:val="left" w:pos="1189"/>
        </w:tabs>
        <w:spacing w:line="221" w:lineRule="exact"/>
        <w:ind w:left="360" w:hanging="360"/>
        <w:jc w:val="both"/>
        <w:rPr>
          <w:b w:val="0"/>
          <w:sz w:val="20"/>
          <w:szCs w:val="20"/>
        </w:rPr>
      </w:pPr>
      <w:r>
        <w:rPr>
          <w:b w:val="0"/>
          <w:sz w:val="20"/>
          <w:szCs w:val="20"/>
        </w:rPr>
        <w:lastRenderedPageBreak/>
        <w:t xml:space="preserve">Норматив </w:t>
      </w:r>
      <w:r w:rsidR="00763F88" w:rsidRPr="009652D5">
        <w:rPr>
          <w:b w:val="0"/>
          <w:sz w:val="20"/>
          <w:szCs w:val="20"/>
        </w:rPr>
        <w:t xml:space="preserve"> долгосрочной ликвидности (Н4), который рассчитывается как соотношение активов со сроком погашения более одного года к капиталу и обязательств со сроком погашения более одного года</w:t>
      </w:r>
    </w:p>
    <w:p w:rsidR="00763F88" w:rsidRPr="009652D5" w:rsidRDefault="00763F88" w:rsidP="00763F88">
      <w:pPr>
        <w:pStyle w:val="210"/>
        <w:shd w:val="clear" w:color="auto" w:fill="auto"/>
        <w:spacing w:line="230" w:lineRule="exact"/>
        <w:ind w:firstLine="0"/>
        <w:rPr>
          <w:b w:val="0"/>
          <w:sz w:val="20"/>
          <w:szCs w:val="20"/>
        </w:rPr>
      </w:pPr>
    </w:p>
    <w:p w:rsidR="00763F88" w:rsidRPr="009652D5" w:rsidRDefault="00763F88" w:rsidP="00763F88">
      <w:pPr>
        <w:pStyle w:val="210"/>
        <w:shd w:val="clear" w:color="auto" w:fill="auto"/>
        <w:spacing w:line="230" w:lineRule="exact"/>
        <w:ind w:firstLine="0"/>
        <w:rPr>
          <w:b w:val="0"/>
          <w:sz w:val="20"/>
          <w:szCs w:val="20"/>
        </w:rPr>
      </w:pPr>
      <w:r w:rsidRPr="009652D5">
        <w:rPr>
          <w:b w:val="0"/>
          <w:sz w:val="20"/>
          <w:szCs w:val="20"/>
        </w:rPr>
        <w:t>В следующей таблице представлены обязательные нормативы ликвидности банка, рассчитанные на 31 декабря 2014</w:t>
      </w:r>
      <w:r w:rsidR="00464E2A">
        <w:rPr>
          <w:b w:val="0"/>
          <w:sz w:val="20"/>
          <w:szCs w:val="20"/>
        </w:rPr>
        <w:t xml:space="preserve"> года</w:t>
      </w:r>
      <w:r w:rsidRPr="009652D5">
        <w:rPr>
          <w:b w:val="0"/>
          <w:sz w:val="20"/>
          <w:szCs w:val="20"/>
        </w:rPr>
        <w:t xml:space="preserve"> и 31 декабря 2013</w:t>
      </w:r>
      <w:r w:rsidR="00464E2A">
        <w:rPr>
          <w:b w:val="0"/>
          <w:sz w:val="20"/>
          <w:szCs w:val="20"/>
        </w:rPr>
        <w:t xml:space="preserve"> года</w:t>
      </w:r>
      <w:r w:rsidRPr="009652D5">
        <w:rPr>
          <w:b w:val="0"/>
          <w:sz w:val="20"/>
          <w:szCs w:val="20"/>
        </w:rPr>
        <w:t>:</w:t>
      </w:r>
    </w:p>
    <w:tbl>
      <w:tblPr>
        <w:tblW w:w="5000" w:type="pct"/>
        <w:tblLook w:val="04A0"/>
      </w:tblPr>
      <w:tblGrid>
        <w:gridCol w:w="4559"/>
        <w:gridCol w:w="2352"/>
        <w:gridCol w:w="1560"/>
        <w:gridCol w:w="1352"/>
      </w:tblGrid>
      <w:tr w:rsidR="000F7CFA" w:rsidRPr="009652D5" w:rsidTr="000F7CFA">
        <w:trPr>
          <w:trHeight w:val="900"/>
        </w:trPr>
        <w:tc>
          <w:tcPr>
            <w:tcW w:w="2321" w:type="pct"/>
            <w:tcBorders>
              <w:top w:val="nil"/>
              <w:left w:val="nil"/>
              <w:bottom w:val="nil"/>
              <w:right w:val="nil"/>
            </w:tcBorders>
            <w:shd w:val="clear" w:color="auto" w:fill="auto"/>
            <w:noWrap/>
            <w:vAlign w:val="bottom"/>
            <w:hideMark/>
          </w:tcPr>
          <w:p w:rsidR="000F7CFA" w:rsidRPr="009652D5" w:rsidRDefault="000F7CFA" w:rsidP="000F7CFA">
            <w:pPr>
              <w:rPr>
                <w:rFonts w:cs="Arial"/>
                <w:color w:val="000000"/>
                <w:sz w:val="20"/>
                <w:lang w:val="ru-RU"/>
              </w:rPr>
            </w:pPr>
          </w:p>
        </w:tc>
        <w:tc>
          <w:tcPr>
            <w:tcW w:w="1197" w:type="pct"/>
            <w:tcBorders>
              <w:top w:val="nil"/>
              <w:left w:val="nil"/>
              <w:bottom w:val="single" w:sz="4" w:space="0" w:color="auto"/>
              <w:right w:val="nil"/>
            </w:tcBorders>
            <w:shd w:val="clear" w:color="auto" w:fill="auto"/>
            <w:vAlign w:val="bottom"/>
            <w:hideMark/>
          </w:tcPr>
          <w:p w:rsidR="000F7CFA" w:rsidRPr="009652D5" w:rsidRDefault="000F7CFA" w:rsidP="000F7CFA">
            <w:pPr>
              <w:jc w:val="center"/>
              <w:rPr>
                <w:rFonts w:cs="Arial"/>
                <w:b/>
                <w:bCs/>
                <w:color w:val="000000"/>
                <w:sz w:val="20"/>
                <w:lang w:val="ru-RU"/>
              </w:rPr>
            </w:pPr>
            <w:r w:rsidRPr="009652D5">
              <w:rPr>
                <w:rFonts w:cs="Arial"/>
                <w:b/>
                <w:bCs/>
                <w:color w:val="000000"/>
                <w:sz w:val="20"/>
                <w:lang w:val="ru-RU"/>
              </w:rPr>
              <w:t>Требование</w:t>
            </w:r>
          </w:p>
        </w:tc>
        <w:tc>
          <w:tcPr>
            <w:tcW w:w="794" w:type="pct"/>
            <w:tcBorders>
              <w:top w:val="nil"/>
              <w:left w:val="nil"/>
              <w:bottom w:val="single" w:sz="4" w:space="0" w:color="auto"/>
              <w:right w:val="nil"/>
            </w:tcBorders>
            <w:shd w:val="clear" w:color="auto" w:fill="auto"/>
            <w:vAlign w:val="bottom"/>
            <w:hideMark/>
          </w:tcPr>
          <w:p w:rsidR="000F7CFA" w:rsidRPr="009652D5" w:rsidRDefault="000F7CFA" w:rsidP="000F7CFA">
            <w:pPr>
              <w:jc w:val="center"/>
              <w:rPr>
                <w:rFonts w:cs="Arial"/>
                <w:b/>
                <w:bCs/>
                <w:color w:val="000000"/>
                <w:sz w:val="20"/>
                <w:lang w:val="ru-RU"/>
              </w:rPr>
            </w:pPr>
            <w:r w:rsidRPr="009652D5">
              <w:rPr>
                <w:rFonts w:cs="Arial"/>
                <w:b/>
                <w:bCs/>
                <w:color w:val="000000"/>
                <w:sz w:val="20"/>
                <w:lang w:val="ru-RU"/>
              </w:rPr>
              <w:t>31 декабря 2014</w:t>
            </w:r>
          </w:p>
        </w:tc>
        <w:tc>
          <w:tcPr>
            <w:tcW w:w="688" w:type="pct"/>
            <w:tcBorders>
              <w:top w:val="nil"/>
              <w:left w:val="nil"/>
              <w:bottom w:val="single" w:sz="4" w:space="0" w:color="auto"/>
              <w:right w:val="nil"/>
            </w:tcBorders>
            <w:shd w:val="clear" w:color="auto" w:fill="auto"/>
            <w:vAlign w:val="bottom"/>
            <w:hideMark/>
          </w:tcPr>
          <w:p w:rsidR="000F7CFA" w:rsidRPr="009652D5" w:rsidRDefault="000F7CFA" w:rsidP="000F7CFA">
            <w:pPr>
              <w:jc w:val="center"/>
              <w:rPr>
                <w:rFonts w:cs="Arial"/>
                <w:b/>
                <w:bCs/>
                <w:color w:val="000000"/>
                <w:sz w:val="20"/>
                <w:lang w:val="ru-RU"/>
              </w:rPr>
            </w:pPr>
            <w:r w:rsidRPr="009652D5">
              <w:rPr>
                <w:rFonts w:cs="Arial"/>
                <w:b/>
                <w:bCs/>
                <w:color w:val="000000"/>
                <w:sz w:val="20"/>
                <w:lang w:val="ru-RU"/>
              </w:rPr>
              <w:t>31 декабря 2013</w:t>
            </w:r>
          </w:p>
        </w:tc>
      </w:tr>
      <w:tr w:rsidR="000F7CFA" w:rsidRPr="009652D5" w:rsidTr="000F7CFA">
        <w:trPr>
          <w:trHeight w:val="300"/>
        </w:trPr>
        <w:tc>
          <w:tcPr>
            <w:tcW w:w="2321" w:type="pct"/>
            <w:tcBorders>
              <w:top w:val="nil"/>
              <w:left w:val="nil"/>
              <w:bottom w:val="nil"/>
              <w:right w:val="nil"/>
            </w:tcBorders>
            <w:shd w:val="clear" w:color="auto" w:fill="auto"/>
            <w:noWrap/>
            <w:vAlign w:val="bottom"/>
            <w:hideMark/>
          </w:tcPr>
          <w:p w:rsidR="000F7CFA" w:rsidRPr="009652D5" w:rsidRDefault="0021189B" w:rsidP="000F7CFA">
            <w:pPr>
              <w:rPr>
                <w:rFonts w:cs="Arial"/>
                <w:color w:val="000000"/>
                <w:sz w:val="20"/>
                <w:lang w:val="ru-RU"/>
              </w:rPr>
            </w:pPr>
            <w:r>
              <w:rPr>
                <w:rFonts w:cs="Arial"/>
                <w:color w:val="000000"/>
                <w:sz w:val="20"/>
                <w:lang w:val="ru-RU"/>
              </w:rPr>
              <w:t xml:space="preserve">Норматив </w:t>
            </w:r>
            <w:r w:rsidR="000F7CFA" w:rsidRPr="009652D5">
              <w:rPr>
                <w:rFonts w:cs="Arial"/>
                <w:color w:val="000000"/>
                <w:sz w:val="20"/>
                <w:lang w:val="ru-RU"/>
              </w:rPr>
              <w:t>срочной ликвидности (Н2)</w:t>
            </w:r>
          </w:p>
        </w:tc>
        <w:tc>
          <w:tcPr>
            <w:tcW w:w="1197"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Минимум 15%</w:t>
            </w:r>
          </w:p>
        </w:tc>
        <w:tc>
          <w:tcPr>
            <w:tcW w:w="794"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10.80</w:t>
            </w:r>
          </w:p>
        </w:tc>
        <w:tc>
          <w:tcPr>
            <w:tcW w:w="688"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58.02</w:t>
            </w:r>
          </w:p>
        </w:tc>
      </w:tr>
      <w:tr w:rsidR="000F7CFA" w:rsidRPr="009652D5" w:rsidTr="000F7CFA">
        <w:trPr>
          <w:trHeight w:val="300"/>
        </w:trPr>
        <w:tc>
          <w:tcPr>
            <w:tcW w:w="2321" w:type="pct"/>
            <w:tcBorders>
              <w:top w:val="nil"/>
              <w:left w:val="nil"/>
              <w:bottom w:val="nil"/>
              <w:right w:val="nil"/>
            </w:tcBorders>
            <w:shd w:val="clear" w:color="auto" w:fill="auto"/>
            <w:noWrap/>
            <w:vAlign w:val="bottom"/>
            <w:hideMark/>
          </w:tcPr>
          <w:p w:rsidR="000F7CFA" w:rsidRPr="009652D5" w:rsidRDefault="0021189B" w:rsidP="000F7CFA">
            <w:pPr>
              <w:rPr>
                <w:rFonts w:cs="Arial"/>
                <w:color w:val="000000"/>
                <w:sz w:val="20"/>
                <w:lang w:val="ru-RU"/>
              </w:rPr>
            </w:pPr>
            <w:r>
              <w:rPr>
                <w:rFonts w:cs="Arial"/>
                <w:color w:val="000000"/>
                <w:sz w:val="20"/>
                <w:lang w:val="ru-RU"/>
              </w:rPr>
              <w:t>Норматив</w:t>
            </w:r>
            <w:r w:rsidR="00B84D52">
              <w:rPr>
                <w:rFonts w:cs="Arial"/>
                <w:color w:val="000000"/>
                <w:sz w:val="20"/>
                <w:lang w:val="ru-RU"/>
              </w:rPr>
              <w:t xml:space="preserve"> </w:t>
            </w:r>
            <w:r w:rsidR="000F7CFA" w:rsidRPr="009652D5">
              <w:rPr>
                <w:rFonts w:cs="Arial"/>
                <w:color w:val="000000"/>
                <w:sz w:val="20"/>
                <w:lang w:val="ru-RU"/>
              </w:rPr>
              <w:t>текущей ликвидности (Н3)</w:t>
            </w:r>
          </w:p>
        </w:tc>
        <w:tc>
          <w:tcPr>
            <w:tcW w:w="1197"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Минимум 50%</w:t>
            </w:r>
          </w:p>
        </w:tc>
        <w:tc>
          <w:tcPr>
            <w:tcW w:w="794"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36.10</w:t>
            </w:r>
          </w:p>
        </w:tc>
        <w:tc>
          <w:tcPr>
            <w:tcW w:w="688"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56.06</w:t>
            </w:r>
          </w:p>
        </w:tc>
      </w:tr>
      <w:tr w:rsidR="000F7CFA" w:rsidRPr="009652D5" w:rsidTr="000F7CFA">
        <w:trPr>
          <w:trHeight w:val="300"/>
        </w:trPr>
        <w:tc>
          <w:tcPr>
            <w:tcW w:w="2321" w:type="pct"/>
            <w:tcBorders>
              <w:top w:val="nil"/>
              <w:left w:val="nil"/>
              <w:bottom w:val="nil"/>
              <w:right w:val="nil"/>
            </w:tcBorders>
            <w:shd w:val="clear" w:color="auto" w:fill="auto"/>
            <w:noWrap/>
            <w:vAlign w:val="bottom"/>
            <w:hideMark/>
          </w:tcPr>
          <w:p w:rsidR="000F7CFA" w:rsidRPr="009652D5" w:rsidRDefault="0021189B" w:rsidP="000F7CFA">
            <w:pPr>
              <w:rPr>
                <w:rFonts w:cs="Arial"/>
                <w:color w:val="000000"/>
                <w:sz w:val="20"/>
                <w:lang w:val="ru-RU"/>
              </w:rPr>
            </w:pPr>
            <w:r>
              <w:rPr>
                <w:rFonts w:cs="Arial"/>
                <w:color w:val="000000"/>
                <w:sz w:val="20"/>
                <w:lang w:val="ru-RU"/>
              </w:rPr>
              <w:t xml:space="preserve">Норматив </w:t>
            </w:r>
            <w:r w:rsidR="000F7CFA" w:rsidRPr="009652D5">
              <w:rPr>
                <w:rFonts w:cs="Arial"/>
                <w:color w:val="000000"/>
                <w:sz w:val="20"/>
                <w:lang w:val="ru-RU"/>
              </w:rPr>
              <w:t>долгосрочной ликвидности (Н4)</w:t>
            </w:r>
          </w:p>
        </w:tc>
        <w:tc>
          <w:tcPr>
            <w:tcW w:w="1197"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Минимум 120%</w:t>
            </w:r>
          </w:p>
        </w:tc>
        <w:tc>
          <w:tcPr>
            <w:tcW w:w="794"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61.20</w:t>
            </w:r>
          </w:p>
        </w:tc>
        <w:tc>
          <w:tcPr>
            <w:tcW w:w="688" w:type="pct"/>
            <w:tcBorders>
              <w:top w:val="nil"/>
              <w:left w:val="nil"/>
              <w:bottom w:val="nil"/>
              <w:right w:val="nil"/>
            </w:tcBorders>
            <w:shd w:val="clear" w:color="auto" w:fill="auto"/>
            <w:noWrap/>
            <w:vAlign w:val="bottom"/>
            <w:hideMark/>
          </w:tcPr>
          <w:p w:rsidR="000F7CFA" w:rsidRPr="009652D5" w:rsidRDefault="000F7CFA" w:rsidP="000F7CFA">
            <w:pPr>
              <w:jc w:val="center"/>
              <w:rPr>
                <w:rFonts w:cs="Arial"/>
                <w:color w:val="000000"/>
                <w:sz w:val="20"/>
                <w:lang w:val="ru-RU"/>
              </w:rPr>
            </w:pPr>
            <w:r w:rsidRPr="009652D5">
              <w:rPr>
                <w:rFonts w:cs="Arial"/>
                <w:color w:val="000000"/>
                <w:sz w:val="20"/>
                <w:lang w:val="ru-RU"/>
              </w:rPr>
              <w:t>65.73</w:t>
            </w:r>
          </w:p>
        </w:tc>
      </w:tr>
    </w:tbl>
    <w:p w:rsidR="000F7CFA" w:rsidRPr="009652D5" w:rsidRDefault="000F7CFA" w:rsidP="00B86A43">
      <w:pPr>
        <w:rPr>
          <w:rFonts w:cs="Arial"/>
          <w:sz w:val="20"/>
          <w:lang w:val="ru-RU"/>
        </w:rPr>
      </w:pPr>
    </w:p>
    <w:p w:rsidR="0077466C" w:rsidRPr="00464E2A" w:rsidRDefault="00464E2A" w:rsidP="00ED3E6F">
      <w:pPr>
        <w:jc w:val="both"/>
        <w:rPr>
          <w:rFonts w:cs="Arial"/>
          <w:sz w:val="20"/>
          <w:lang w:val="ru-RU"/>
        </w:rPr>
        <w:sectPr w:rsidR="0077466C" w:rsidRPr="00464E2A" w:rsidSect="005C1ECD">
          <w:pgSz w:w="11909" w:h="16840"/>
          <w:pgMar w:top="1430" w:right="862" w:bottom="1334" w:left="1440" w:header="0" w:footer="3" w:gutter="0"/>
          <w:cols w:space="720"/>
          <w:noEndnote/>
          <w:titlePg/>
          <w:docGrid w:linePitch="360"/>
        </w:sectPr>
      </w:pPr>
      <w:r>
        <w:rPr>
          <w:rFonts w:cs="Arial"/>
          <w:sz w:val="20"/>
          <w:lang w:val="ru-RU"/>
        </w:rPr>
        <w:t xml:space="preserve">Нормативы ликвидности </w:t>
      </w:r>
      <w:r w:rsidR="0021189B">
        <w:rPr>
          <w:rFonts w:cs="Arial"/>
          <w:sz w:val="20"/>
          <w:lang w:val="ru-RU"/>
        </w:rPr>
        <w:t>Б</w:t>
      </w:r>
      <w:r>
        <w:rPr>
          <w:rFonts w:cs="Arial"/>
          <w:sz w:val="20"/>
          <w:lang w:val="ru-RU"/>
        </w:rPr>
        <w:t xml:space="preserve">анка по состоянию на </w:t>
      </w:r>
      <w:r w:rsidR="0088640F" w:rsidRPr="0088640F">
        <w:rPr>
          <w:rFonts w:cs="Arial"/>
          <w:sz w:val="20"/>
          <w:lang w:val="ru-RU"/>
        </w:rPr>
        <w:t xml:space="preserve">31 декабря 2014года были рассчитаны на основе данных </w:t>
      </w:r>
      <w:r w:rsidR="0021189B">
        <w:rPr>
          <w:rFonts w:cs="Arial"/>
          <w:sz w:val="20"/>
          <w:lang w:val="ru-RU"/>
        </w:rPr>
        <w:t xml:space="preserve">годовой бухгалтерской (финансовой) </w:t>
      </w:r>
      <w:r w:rsidR="0088640F" w:rsidRPr="0088640F">
        <w:rPr>
          <w:rFonts w:cs="Arial"/>
          <w:sz w:val="20"/>
          <w:lang w:val="ru-RU"/>
        </w:rPr>
        <w:t xml:space="preserve">отчетности, </w:t>
      </w:r>
      <w:r w:rsidR="0021189B">
        <w:rPr>
          <w:rFonts w:cs="Arial"/>
          <w:sz w:val="20"/>
          <w:lang w:val="ru-RU"/>
        </w:rPr>
        <w:t xml:space="preserve">составленной в соответствии с требованиями Банка России, </w:t>
      </w:r>
      <w:r w:rsidR="00D36B8B">
        <w:rPr>
          <w:rFonts w:cs="Arial"/>
          <w:sz w:val="20"/>
          <w:lang w:val="ru-RU"/>
        </w:rPr>
        <w:t>о достоверности</w:t>
      </w:r>
      <w:r w:rsidR="00B84D52">
        <w:rPr>
          <w:rFonts w:cs="Arial"/>
          <w:sz w:val="20"/>
          <w:lang w:val="ru-RU"/>
        </w:rPr>
        <w:t xml:space="preserve"> </w:t>
      </w:r>
      <w:r w:rsidR="0088640F" w:rsidRPr="0088640F">
        <w:rPr>
          <w:rFonts w:cs="Arial"/>
          <w:sz w:val="20"/>
          <w:lang w:val="ru-RU"/>
        </w:rPr>
        <w:t>которой аудиторами было выражено отрицательное мнение.</w:t>
      </w:r>
    </w:p>
    <w:p w:rsidR="00567162" w:rsidRPr="009652D5" w:rsidRDefault="0074467C" w:rsidP="00696A73">
      <w:pPr>
        <w:jc w:val="both"/>
        <w:rPr>
          <w:rFonts w:cs="Arial"/>
          <w:bCs/>
          <w:sz w:val="20"/>
          <w:lang w:val="ru-RU"/>
        </w:rPr>
      </w:pPr>
      <w:r w:rsidRPr="009652D5">
        <w:rPr>
          <w:rFonts w:cs="Arial"/>
          <w:bCs/>
          <w:sz w:val="20"/>
          <w:lang w:val="ru-RU"/>
        </w:rPr>
        <w:lastRenderedPageBreak/>
        <w:t>Таблица, приведенная ниже, отражает недисконтированные денежные потоки, подлежащие выплате на основе наиболее ранней даты, когда Банку может быть предъявлено требование платежа</w:t>
      </w:r>
      <w:r w:rsidR="00A867A9" w:rsidRPr="009652D5">
        <w:rPr>
          <w:rFonts w:cs="Arial"/>
          <w:bCs/>
          <w:sz w:val="20"/>
          <w:lang w:val="ru-RU"/>
        </w:rPr>
        <w:t xml:space="preserve"> на 31 декабря 2014 года</w:t>
      </w:r>
      <w:r w:rsidRPr="009652D5">
        <w:rPr>
          <w:rFonts w:cs="Arial"/>
          <w:bCs/>
          <w:sz w:val="20"/>
          <w:lang w:val="ru-RU"/>
        </w:rPr>
        <w:t>. Таблица включает как выплаты основной суммы, там и выплаты процентов.</w:t>
      </w:r>
    </w:p>
    <w:p w:rsidR="00A867A9" w:rsidRPr="009652D5" w:rsidRDefault="00A867A9" w:rsidP="00696A73">
      <w:pPr>
        <w:jc w:val="both"/>
        <w:rPr>
          <w:rFonts w:cs="Arial"/>
          <w:bCs/>
          <w:sz w:val="20"/>
          <w:lang w:val="ru-RU"/>
        </w:rPr>
      </w:pPr>
    </w:p>
    <w:tbl>
      <w:tblPr>
        <w:tblW w:w="5000" w:type="pct"/>
        <w:tblLook w:val="04A0"/>
      </w:tblPr>
      <w:tblGrid>
        <w:gridCol w:w="3186"/>
        <w:gridCol w:w="1745"/>
        <w:gridCol w:w="1288"/>
        <w:gridCol w:w="1217"/>
        <w:gridCol w:w="1135"/>
        <w:gridCol w:w="1252"/>
      </w:tblGrid>
      <w:tr w:rsidR="00B34760" w:rsidRPr="009652D5" w:rsidTr="00A867A9">
        <w:trPr>
          <w:trHeight w:val="9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color w:val="000000"/>
                <w:sz w:val="20"/>
                <w:lang w:val="ru-RU"/>
              </w:rPr>
            </w:pPr>
          </w:p>
        </w:tc>
        <w:tc>
          <w:tcPr>
            <w:tcW w:w="829" w:type="pct"/>
            <w:tcBorders>
              <w:top w:val="nil"/>
              <w:left w:val="nil"/>
              <w:bottom w:val="single" w:sz="4" w:space="0" w:color="auto"/>
              <w:right w:val="nil"/>
            </w:tcBorders>
            <w:shd w:val="clear" w:color="auto" w:fill="auto"/>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До востребования и менее 1 мес.</w:t>
            </w:r>
          </w:p>
        </w:tc>
        <w:tc>
          <w:tcPr>
            <w:tcW w:w="676" w:type="pct"/>
            <w:tcBorders>
              <w:top w:val="nil"/>
              <w:left w:val="nil"/>
              <w:bottom w:val="single" w:sz="4" w:space="0" w:color="auto"/>
              <w:right w:val="nil"/>
            </w:tcBorders>
            <w:shd w:val="clear" w:color="auto" w:fill="auto"/>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От 1 до 6 месяцев</w:t>
            </w:r>
          </w:p>
        </w:tc>
        <w:tc>
          <w:tcPr>
            <w:tcW w:w="598" w:type="pct"/>
            <w:tcBorders>
              <w:top w:val="nil"/>
              <w:left w:val="nil"/>
              <w:bottom w:val="single" w:sz="4" w:space="0" w:color="auto"/>
              <w:right w:val="nil"/>
            </w:tcBorders>
            <w:shd w:val="clear" w:color="auto" w:fill="auto"/>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От 6 месяцев до 1 года</w:t>
            </w:r>
          </w:p>
        </w:tc>
        <w:tc>
          <w:tcPr>
            <w:tcW w:w="598" w:type="pct"/>
            <w:tcBorders>
              <w:top w:val="nil"/>
              <w:left w:val="nil"/>
              <w:bottom w:val="single" w:sz="4" w:space="0" w:color="auto"/>
              <w:right w:val="nil"/>
            </w:tcBorders>
            <w:shd w:val="clear" w:color="auto" w:fill="auto"/>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Более 1 года</w:t>
            </w:r>
          </w:p>
        </w:tc>
        <w:tc>
          <w:tcPr>
            <w:tcW w:w="657" w:type="pct"/>
            <w:tcBorders>
              <w:top w:val="nil"/>
              <w:left w:val="nil"/>
              <w:bottom w:val="single" w:sz="4" w:space="0" w:color="auto"/>
              <w:right w:val="nil"/>
            </w:tcBorders>
            <w:shd w:val="clear" w:color="auto" w:fill="auto"/>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Итого</w:t>
            </w: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b/>
                <w:bCs/>
                <w:color w:val="000000"/>
                <w:sz w:val="20"/>
                <w:lang w:val="ru-RU"/>
              </w:rPr>
            </w:pPr>
            <w:r w:rsidRPr="009652D5">
              <w:rPr>
                <w:rFonts w:cs="Arial"/>
                <w:b/>
                <w:bCs/>
                <w:color w:val="000000"/>
                <w:sz w:val="20"/>
                <w:lang w:val="ru-RU"/>
              </w:rPr>
              <w:t>31 декабря 2014</w:t>
            </w:r>
          </w:p>
        </w:tc>
        <w:tc>
          <w:tcPr>
            <w:tcW w:w="829" w:type="pct"/>
            <w:tcBorders>
              <w:top w:val="nil"/>
              <w:left w:val="nil"/>
              <w:bottom w:val="nil"/>
              <w:right w:val="nil"/>
            </w:tcBorders>
            <w:shd w:val="clear" w:color="auto" w:fill="auto"/>
            <w:vAlign w:val="bottom"/>
            <w:hideMark/>
          </w:tcPr>
          <w:p w:rsidR="00A867A9" w:rsidRPr="009652D5" w:rsidRDefault="00A867A9" w:rsidP="00A867A9">
            <w:pPr>
              <w:jc w:val="center"/>
              <w:rPr>
                <w:rFonts w:cs="Arial"/>
                <w:b/>
                <w:bCs/>
                <w:color w:val="000000"/>
                <w:sz w:val="20"/>
                <w:lang w:val="ru-RU"/>
              </w:rPr>
            </w:pPr>
          </w:p>
        </w:tc>
        <w:tc>
          <w:tcPr>
            <w:tcW w:w="676" w:type="pct"/>
            <w:tcBorders>
              <w:top w:val="nil"/>
              <w:left w:val="nil"/>
              <w:bottom w:val="nil"/>
              <w:right w:val="nil"/>
            </w:tcBorders>
            <w:shd w:val="clear" w:color="auto" w:fill="auto"/>
            <w:vAlign w:val="bottom"/>
            <w:hideMark/>
          </w:tcPr>
          <w:p w:rsidR="00A867A9" w:rsidRPr="009652D5" w:rsidRDefault="00A867A9" w:rsidP="00A867A9">
            <w:pPr>
              <w:jc w:val="center"/>
              <w:rPr>
                <w:rFonts w:cs="Arial"/>
                <w:b/>
                <w:bCs/>
                <w:color w:val="000000"/>
                <w:sz w:val="20"/>
                <w:lang w:val="ru-RU"/>
              </w:rPr>
            </w:pPr>
          </w:p>
        </w:tc>
        <w:tc>
          <w:tcPr>
            <w:tcW w:w="598" w:type="pct"/>
            <w:tcBorders>
              <w:top w:val="nil"/>
              <w:left w:val="nil"/>
              <w:bottom w:val="nil"/>
              <w:right w:val="nil"/>
            </w:tcBorders>
            <w:shd w:val="clear" w:color="auto" w:fill="auto"/>
            <w:vAlign w:val="bottom"/>
            <w:hideMark/>
          </w:tcPr>
          <w:p w:rsidR="00A867A9" w:rsidRPr="009652D5" w:rsidRDefault="00A867A9" w:rsidP="00A867A9">
            <w:pPr>
              <w:jc w:val="center"/>
              <w:rPr>
                <w:rFonts w:cs="Arial"/>
                <w:b/>
                <w:bCs/>
                <w:color w:val="000000"/>
                <w:sz w:val="20"/>
                <w:lang w:val="ru-RU"/>
              </w:rPr>
            </w:pPr>
          </w:p>
        </w:tc>
        <w:tc>
          <w:tcPr>
            <w:tcW w:w="598" w:type="pct"/>
            <w:tcBorders>
              <w:top w:val="nil"/>
              <w:left w:val="nil"/>
              <w:bottom w:val="nil"/>
              <w:right w:val="nil"/>
            </w:tcBorders>
            <w:shd w:val="clear" w:color="auto" w:fill="auto"/>
            <w:vAlign w:val="bottom"/>
            <w:hideMark/>
          </w:tcPr>
          <w:p w:rsidR="00A867A9" w:rsidRPr="009652D5" w:rsidRDefault="00A867A9" w:rsidP="00A867A9">
            <w:pPr>
              <w:jc w:val="center"/>
              <w:rPr>
                <w:rFonts w:cs="Arial"/>
                <w:b/>
                <w:bCs/>
                <w:color w:val="000000"/>
                <w:sz w:val="20"/>
                <w:lang w:val="ru-RU"/>
              </w:rPr>
            </w:pPr>
          </w:p>
        </w:tc>
        <w:tc>
          <w:tcPr>
            <w:tcW w:w="657" w:type="pct"/>
            <w:tcBorders>
              <w:top w:val="nil"/>
              <w:left w:val="nil"/>
              <w:bottom w:val="nil"/>
              <w:right w:val="nil"/>
            </w:tcBorders>
            <w:shd w:val="clear" w:color="auto" w:fill="auto"/>
            <w:vAlign w:val="bottom"/>
            <w:hideMark/>
          </w:tcPr>
          <w:p w:rsidR="00A867A9" w:rsidRPr="009652D5" w:rsidRDefault="00A867A9" w:rsidP="00A867A9">
            <w:pPr>
              <w:jc w:val="center"/>
              <w:rPr>
                <w:rFonts w:cs="Arial"/>
                <w:b/>
                <w:bCs/>
                <w:color w:val="000000"/>
                <w:sz w:val="20"/>
                <w:lang w:val="ru-RU"/>
              </w:rPr>
            </w:pPr>
          </w:p>
        </w:tc>
      </w:tr>
      <w:tr w:rsidR="00B34760" w:rsidRPr="009652D5" w:rsidTr="00A867A9">
        <w:trPr>
          <w:trHeight w:val="600"/>
        </w:trPr>
        <w:tc>
          <w:tcPr>
            <w:tcW w:w="1642" w:type="pct"/>
            <w:tcBorders>
              <w:top w:val="nil"/>
              <w:left w:val="nil"/>
              <w:bottom w:val="nil"/>
              <w:right w:val="nil"/>
            </w:tcBorders>
            <w:shd w:val="clear" w:color="auto" w:fill="auto"/>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Средства кредитных организаций</w:t>
            </w: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411 383</w:t>
            </w: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411 383</w:t>
            </w:r>
          </w:p>
        </w:tc>
      </w:tr>
      <w:tr w:rsidR="00B34760" w:rsidRPr="009652D5" w:rsidTr="00A867A9">
        <w:trPr>
          <w:trHeight w:val="300"/>
        </w:trPr>
        <w:tc>
          <w:tcPr>
            <w:tcW w:w="1642" w:type="pct"/>
            <w:tcBorders>
              <w:top w:val="nil"/>
              <w:left w:val="nil"/>
              <w:bottom w:val="nil"/>
              <w:right w:val="nil"/>
            </w:tcBorders>
            <w:shd w:val="clear" w:color="auto" w:fill="auto"/>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Средства клиентов</w:t>
            </w:r>
          </w:p>
        </w:tc>
        <w:tc>
          <w:tcPr>
            <w:tcW w:w="829" w:type="pct"/>
            <w:tcBorders>
              <w:top w:val="nil"/>
              <w:left w:val="nil"/>
              <w:bottom w:val="nil"/>
              <w:right w:val="nil"/>
            </w:tcBorders>
            <w:shd w:val="clear" w:color="auto" w:fill="auto"/>
            <w:noWrap/>
            <w:vAlign w:val="bottom"/>
            <w:hideMark/>
          </w:tcPr>
          <w:p w:rsidR="00A867A9" w:rsidRPr="009652D5" w:rsidRDefault="00B34760" w:rsidP="00A867A9">
            <w:pPr>
              <w:jc w:val="center"/>
              <w:rPr>
                <w:rFonts w:cs="Arial"/>
                <w:color w:val="000000"/>
                <w:sz w:val="20"/>
                <w:lang w:val="ru-RU"/>
              </w:rPr>
            </w:pPr>
            <w:r>
              <w:rPr>
                <w:rFonts w:cs="Arial"/>
                <w:color w:val="000000"/>
                <w:sz w:val="20"/>
                <w:lang w:val="ru-RU"/>
              </w:rPr>
              <w:t>6 943 057</w:t>
            </w:r>
          </w:p>
        </w:tc>
        <w:tc>
          <w:tcPr>
            <w:tcW w:w="676" w:type="pct"/>
            <w:tcBorders>
              <w:top w:val="nil"/>
              <w:left w:val="nil"/>
              <w:bottom w:val="nil"/>
              <w:right w:val="nil"/>
            </w:tcBorders>
            <w:shd w:val="clear" w:color="auto" w:fill="auto"/>
            <w:noWrap/>
            <w:vAlign w:val="bottom"/>
            <w:hideMark/>
          </w:tcPr>
          <w:p w:rsidR="00A867A9" w:rsidRPr="009652D5" w:rsidRDefault="00B34760" w:rsidP="00A867A9">
            <w:pPr>
              <w:jc w:val="center"/>
              <w:rPr>
                <w:rFonts w:cs="Arial"/>
                <w:color w:val="000000"/>
                <w:sz w:val="20"/>
                <w:lang w:val="ru-RU"/>
              </w:rPr>
            </w:pPr>
            <w:r>
              <w:rPr>
                <w:rFonts w:cs="Arial"/>
                <w:color w:val="000000"/>
                <w:sz w:val="20"/>
                <w:lang w:val="ru-RU"/>
              </w:rPr>
              <w:t>27 905 092</w:t>
            </w:r>
          </w:p>
        </w:tc>
        <w:tc>
          <w:tcPr>
            <w:tcW w:w="598" w:type="pct"/>
            <w:tcBorders>
              <w:top w:val="nil"/>
              <w:left w:val="nil"/>
              <w:bottom w:val="nil"/>
              <w:right w:val="nil"/>
            </w:tcBorders>
            <w:shd w:val="clear" w:color="auto" w:fill="auto"/>
            <w:noWrap/>
            <w:vAlign w:val="bottom"/>
            <w:hideMark/>
          </w:tcPr>
          <w:p w:rsidR="00A867A9" w:rsidRPr="009652D5" w:rsidRDefault="00B34760" w:rsidP="00A867A9">
            <w:pPr>
              <w:jc w:val="center"/>
              <w:rPr>
                <w:rFonts w:cs="Arial"/>
                <w:color w:val="000000"/>
                <w:sz w:val="20"/>
                <w:lang w:val="ru-RU"/>
              </w:rPr>
            </w:pPr>
            <w:r>
              <w:rPr>
                <w:rFonts w:cs="Arial"/>
                <w:color w:val="000000"/>
                <w:sz w:val="20"/>
                <w:lang w:val="ru-RU"/>
              </w:rPr>
              <w:t>7 079 585</w:t>
            </w:r>
          </w:p>
        </w:tc>
        <w:tc>
          <w:tcPr>
            <w:tcW w:w="598" w:type="pct"/>
            <w:tcBorders>
              <w:top w:val="nil"/>
              <w:left w:val="nil"/>
              <w:bottom w:val="nil"/>
              <w:right w:val="nil"/>
            </w:tcBorders>
            <w:shd w:val="clear" w:color="auto" w:fill="auto"/>
            <w:noWrap/>
            <w:vAlign w:val="bottom"/>
            <w:hideMark/>
          </w:tcPr>
          <w:p w:rsidR="00A867A9" w:rsidRPr="009652D5" w:rsidRDefault="00B34760" w:rsidP="00A867A9">
            <w:pPr>
              <w:jc w:val="center"/>
              <w:rPr>
                <w:rFonts w:cs="Arial"/>
                <w:color w:val="000000"/>
                <w:sz w:val="20"/>
                <w:lang w:val="ru-RU"/>
              </w:rPr>
            </w:pPr>
            <w:r>
              <w:rPr>
                <w:rFonts w:cs="Arial"/>
                <w:color w:val="000000"/>
                <w:sz w:val="20"/>
                <w:lang w:val="ru-RU"/>
              </w:rPr>
              <w:t>1 650 056</w:t>
            </w:r>
          </w:p>
        </w:tc>
        <w:tc>
          <w:tcPr>
            <w:tcW w:w="657" w:type="pct"/>
            <w:tcBorders>
              <w:top w:val="nil"/>
              <w:left w:val="nil"/>
              <w:bottom w:val="nil"/>
              <w:right w:val="nil"/>
            </w:tcBorders>
            <w:shd w:val="clear" w:color="auto" w:fill="auto"/>
            <w:noWrap/>
            <w:vAlign w:val="bottom"/>
            <w:hideMark/>
          </w:tcPr>
          <w:p w:rsidR="00A867A9" w:rsidRPr="009652D5" w:rsidRDefault="00B34760" w:rsidP="00A867A9">
            <w:pPr>
              <w:jc w:val="center"/>
              <w:rPr>
                <w:rFonts w:cs="Arial"/>
                <w:b/>
                <w:bCs/>
                <w:color w:val="000000"/>
                <w:sz w:val="20"/>
                <w:lang w:val="ru-RU"/>
              </w:rPr>
            </w:pPr>
            <w:r>
              <w:rPr>
                <w:rFonts w:cs="Arial"/>
                <w:b/>
                <w:bCs/>
                <w:color w:val="000000"/>
                <w:sz w:val="20"/>
                <w:lang w:val="ru-RU"/>
              </w:rPr>
              <w:t>43 577 790</w:t>
            </w:r>
          </w:p>
        </w:tc>
      </w:tr>
      <w:tr w:rsidR="00B34760" w:rsidRPr="009652D5" w:rsidTr="00A867A9">
        <w:trPr>
          <w:trHeight w:val="900"/>
        </w:trPr>
        <w:tc>
          <w:tcPr>
            <w:tcW w:w="1642" w:type="pct"/>
            <w:tcBorders>
              <w:top w:val="nil"/>
              <w:left w:val="nil"/>
              <w:bottom w:val="nil"/>
              <w:right w:val="nil"/>
            </w:tcBorders>
            <w:shd w:val="clear" w:color="auto" w:fill="auto"/>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Выпущенные долговые ценные бумаги</w:t>
            </w: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81 886</w:t>
            </w:r>
          </w:p>
        </w:tc>
        <w:tc>
          <w:tcPr>
            <w:tcW w:w="676" w:type="pct"/>
            <w:tcBorders>
              <w:top w:val="nil"/>
              <w:left w:val="nil"/>
              <w:bottom w:val="nil"/>
              <w:right w:val="nil"/>
            </w:tcBorders>
            <w:shd w:val="clear" w:color="auto" w:fill="auto"/>
            <w:noWrap/>
            <w:vAlign w:val="bottom"/>
            <w:hideMark/>
          </w:tcPr>
          <w:p w:rsidR="00A867A9" w:rsidRPr="009652D5" w:rsidRDefault="007B1350" w:rsidP="00A867A9">
            <w:pPr>
              <w:jc w:val="center"/>
              <w:rPr>
                <w:rFonts w:cs="Arial"/>
                <w:color w:val="000000"/>
                <w:sz w:val="20"/>
                <w:lang w:val="ru-RU"/>
              </w:rPr>
            </w:pPr>
            <w:r>
              <w:rPr>
                <w:rFonts w:cs="Arial"/>
                <w:color w:val="000000"/>
                <w:sz w:val="20"/>
                <w:lang w:val="ru-RU"/>
              </w:rPr>
              <w:t>96 083</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7B1350" w:rsidP="00A867A9">
            <w:pPr>
              <w:jc w:val="center"/>
              <w:rPr>
                <w:rFonts w:cs="Arial"/>
                <w:color w:val="000000"/>
                <w:sz w:val="20"/>
                <w:lang w:val="ru-RU"/>
              </w:rPr>
            </w:pPr>
            <w:r>
              <w:rPr>
                <w:rFonts w:cs="Arial"/>
                <w:color w:val="000000"/>
                <w:sz w:val="20"/>
                <w:lang w:val="ru-RU"/>
              </w:rPr>
              <w:t>4 582</w:t>
            </w:r>
          </w:p>
        </w:tc>
        <w:tc>
          <w:tcPr>
            <w:tcW w:w="657" w:type="pct"/>
            <w:tcBorders>
              <w:top w:val="nil"/>
              <w:left w:val="nil"/>
              <w:bottom w:val="nil"/>
              <w:right w:val="nil"/>
            </w:tcBorders>
            <w:shd w:val="clear" w:color="auto" w:fill="auto"/>
            <w:noWrap/>
            <w:vAlign w:val="bottom"/>
            <w:hideMark/>
          </w:tcPr>
          <w:p w:rsidR="00A867A9" w:rsidRPr="009652D5" w:rsidRDefault="007B1350" w:rsidP="00A867A9">
            <w:pPr>
              <w:jc w:val="center"/>
              <w:rPr>
                <w:rFonts w:cs="Arial"/>
                <w:b/>
                <w:bCs/>
                <w:color w:val="000000"/>
                <w:sz w:val="20"/>
                <w:lang w:val="ru-RU"/>
              </w:rPr>
            </w:pPr>
            <w:r>
              <w:rPr>
                <w:rFonts w:cs="Arial"/>
                <w:b/>
                <w:bCs/>
                <w:color w:val="000000"/>
                <w:sz w:val="20"/>
                <w:lang w:val="ru-RU"/>
              </w:rPr>
              <w:t>182 551</w:t>
            </w:r>
          </w:p>
        </w:tc>
      </w:tr>
      <w:tr w:rsidR="00B34760" w:rsidRPr="009652D5" w:rsidTr="00A867A9">
        <w:trPr>
          <w:trHeight w:val="600"/>
        </w:trPr>
        <w:tc>
          <w:tcPr>
            <w:tcW w:w="1642" w:type="pct"/>
            <w:tcBorders>
              <w:top w:val="nil"/>
              <w:left w:val="nil"/>
              <w:bottom w:val="nil"/>
              <w:right w:val="nil"/>
            </w:tcBorders>
            <w:shd w:val="clear" w:color="auto" w:fill="auto"/>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Субординированные займы</w:t>
            </w: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713AE2" w:rsidP="00A867A9">
            <w:pPr>
              <w:jc w:val="center"/>
              <w:rPr>
                <w:rFonts w:cs="Arial"/>
                <w:color w:val="000000"/>
                <w:sz w:val="20"/>
                <w:lang w:val="ru-RU"/>
              </w:rPr>
            </w:pPr>
            <w:r>
              <w:rPr>
                <w:rFonts w:cs="Arial"/>
                <w:color w:val="000000"/>
                <w:sz w:val="20"/>
                <w:lang w:val="ru-RU"/>
              </w:rPr>
              <w:t>2 681 115</w:t>
            </w:r>
          </w:p>
        </w:tc>
        <w:tc>
          <w:tcPr>
            <w:tcW w:w="657" w:type="pct"/>
            <w:tcBorders>
              <w:top w:val="nil"/>
              <w:left w:val="nil"/>
              <w:bottom w:val="nil"/>
              <w:right w:val="nil"/>
            </w:tcBorders>
            <w:shd w:val="clear" w:color="auto" w:fill="auto"/>
            <w:noWrap/>
            <w:vAlign w:val="bottom"/>
            <w:hideMark/>
          </w:tcPr>
          <w:p w:rsidR="00A867A9" w:rsidRPr="009652D5" w:rsidRDefault="00713AE2" w:rsidP="00A867A9">
            <w:pPr>
              <w:jc w:val="center"/>
              <w:rPr>
                <w:rFonts w:cs="Arial"/>
                <w:b/>
                <w:bCs/>
                <w:color w:val="000000"/>
                <w:sz w:val="20"/>
                <w:lang w:val="ru-RU"/>
              </w:rPr>
            </w:pPr>
            <w:r>
              <w:rPr>
                <w:rFonts w:cs="Arial"/>
                <w:b/>
                <w:bCs/>
                <w:color w:val="000000"/>
                <w:sz w:val="20"/>
                <w:lang w:val="ru-RU"/>
              </w:rPr>
              <w:t>2 681 115</w:t>
            </w:r>
          </w:p>
        </w:tc>
      </w:tr>
      <w:tr w:rsidR="00B34760" w:rsidRPr="009652D5" w:rsidTr="00A867A9">
        <w:trPr>
          <w:trHeight w:val="900"/>
        </w:trPr>
        <w:tc>
          <w:tcPr>
            <w:tcW w:w="1642" w:type="pct"/>
            <w:tcBorders>
              <w:top w:val="nil"/>
              <w:left w:val="nil"/>
              <w:bottom w:val="nil"/>
              <w:right w:val="nil"/>
            </w:tcBorders>
            <w:shd w:val="clear" w:color="auto" w:fill="auto"/>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Прочие обязательства и кредиторская задолженность</w:t>
            </w:r>
          </w:p>
        </w:tc>
        <w:tc>
          <w:tcPr>
            <w:tcW w:w="829" w:type="pct"/>
            <w:tcBorders>
              <w:top w:val="nil"/>
              <w:left w:val="nil"/>
              <w:bottom w:val="single" w:sz="4" w:space="0" w:color="auto"/>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137 316</w:t>
            </w:r>
          </w:p>
        </w:tc>
        <w:tc>
          <w:tcPr>
            <w:tcW w:w="676" w:type="pct"/>
            <w:tcBorders>
              <w:top w:val="nil"/>
              <w:left w:val="nil"/>
              <w:bottom w:val="single" w:sz="4" w:space="0" w:color="auto"/>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w:t>
            </w:r>
          </w:p>
        </w:tc>
        <w:tc>
          <w:tcPr>
            <w:tcW w:w="598" w:type="pct"/>
            <w:tcBorders>
              <w:top w:val="nil"/>
              <w:left w:val="nil"/>
              <w:bottom w:val="single" w:sz="4" w:space="0" w:color="auto"/>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w:t>
            </w:r>
          </w:p>
        </w:tc>
        <w:tc>
          <w:tcPr>
            <w:tcW w:w="598" w:type="pct"/>
            <w:tcBorders>
              <w:top w:val="nil"/>
              <w:left w:val="nil"/>
              <w:bottom w:val="single" w:sz="4" w:space="0" w:color="auto"/>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w:t>
            </w:r>
          </w:p>
        </w:tc>
        <w:tc>
          <w:tcPr>
            <w:tcW w:w="657" w:type="pct"/>
            <w:tcBorders>
              <w:top w:val="nil"/>
              <w:left w:val="nil"/>
              <w:bottom w:val="single" w:sz="4" w:space="0" w:color="auto"/>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137 316</w:t>
            </w: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b/>
                <w:bCs/>
                <w:color w:val="000000"/>
                <w:sz w:val="20"/>
                <w:lang w:val="ru-RU"/>
              </w:rPr>
            </w:pPr>
            <w:r w:rsidRPr="009652D5">
              <w:rPr>
                <w:rFonts w:cs="Arial"/>
                <w:b/>
                <w:bCs/>
                <w:color w:val="000000"/>
                <w:sz w:val="20"/>
                <w:lang w:val="ru-RU"/>
              </w:rPr>
              <w:t>Итого обязательств</w:t>
            </w:r>
          </w:p>
        </w:tc>
        <w:tc>
          <w:tcPr>
            <w:tcW w:w="829" w:type="pct"/>
            <w:tcBorders>
              <w:top w:val="nil"/>
              <w:left w:val="nil"/>
              <w:bottom w:val="nil"/>
              <w:right w:val="nil"/>
            </w:tcBorders>
            <w:shd w:val="clear" w:color="auto" w:fill="auto"/>
            <w:noWrap/>
            <w:vAlign w:val="bottom"/>
            <w:hideMark/>
          </w:tcPr>
          <w:p w:rsidR="00A867A9" w:rsidRPr="009652D5" w:rsidRDefault="005344C1" w:rsidP="00A867A9">
            <w:pPr>
              <w:jc w:val="center"/>
              <w:rPr>
                <w:rFonts w:cs="Arial"/>
                <w:b/>
                <w:bCs/>
                <w:color w:val="000000"/>
                <w:sz w:val="20"/>
                <w:lang w:val="ru-RU"/>
              </w:rPr>
            </w:pPr>
            <w:r>
              <w:rPr>
                <w:rFonts w:cs="Arial"/>
                <w:b/>
                <w:bCs/>
                <w:color w:val="000000"/>
                <w:sz w:val="20"/>
                <w:lang w:val="ru-RU"/>
              </w:rPr>
              <w:t>7 573 642</w:t>
            </w:r>
          </w:p>
        </w:tc>
        <w:tc>
          <w:tcPr>
            <w:tcW w:w="676" w:type="pct"/>
            <w:tcBorders>
              <w:top w:val="nil"/>
              <w:left w:val="nil"/>
              <w:bottom w:val="nil"/>
              <w:right w:val="nil"/>
            </w:tcBorders>
            <w:shd w:val="clear" w:color="auto" w:fill="auto"/>
            <w:noWrap/>
            <w:vAlign w:val="bottom"/>
            <w:hideMark/>
          </w:tcPr>
          <w:p w:rsidR="00A867A9" w:rsidRPr="009652D5" w:rsidRDefault="005344C1" w:rsidP="00A867A9">
            <w:pPr>
              <w:jc w:val="center"/>
              <w:rPr>
                <w:rFonts w:cs="Arial"/>
                <w:b/>
                <w:bCs/>
                <w:color w:val="000000"/>
                <w:sz w:val="20"/>
                <w:lang w:val="ru-RU"/>
              </w:rPr>
            </w:pPr>
            <w:r>
              <w:rPr>
                <w:rFonts w:cs="Arial"/>
                <w:b/>
                <w:bCs/>
                <w:color w:val="000000"/>
                <w:sz w:val="20"/>
                <w:lang w:val="ru-RU"/>
              </w:rPr>
              <w:t>28 001 175</w:t>
            </w:r>
          </w:p>
        </w:tc>
        <w:tc>
          <w:tcPr>
            <w:tcW w:w="598" w:type="pct"/>
            <w:tcBorders>
              <w:top w:val="nil"/>
              <w:left w:val="nil"/>
              <w:bottom w:val="nil"/>
              <w:right w:val="nil"/>
            </w:tcBorders>
            <w:shd w:val="clear" w:color="auto" w:fill="auto"/>
            <w:noWrap/>
            <w:vAlign w:val="bottom"/>
            <w:hideMark/>
          </w:tcPr>
          <w:p w:rsidR="00A867A9" w:rsidRPr="009652D5" w:rsidRDefault="005344C1" w:rsidP="00A867A9">
            <w:pPr>
              <w:jc w:val="center"/>
              <w:rPr>
                <w:rFonts w:cs="Arial"/>
                <w:b/>
                <w:bCs/>
                <w:color w:val="000000"/>
                <w:sz w:val="20"/>
                <w:lang w:val="ru-RU"/>
              </w:rPr>
            </w:pPr>
            <w:r>
              <w:rPr>
                <w:rFonts w:cs="Arial"/>
                <w:b/>
                <w:bCs/>
                <w:color w:val="000000"/>
                <w:sz w:val="20"/>
                <w:lang w:val="ru-RU"/>
              </w:rPr>
              <w:t>7 079 585</w:t>
            </w:r>
          </w:p>
        </w:tc>
        <w:tc>
          <w:tcPr>
            <w:tcW w:w="598" w:type="pct"/>
            <w:tcBorders>
              <w:top w:val="nil"/>
              <w:left w:val="nil"/>
              <w:bottom w:val="nil"/>
              <w:right w:val="nil"/>
            </w:tcBorders>
            <w:shd w:val="clear" w:color="auto" w:fill="auto"/>
            <w:noWrap/>
            <w:vAlign w:val="bottom"/>
            <w:hideMark/>
          </w:tcPr>
          <w:p w:rsidR="00A867A9" w:rsidRPr="009652D5" w:rsidRDefault="005344C1" w:rsidP="00A867A9">
            <w:pPr>
              <w:jc w:val="center"/>
              <w:rPr>
                <w:rFonts w:cs="Arial"/>
                <w:b/>
                <w:bCs/>
                <w:color w:val="000000"/>
                <w:sz w:val="20"/>
                <w:lang w:val="ru-RU"/>
              </w:rPr>
            </w:pPr>
            <w:r>
              <w:rPr>
                <w:rFonts w:cs="Arial"/>
                <w:b/>
                <w:bCs/>
                <w:color w:val="000000"/>
                <w:sz w:val="20"/>
                <w:lang w:val="ru-RU"/>
              </w:rPr>
              <w:t>4 335 753</w:t>
            </w:r>
          </w:p>
        </w:tc>
        <w:tc>
          <w:tcPr>
            <w:tcW w:w="657" w:type="pct"/>
            <w:tcBorders>
              <w:top w:val="nil"/>
              <w:left w:val="nil"/>
              <w:bottom w:val="nil"/>
              <w:right w:val="nil"/>
            </w:tcBorders>
            <w:shd w:val="clear" w:color="auto" w:fill="auto"/>
            <w:noWrap/>
            <w:vAlign w:val="bottom"/>
            <w:hideMark/>
          </w:tcPr>
          <w:p w:rsidR="00A867A9" w:rsidRPr="009652D5" w:rsidRDefault="005344C1" w:rsidP="00A867A9">
            <w:pPr>
              <w:jc w:val="center"/>
              <w:rPr>
                <w:rFonts w:cs="Arial"/>
                <w:b/>
                <w:bCs/>
                <w:color w:val="000000"/>
                <w:sz w:val="20"/>
                <w:lang w:val="ru-RU"/>
              </w:rPr>
            </w:pPr>
            <w:r>
              <w:rPr>
                <w:rFonts w:cs="Arial"/>
                <w:b/>
                <w:bCs/>
                <w:color w:val="000000"/>
                <w:sz w:val="20"/>
                <w:lang w:val="ru-RU"/>
              </w:rPr>
              <w:t>46 990 155</w:t>
            </w: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color w:val="000000"/>
                <w:sz w:val="20"/>
                <w:lang w:val="ru-RU"/>
              </w:rPr>
            </w:pP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657"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Кредитные линии</w:t>
            </w: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641 806</w:t>
            </w: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641 806</w:t>
            </w: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Аккредитивы</w:t>
            </w: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6 474</w:t>
            </w: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6 474</w:t>
            </w: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Финансовые гарантии</w:t>
            </w: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2 600 233</w:t>
            </w: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r w:rsidRPr="009652D5">
              <w:rPr>
                <w:rFonts w:cs="Arial"/>
                <w:b/>
                <w:bCs/>
                <w:color w:val="000000"/>
                <w:sz w:val="20"/>
                <w:lang w:val="ru-RU"/>
              </w:rPr>
              <w:t>2 600 233</w:t>
            </w:r>
          </w:p>
        </w:tc>
      </w:tr>
      <w:tr w:rsidR="00B34760" w:rsidRPr="009652D5" w:rsidTr="00A867A9">
        <w:trPr>
          <w:trHeight w:val="300"/>
        </w:trPr>
        <w:tc>
          <w:tcPr>
            <w:tcW w:w="1642" w:type="pct"/>
            <w:tcBorders>
              <w:top w:val="nil"/>
              <w:left w:val="nil"/>
              <w:bottom w:val="nil"/>
              <w:right w:val="nil"/>
            </w:tcBorders>
            <w:shd w:val="clear" w:color="auto" w:fill="auto"/>
            <w:noWrap/>
            <w:vAlign w:val="bottom"/>
            <w:hideMark/>
          </w:tcPr>
          <w:p w:rsidR="00A867A9" w:rsidRPr="009652D5" w:rsidRDefault="00A867A9" w:rsidP="00A867A9">
            <w:pPr>
              <w:rPr>
                <w:rFonts w:cs="Arial"/>
                <w:color w:val="000000"/>
                <w:sz w:val="20"/>
                <w:lang w:val="ru-RU"/>
              </w:rPr>
            </w:pPr>
          </w:p>
        </w:tc>
        <w:tc>
          <w:tcPr>
            <w:tcW w:w="829"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676"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598"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color w:val="000000"/>
                <w:sz w:val="20"/>
                <w:lang w:val="ru-RU"/>
              </w:rPr>
            </w:pPr>
          </w:p>
        </w:tc>
        <w:tc>
          <w:tcPr>
            <w:tcW w:w="657" w:type="pct"/>
            <w:tcBorders>
              <w:top w:val="nil"/>
              <w:left w:val="nil"/>
              <w:bottom w:val="nil"/>
              <w:right w:val="nil"/>
            </w:tcBorders>
            <w:shd w:val="clear" w:color="auto" w:fill="auto"/>
            <w:noWrap/>
            <w:vAlign w:val="bottom"/>
            <w:hideMark/>
          </w:tcPr>
          <w:p w:rsidR="00A867A9" w:rsidRPr="009652D5" w:rsidRDefault="00A867A9" w:rsidP="00A867A9">
            <w:pPr>
              <w:jc w:val="center"/>
              <w:rPr>
                <w:rFonts w:cs="Arial"/>
                <w:b/>
                <w:bCs/>
                <w:color w:val="000000"/>
                <w:sz w:val="20"/>
                <w:lang w:val="ru-RU"/>
              </w:rPr>
            </w:pPr>
          </w:p>
        </w:tc>
      </w:tr>
      <w:tr w:rsidR="00B34760" w:rsidRPr="009652D5" w:rsidTr="00A867A9">
        <w:trPr>
          <w:trHeight w:val="1200"/>
        </w:trPr>
        <w:tc>
          <w:tcPr>
            <w:tcW w:w="1642" w:type="pct"/>
            <w:tcBorders>
              <w:top w:val="nil"/>
              <w:left w:val="nil"/>
              <w:bottom w:val="nil"/>
              <w:right w:val="nil"/>
            </w:tcBorders>
            <w:shd w:val="clear" w:color="auto" w:fill="auto"/>
            <w:vAlign w:val="bottom"/>
            <w:hideMark/>
          </w:tcPr>
          <w:p w:rsidR="00A867A9" w:rsidRPr="009652D5" w:rsidRDefault="00A867A9" w:rsidP="00A867A9">
            <w:pPr>
              <w:rPr>
                <w:rFonts w:cs="Arial"/>
                <w:color w:val="000000"/>
                <w:sz w:val="20"/>
                <w:lang w:val="ru-RU"/>
              </w:rPr>
            </w:pPr>
            <w:r w:rsidRPr="009652D5">
              <w:rPr>
                <w:rFonts w:cs="Arial"/>
                <w:color w:val="000000"/>
                <w:sz w:val="20"/>
                <w:lang w:val="ru-RU"/>
              </w:rPr>
              <w:t>Активы, предназначенные для управления риском ликвидности</w:t>
            </w:r>
          </w:p>
        </w:tc>
        <w:tc>
          <w:tcPr>
            <w:tcW w:w="829" w:type="pct"/>
            <w:tcBorders>
              <w:top w:val="nil"/>
              <w:left w:val="nil"/>
              <w:bottom w:val="nil"/>
              <w:right w:val="nil"/>
            </w:tcBorders>
            <w:shd w:val="clear" w:color="auto" w:fill="auto"/>
            <w:noWrap/>
            <w:vAlign w:val="bottom"/>
            <w:hideMark/>
          </w:tcPr>
          <w:p w:rsidR="00A867A9" w:rsidRPr="009652D5" w:rsidRDefault="00070A07" w:rsidP="00A867A9">
            <w:pPr>
              <w:jc w:val="center"/>
              <w:rPr>
                <w:rFonts w:cs="Arial"/>
                <w:color w:val="000000"/>
                <w:sz w:val="20"/>
                <w:lang w:val="ru-RU"/>
              </w:rPr>
            </w:pPr>
            <w:r>
              <w:rPr>
                <w:rFonts w:cs="Arial"/>
                <w:color w:val="000000"/>
                <w:sz w:val="20"/>
                <w:lang w:val="ru-RU"/>
              </w:rPr>
              <w:t>3 751 759</w:t>
            </w:r>
          </w:p>
        </w:tc>
        <w:tc>
          <w:tcPr>
            <w:tcW w:w="676" w:type="pct"/>
            <w:tcBorders>
              <w:top w:val="nil"/>
              <w:left w:val="nil"/>
              <w:bottom w:val="nil"/>
              <w:right w:val="nil"/>
            </w:tcBorders>
            <w:shd w:val="clear" w:color="auto" w:fill="auto"/>
            <w:noWrap/>
            <w:vAlign w:val="bottom"/>
            <w:hideMark/>
          </w:tcPr>
          <w:p w:rsidR="00A867A9" w:rsidRPr="009652D5" w:rsidRDefault="00070A07" w:rsidP="00A867A9">
            <w:pPr>
              <w:jc w:val="center"/>
              <w:rPr>
                <w:rFonts w:cs="Arial"/>
                <w:color w:val="000000"/>
                <w:sz w:val="20"/>
                <w:lang w:val="ru-RU"/>
              </w:rPr>
            </w:pPr>
            <w:r>
              <w:rPr>
                <w:rFonts w:cs="Arial"/>
                <w:color w:val="000000"/>
                <w:sz w:val="20"/>
                <w:lang w:val="ru-RU"/>
              </w:rPr>
              <w:t>20 447 553</w:t>
            </w:r>
          </w:p>
        </w:tc>
        <w:tc>
          <w:tcPr>
            <w:tcW w:w="598" w:type="pct"/>
            <w:tcBorders>
              <w:top w:val="nil"/>
              <w:left w:val="nil"/>
              <w:bottom w:val="nil"/>
              <w:right w:val="nil"/>
            </w:tcBorders>
            <w:shd w:val="clear" w:color="auto" w:fill="auto"/>
            <w:noWrap/>
            <w:vAlign w:val="bottom"/>
            <w:hideMark/>
          </w:tcPr>
          <w:p w:rsidR="00A867A9" w:rsidRPr="009652D5" w:rsidRDefault="00070A07" w:rsidP="00A867A9">
            <w:pPr>
              <w:jc w:val="center"/>
              <w:rPr>
                <w:rFonts w:cs="Arial"/>
                <w:color w:val="000000"/>
                <w:sz w:val="20"/>
                <w:lang w:val="ru-RU"/>
              </w:rPr>
            </w:pPr>
            <w:r>
              <w:rPr>
                <w:rFonts w:cs="Arial"/>
                <w:color w:val="000000"/>
                <w:sz w:val="20"/>
                <w:lang w:val="ru-RU"/>
              </w:rPr>
              <w:t>19 573 639</w:t>
            </w:r>
          </w:p>
        </w:tc>
        <w:tc>
          <w:tcPr>
            <w:tcW w:w="598" w:type="pct"/>
            <w:tcBorders>
              <w:top w:val="nil"/>
              <w:left w:val="nil"/>
              <w:bottom w:val="nil"/>
              <w:right w:val="nil"/>
            </w:tcBorders>
            <w:shd w:val="clear" w:color="auto" w:fill="auto"/>
            <w:noWrap/>
            <w:vAlign w:val="bottom"/>
            <w:hideMark/>
          </w:tcPr>
          <w:p w:rsidR="00A867A9" w:rsidRPr="009652D5" w:rsidRDefault="00070A07" w:rsidP="00A867A9">
            <w:pPr>
              <w:jc w:val="center"/>
              <w:rPr>
                <w:rFonts w:cs="Arial"/>
                <w:color w:val="000000"/>
                <w:sz w:val="20"/>
                <w:lang w:val="ru-RU"/>
              </w:rPr>
            </w:pPr>
            <w:r>
              <w:rPr>
                <w:rFonts w:cs="Arial"/>
                <w:color w:val="000000"/>
                <w:sz w:val="20"/>
                <w:lang w:val="ru-RU"/>
              </w:rPr>
              <w:t>5 023 465</w:t>
            </w:r>
          </w:p>
        </w:tc>
        <w:tc>
          <w:tcPr>
            <w:tcW w:w="657" w:type="pct"/>
            <w:tcBorders>
              <w:top w:val="nil"/>
              <w:left w:val="nil"/>
              <w:bottom w:val="nil"/>
              <w:right w:val="nil"/>
            </w:tcBorders>
            <w:shd w:val="clear" w:color="auto" w:fill="auto"/>
            <w:noWrap/>
            <w:vAlign w:val="bottom"/>
            <w:hideMark/>
          </w:tcPr>
          <w:p w:rsidR="00A867A9" w:rsidRPr="009652D5" w:rsidRDefault="00070A07" w:rsidP="00A867A9">
            <w:pPr>
              <w:jc w:val="center"/>
              <w:rPr>
                <w:rFonts w:cs="Arial"/>
                <w:b/>
                <w:bCs/>
                <w:color w:val="000000"/>
                <w:sz w:val="20"/>
                <w:lang w:val="ru-RU"/>
              </w:rPr>
            </w:pPr>
            <w:r>
              <w:rPr>
                <w:rFonts w:cs="Arial"/>
                <w:b/>
                <w:bCs/>
                <w:color w:val="000000"/>
                <w:sz w:val="20"/>
                <w:lang w:val="ru-RU"/>
              </w:rPr>
              <w:t>48 796 416</w:t>
            </w:r>
          </w:p>
        </w:tc>
      </w:tr>
    </w:tbl>
    <w:p w:rsidR="00A867A9" w:rsidRPr="009652D5" w:rsidRDefault="00A867A9" w:rsidP="00696A73">
      <w:pPr>
        <w:jc w:val="both"/>
        <w:rPr>
          <w:rFonts w:cs="Arial"/>
          <w:bCs/>
          <w:sz w:val="20"/>
          <w:lang w:val="ru-RU"/>
        </w:rPr>
      </w:pPr>
    </w:p>
    <w:p w:rsidR="00E637B9" w:rsidRPr="009652D5" w:rsidRDefault="00A867A9" w:rsidP="00C06AC5">
      <w:pPr>
        <w:jc w:val="both"/>
        <w:rPr>
          <w:rFonts w:cs="Arial"/>
          <w:bCs/>
          <w:sz w:val="20"/>
          <w:lang w:val="ru-RU"/>
        </w:rPr>
      </w:pPr>
      <w:r w:rsidRPr="009652D5">
        <w:rPr>
          <w:rFonts w:cs="Arial"/>
          <w:bCs/>
          <w:sz w:val="20"/>
          <w:lang w:val="ru-RU"/>
        </w:rPr>
        <w:t>Таблица, приведенная ниже, отражает недисконтированные денежные потоки, подлежащие выплате на основе наиболее ранней даты, когда Банку может быть предъявлено требование платежа на 31 декабря 2013 года.</w:t>
      </w:r>
    </w:p>
    <w:tbl>
      <w:tblPr>
        <w:tblW w:w="5000" w:type="pct"/>
        <w:tblLayout w:type="fixed"/>
        <w:tblLook w:val="04A0"/>
      </w:tblPr>
      <w:tblGrid>
        <w:gridCol w:w="3021"/>
        <w:gridCol w:w="1457"/>
        <w:gridCol w:w="1311"/>
        <w:gridCol w:w="1308"/>
        <w:gridCol w:w="1308"/>
        <w:gridCol w:w="1418"/>
      </w:tblGrid>
      <w:tr w:rsidR="005D4330" w:rsidRPr="009652D5" w:rsidTr="005D4330">
        <w:trPr>
          <w:trHeight w:val="9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741" w:type="pct"/>
            <w:tcBorders>
              <w:top w:val="nil"/>
              <w:left w:val="nil"/>
              <w:bottom w:val="single" w:sz="4" w:space="0" w:color="auto"/>
              <w:right w:val="nil"/>
            </w:tcBorders>
            <w:shd w:val="clear" w:color="auto" w:fill="auto"/>
            <w:vAlign w:val="bottom"/>
            <w:hideMark/>
          </w:tcPr>
          <w:p w:rsidR="005D4330" w:rsidRPr="009652D5" w:rsidRDefault="005D4330" w:rsidP="005D4330">
            <w:pPr>
              <w:jc w:val="center"/>
              <w:rPr>
                <w:rFonts w:cs="Arial"/>
                <w:b/>
                <w:bCs/>
                <w:color w:val="000000"/>
                <w:sz w:val="20"/>
                <w:lang w:val="ru-RU"/>
              </w:rPr>
            </w:pPr>
            <w:r w:rsidRPr="009652D5">
              <w:rPr>
                <w:rFonts w:cs="Arial"/>
                <w:b/>
                <w:bCs/>
                <w:color w:val="000000"/>
                <w:sz w:val="20"/>
                <w:lang w:val="ru-RU"/>
              </w:rPr>
              <w:t>До востребования и менее 1 мес.</w:t>
            </w:r>
          </w:p>
        </w:tc>
        <w:tc>
          <w:tcPr>
            <w:tcW w:w="667" w:type="pct"/>
            <w:tcBorders>
              <w:top w:val="nil"/>
              <w:left w:val="nil"/>
              <w:bottom w:val="single" w:sz="4" w:space="0" w:color="auto"/>
              <w:right w:val="nil"/>
            </w:tcBorders>
            <w:shd w:val="clear" w:color="auto" w:fill="auto"/>
            <w:vAlign w:val="bottom"/>
            <w:hideMark/>
          </w:tcPr>
          <w:p w:rsidR="005D4330" w:rsidRPr="009652D5" w:rsidRDefault="005D4330" w:rsidP="005D4330">
            <w:pPr>
              <w:jc w:val="center"/>
              <w:rPr>
                <w:rFonts w:cs="Arial"/>
                <w:b/>
                <w:bCs/>
                <w:color w:val="000000"/>
                <w:sz w:val="20"/>
                <w:lang w:val="ru-RU"/>
              </w:rPr>
            </w:pPr>
            <w:r w:rsidRPr="009652D5">
              <w:rPr>
                <w:rFonts w:cs="Arial"/>
                <w:b/>
                <w:bCs/>
                <w:color w:val="000000"/>
                <w:sz w:val="20"/>
                <w:lang w:val="ru-RU"/>
              </w:rPr>
              <w:t>От 1 до 6 месяцев</w:t>
            </w:r>
          </w:p>
        </w:tc>
        <w:tc>
          <w:tcPr>
            <w:tcW w:w="666" w:type="pct"/>
            <w:tcBorders>
              <w:top w:val="nil"/>
              <w:left w:val="nil"/>
              <w:bottom w:val="single" w:sz="4" w:space="0" w:color="auto"/>
              <w:right w:val="nil"/>
            </w:tcBorders>
            <w:shd w:val="clear" w:color="auto" w:fill="auto"/>
            <w:vAlign w:val="bottom"/>
            <w:hideMark/>
          </w:tcPr>
          <w:p w:rsidR="005D4330" w:rsidRPr="009652D5" w:rsidRDefault="005D4330" w:rsidP="005D4330">
            <w:pPr>
              <w:jc w:val="center"/>
              <w:rPr>
                <w:rFonts w:cs="Arial"/>
                <w:b/>
                <w:bCs/>
                <w:color w:val="000000"/>
                <w:sz w:val="20"/>
                <w:lang w:val="ru-RU"/>
              </w:rPr>
            </w:pPr>
            <w:r w:rsidRPr="009652D5">
              <w:rPr>
                <w:rFonts w:cs="Arial"/>
                <w:b/>
                <w:bCs/>
                <w:color w:val="000000"/>
                <w:sz w:val="20"/>
                <w:lang w:val="ru-RU"/>
              </w:rPr>
              <w:t>От 6 месяцев до 1 года</w:t>
            </w:r>
          </w:p>
        </w:tc>
        <w:tc>
          <w:tcPr>
            <w:tcW w:w="666" w:type="pct"/>
            <w:tcBorders>
              <w:top w:val="nil"/>
              <w:left w:val="nil"/>
              <w:bottom w:val="single" w:sz="4" w:space="0" w:color="auto"/>
              <w:right w:val="nil"/>
            </w:tcBorders>
            <w:shd w:val="clear" w:color="auto" w:fill="auto"/>
            <w:vAlign w:val="bottom"/>
            <w:hideMark/>
          </w:tcPr>
          <w:p w:rsidR="005D4330" w:rsidRPr="009652D5" w:rsidRDefault="005D4330" w:rsidP="005D4330">
            <w:pPr>
              <w:jc w:val="center"/>
              <w:rPr>
                <w:rFonts w:cs="Arial"/>
                <w:b/>
                <w:bCs/>
                <w:color w:val="000000"/>
                <w:sz w:val="20"/>
                <w:lang w:val="ru-RU"/>
              </w:rPr>
            </w:pPr>
            <w:r w:rsidRPr="009652D5">
              <w:rPr>
                <w:rFonts w:cs="Arial"/>
                <w:b/>
                <w:bCs/>
                <w:color w:val="000000"/>
                <w:sz w:val="20"/>
                <w:lang w:val="ru-RU"/>
              </w:rPr>
              <w:t>Более 1 года</w:t>
            </w:r>
          </w:p>
        </w:tc>
        <w:tc>
          <w:tcPr>
            <w:tcW w:w="722" w:type="pct"/>
            <w:tcBorders>
              <w:top w:val="nil"/>
              <w:left w:val="nil"/>
              <w:bottom w:val="single" w:sz="4" w:space="0" w:color="auto"/>
              <w:right w:val="nil"/>
            </w:tcBorders>
            <w:shd w:val="clear" w:color="auto" w:fill="auto"/>
            <w:vAlign w:val="bottom"/>
            <w:hideMark/>
          </w:tcPr>
          <w:p w:rsidR="005D4330" w:rsidRPr="009652D5" w:rsidRDefault="005D4330" w:rsidP="005D4330">
            <w:pPr>
              <w:jc w:val="center"/>
              <w:rPr>
                <w:rFonts w:cs="Arial"/>
                <w:b/>
                <w:bCs/>
                <w:color w:val="000000"/>
                <w:sz w:val="20"/>
                <w:lang w:val="ru-RU"/>
              </w:rPr>
            </w:pPr>
            <w:r w:rsidRPr="009652D5">
              <w:rPr>
                <w:rFonts w:cs="Arial"/>
                <w:b/>
                <w:bCs/>
                <w:color w:val="000000"/>
                <w:sz w:val="20"/>
                <w:lang w:val="ru-RU"/>
              </w:rPr>
              <w:t>Итого</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b/>
                <w:bCs/>
                <w:color w:val="000000"/>
                <w:sz w:val="20"/>
                <w:lang w:val="ru-RU"/>
              </w:rPr>
            </w:pPr>
            <w:r w:rsidRPr="009652D5">
              <w:rPr>
                <w:rFonts w:cs="Arial"/>
                <w:b/>
                <w:bCs/>
                <w:color w:val="000000"/>
                <w:sz w:val="20"/>
                <w:lang w:val="ru-RU"/>
              </w:rPr>
              <w:t>31 декабря 2013</w:t>
            </w:r>
          </w:p>
        </w:tc>
        <w:tc>
          <w:tcPr>
            <w:tcW w:w="741" w:type="pct"/>
            <w:tcBorders>
              <w:top w:val="nil"/>
              <w:left w:val="nil"/>
              <w:bottom w:val="nil"/>
              <w:right w:val="nil"/>
            </w:tcBorders>
            <w:shd w:val="clear" w:color="auto" w:fill="auto"/>
            <w:vAlign w:val="bottom"/>
            <w:hideMark/>
          </w:tcPr>
          <w:p w:rsidR="005D4330" w:rsidRPr="009652D5" w:rsidRDefault="005D4330" w:rsidP="005D4330">
            <w:pPr>
              <w:jc w:val="center"/>
              <w:rPr>
                <w:rFonts w:cs="Arial"/>
                <w:b/>
                <w:bCs/>
                <w:color w:val="000000"/>
                <w:sz w:val="20"/>
                <w:lang w:val="ru-RU"/>
              </w:rPr>
            </w:pPr>
          </w:p>
        </w:tc>
        <w:tc>
          <w:tcPr>
            <w:tcW w:w="667" w:type="pct"/>
            <w:tcBorders>
              <w:top w:val="nil"/>
              <w:left w:val="nil"/>
              <w:bottom w:val="nil"/>
              <w:right w:val="nil"/>
            </w:tcBorders>
            <w:shd w:val="clear" w:color="auto" w:fill="auto"/>
            <w:vAlign w:val="bottom"/>
            <w:hideMark/>
          </w:tcPr>
          <w:p w:rsidR="005D4330" w:rsidRPr="009652D5" w:rsidRDefault="005D4330" w:rsidP="005D4330">
            <w:pPr>
              <w:jc w:val="center"/>
              <w:rPr>
                <w:rFonts w:cs="Arial"/>
                <w:b/>
                <w:bCs/>
                <w:color w:val="000000"/>
                <w:sz w:val="20"/>
                <w:lang w:val="ru-RU"/>
              </w:rPr>
            </w:pPr>
          </w:p>
        </w:tc>
        <w:tc>
          <w:tcPr>
            <w:tcW w:w="666" w:type="pct"/>
            <w:tcBorders>
              <w:top w:val="nil"/>
              <w:left w:val="nil"/>
              <w:bottom w:val="nil"/>
              <w:right w:val="nil"/>
            </w:tcBorders>
            <w:shd w:val="clear" w:color="auto" w:fill="auto"/>
            <w:vAlign w:val="bottom"/>
            <w:hideMark/>
          </w:tcPr>
          <w:p w:rsidR="005D4330" w:rsidRPr="009652D5" w:rsidRDefault="005D4330" w:rsidP="005D4330">
            <w:pPr>
              <w:jc w:val="center"/>
              <w:rPr>
                <w:rFonts w:cs="Arial"/>
                <w:b/>
                <w:bCs/>
                <w:color w:val="000000"/>
                <w:sz w:val="20"/>
                <w:lang w:val="ru-RU"/>
              </w:rPr>
            </w:pPr>
          </w:p>
        </w:tc>
        <w:tc>
          <w:tcPr>
            <w:tcW w:w="666" w:type="pct"/>
            <w:tcBorders>
              <w:top w:val="nil"/>
              <w:left w:val="nil"/>
              <w:bottom w:val="nil"/>
              <w:right w:val="nil"/>
            </w:tcBorders>
            <w:shd w:val="clear" w:color="auto" w:fill="auto"/>
            <w:vAlign w:val="bottom"/>
            <w:hideMark/>
          </w:tcPr>
          <w:p w:rsidR="005D4330" w:rsidRPr="009652D5" w:rsidRDefault="005D4330" w:rsidP="005D4330">
            <w:pPr>
              <w:jc w:val="center"/>
              <w:rPr>
                <w:rFonts w:cs="Arial"/>
                <w:b/>
                <w:bCs/>
                <w:color w:val="000000"/>
                <w:sz w:val="20"/>
                <w:lang w:val="ru-RU"/>
              </w:rPr>
            </w:pPr>
          </w:p>
        </w:tc>
        <w:tc>
          <w:tcPr>
            <w:tcW w:w="722" w:type="pct"/>
            <w:tcBorders>
              <w:top w:val="nil"/>
              <w:left w:val="nil"/>
              <w:bottom w:val="nil"/>
              <w:right w:val="nil"/>
            </w:tcBorders>
            <w:shd w:val="clear" w:color="auto" w:fill="auto"/>
            <w:vAlign w:val="bottom"/>
            <w:hideMark/>
          </w:tcPr>
          <w:p w:rsidR="005D4330" w:rsidRPr="009652D5" w:rsidRDefault="005D4330" w:rsidP="005D4330">
            <w:pPr>
              <w:jc w:val="center"/>
              <w:rPr>
                <w:rFonts w:cs="Arial"/>
                <w:b/>
                <w:bCs/>
                <w:color w:val="000000"/>
                <w:sz w:val="20"/>
                <w:lang w:val="ru-RU"/>
              </w:rPr>
            </w:pP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Средства кредитных организаций</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1 234 209</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1 651 355</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17 528</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595 046</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3 498 138</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Средства клиентов</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11 402 039</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15 448 018</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11 884 205</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582 377</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39 316 639</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Выпущенные долговые ценные бумаги</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90 155</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201 283</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333 536</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21 341</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646 315</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Субординированные займы</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12 700</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12 700</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1 197 358</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1 222 758</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Прочие обязательства и кредиторская задолженность</w:t>
            </w:r>
          </w:p>
        </w:tc>
        <w:tc>
          <w:tcPr>
            <w:tcW w:w="741" w:type="pct"/>
            <w:tcBorders>
              <w:top w:val="nil"/>
              <w:left w:val="nil"/>
              <w:bottom w:val="single" w:sz="4" w:space="0" w:color="auto"/>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185 903</w:t>
            </w:r>
          </w:p>
        </w:tc>
        <w:tc>
          <w:tcPr>
            <w:tcW w:w="667" w:type="pct"/>
            <w:tcBorders>
              <w:top w:val="nil"/>
              <w:left w:val="nil"/>
              <w:bottom w:val="single" w:sz="4" w:space="0" w:color="auto"/>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single" w:sz="4" w:space="0" w:color="auto"/>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single" w:sz="4" w:space="0" w:color="auto"/>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722" w:type="pct"/>
            <w:tcBorders>
              <w:top w:val="nil"/>
              <w:left w:val="nil"/>
              <w:bottom w:val="single" w:sz="4" w:space="0" w:color="auto"/>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185 903</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b/>
                <w:bCs/>
                <w:color w:val="000000"/>
                <w:sz w:val="20"/>
                <w:lang w:val="ru-RU"/>
              </w:rPr>
            </w:pPr>
            <w:r w:rsidRPr="009652D5">
              <w:rPr>
                <w:rFonts w:cs="Arial"/>
                <w:b/>
                <w:bCs/>
                <w:color w:val="000000"/>
                <w:sz w:val="20"/>
                <w:lang w:val="ru-RU"/>
              </w:rPr>
              <w:t>Итого обязательств</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12 912 306</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17 313 356</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12 247 969</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2 396 122</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44 869 753</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741"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66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666"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666"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722" w:type="pct"/>
            <w:tcBorders>
              <w:top w:val="nil"/>
              <w:left w:val="nil"/>
              <w:bottom w:val="nil"/>
              <w:right w:val="nil"/>
            </w:tcBorders>
            <w:shd w:val="clear" w:color="auto" w:fill="auto"/>
            <w:noWrap/>
            <w:vAlign w:val="bottom"/>
            <w:hideMark/>
          </w:tcPr>
          <w:p w:rsidR="005D4330" w:rsidRPr="009652D5" w:rsidRDefault="005D4330" w:rsidP="005D4330">
            <w:pPr>
              <w:rPr>
                <w:rFonts w:cs="Arial"/>
                <w:b/>
                <w:bCs/>
                <w:color w:val="000000"/>
                <w:sz w:val="20"/>
                <w:lang w:val="ru-RU"/>
              </w:rPr>
            </w:pP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lastRenderedPageBreak/>
              <w:t>Кредитные линии</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1 147 051</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1 147 051</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Аккредитивы</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10 113</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10 113</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Финансовые гарантии</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2 233 567</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2 233 567</w:t>
            </w:r>
          </w:p>
        </w:tc>
      </w:tr>
      <w:tr w:rsidR="005D4330" w:rsidRPr="009652D5" w:rsidTr="005D4330">
        <w:trPr>
          <w:trHeight w:val="300"/>
        </w:trPr>
        <w:tc>
          <w:tcPr>
            <w:tcW w:w="153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741"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667"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666"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666" w:type="pct"/>
            <w:tcBorders>
              <w:top w:val="nil"/>
              <w:left w:val="nil"/>
              <w:bottom w:val="nil"/>
              <w:right w:val="nil"/>
            </w:tcBorders>
            <w:shd w:val="clear" w:color="auto" w:fill="auto"/>
            <w:noWrap/>
            <w:vAlign w:val="bottom"/>
            <w:hideMark/>
          </w:tcPr>
          <w:p w:rsidR="005D4330" w:rsidRPr="009652D5" w:rsidRDefault="005D4330" w:rsidP="005D4330">
            <w:pPr>
              <w:rPr>
                <w:rFonts w:cs="Arial"/>
                <w:color w:val="000000"/>
                <w:sz w:val="20"/>
                <w:lang w:val="ru-RU"/>
              </w:rPr>
            </w:pPr>
          </w:p>
        </w:tc>
        <w:tc>
          <w:tcPr>
            <w:tcW w:w="722" w:type="pct"/>
            <w:tcBorders>
              <w:top w:val="nil"/>
              <w:left w:val="nil"/>
              <w:bottom w:val="nil"/>
              <w:right w:val="nil"/>
            </w:tcBorders>
            <w:shd w:val="clear" w:color="auto" w:fill="auto"/>
            <w:noWrap/>
            <w:vAlign w:val="bottom"/>
            <w:hideMark/>
          </w:tcPr>
          <w:p w:rsidR="005D4330" w:rsidRPr="009652D5" w:rsidRDefault="005D4330" w:rsidP="005D4330">
            <w:pPr>
              <w:rPr>
                <w:rFonts w:cs="Arial"/>
                <w:b/>
                <w:bCs/>
                <w:color w:val="000000"/>
                <w:sz w:val="20"/>
                <w:lang w:val="ru-RU"/>
              </w:rPr>
            </w:pPr>
          </w:p>
        </w:tc>
      </w:tr>
      <w:tr w:rsidR="005D4330" w:rsidRPr="009652D5" w:rsidTr="005D4330">
        <w:trPr>
          <w:trHeight w:val="1200"/>
        </w:trPr>
        <w:tc>
          <w:tcPr>
            <w:tcW w:w="1537" w:type="pct"/>
            <w:tcBorders>
              <w:top w:val="nil"/>
              <w:left w:val="nil"/>
              <w:bottom w:val="nil"/>
              <w:right w:val="nil"/>
            </w:tcBorders>
            <w:shd w:val="clear" w:color="auto" w:fill="auto"/>
            <w:vAlign w:val="bottom"/>
            <w:hideMark/>
          </w:tcPr>
          <w:p w:rsidR="005D4330" w:rsidRPr="009652D5" w:rsidRDefault="005D4330" w:rsidP="005D4330">
            <w:pPr>
              <w:rPr>
                <w:rFonts w:cs="Arial"/>
                <w:color w:val="000000"/>
                <w:sz w:val="20"/>
                <w:lang w:val="ru-RU"/>
              </w:rPr>
            </w:pPr>
            <w:r w:rsidRPr="009652D5">
              <w:rPr>
                <w:rFonts w:cs="Arial"/>
                <w:color w:val="000000"/>
                <w:sz w:val="20"/>
                <w:lang w:val="ru-RU"/>
              </w:rPr>
              <w:t>Активы, предназначенные для управления риском ликвидности</w:t>
            </w:r>
          </w:p>
        </w:tc>
        <w:tc>
          <w:tcPr>
            <w:tcW w:w="741"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2 409 297</w:t>
            </w:r>
          </w:p>
        </w:tc>
        <w:tc>
          <w:tcPr>
            <w:tcW w:w="667"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19 767 923</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15 139 169</w:t>
            </w:r>
          </w:p>
        </w:tc>
        <w:tc>
          <w:tcPr>
            <w:tcW w:w="666"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color w:val="000000"/>
                <w:sz w:val="20"/>
                <w:lang w:val="ru-RU"/>
              </w:rPr>
            </w:pPr>
            <w:r w:rsidRPr="009652D5">
              <w:rPr>
                <w:rFonts w:cs="Arial"/>
                <w:color w:val="000000"/>
                <w:sz w:val="20"/>
                <w:lang w:val="ru-RU"/>
              </w:rPr>
              <w:t>4 953 549</w:t>
            </w:r>
          </w:p>
        </w:tc>
        <w:tc>
          <w:tcPr>
            <w:tcW w:w="722" w:type="pct"/>
            <w:tcBorders>
              <w:top w:val="nil"/>
              <w:left w:val="nil"/>
              <w:bottom w:val="nil"/>
              <w:right w:val="nil"/>
            </w:tcBorders>
            <w:shd w:val="clear" w:color="auto" w:fill="auto"/>
            <w:noWrap/>
            <w:vAlign w:val="bottom"/>
            <w:hideMark/>
          </w:tcPr>
          <w:p w:rsidR="005D4330" w:rsidRPr="009652D5" w:rsidRDefault="005D4330" w:rsidP="005D4330">
            <w:pPr>
              <w:jc w:val="right"/>
              <w:rPr>
                <w:rFonts w:cs="Arial"/>
                <w:b/>
                <w:bCs/>
                <w:color w:val="000000"/>
                <w:sz w:val="20"/>
                <w:lang w:val="ru-RU"/>
              </w:rPr>
            </w:pPr>
            <w:r w:rsidRPr="009652D5">
              <w:rPr>
                <w:rFonts w:cs="Arial"/>
                <w:b/>
                <w:bCs/>
                <w:color w:val="000000"/>
                <w:sz w:val="20"/>
                <w:lang w:val="ru-RU"/>
              </w:rPr>
              <w:t>42 269 938</w:t>
            </w:r>
          </w:p>
        </w:tc>
      </w:tr>
    </w:tbl>
    <w:p w:rsidR="00A867A9" w:rsidRPr="009652D5" w:rsidRDefault="00A867A9" w:rsidP="00CB2696">
      <w:pPr>
        <w:rPr>
          <w:rFonts w:cs="Arial"/>
          <w:sz w:val="20"/>
          <w:lang w:val="ru-RU"/>
        </w:rPr>
      </w:pPr>
    </w:p>
    <w:p w:rsidR="00E637B9" w:rsidRPr="009652D5" w:rsidRDefault="00E637B9" w:rsidP="00CB2696">
      <w:pPr>
        <w:rPr>
          <w:rFonts w:cs="Arial"/>
          <w:sz w:val="20"/>
          <w:lang w:val="ru-RU"/>
        </w:rPr>
      </w:pPr>
    </w:p>
    <w:p w:rsidR="009710BC" w:rsidRPr="009652D5" w:rsidRDefault="009710BC" w:rsidP="008D183B">
      <w:pPr>
        <w:pStyle w:val="210"/>
        <w:shd w:val="clear" w:color="auto" w:fill="auto"/>
        <w:spacing w:line="216" w:lineRule="exact"/>
        <w:ind w:firstLine="0"/>
        <w:jc w:val="both"/>
        <w:rPr>
          <w:b w:val="0"/>
          <w:bCs w:val="0"/>
          <w:color w:val="000000"/>
          <w:sz w:val="20"/>
          <w:szCs w:val="20"/>
        </w:rPr>
      </w:pPr>
      <w:r w:rsidRPr="009652D5">
        <w:rPr>
          <w:b w:val="0"/>
          <w:sz w:val="20"/>
          <w:szCs w:val="20"/>
        </w:rPr>
        <w:t>Требования по поддержанию ликвидности в части возникновения обязательств по выпущенным гарантиям в значительной мере меньше, чем сама сумма подобного рода потенциальных обязательств, так как Банк не ожидает, что наступят обстоятельства, при которых Банку придется возместить средства для их покрытия. Общая сумма обязательств по неиспользованным кредитным линиям, подлежащая выплате, не всегда представляет будущую потребность наличных денег, так как сроки по многим из данных обязательств истекут, или они будут расторгнуты без получения финансирования.</w:t>
      </w:r>
    </w:p>
    <w:p w:rsidR="009710BC" w:rsidRPr="009652D5" w:rsidRDefault="009710BC" w:rsidP="008D183B">
      <w:pPr>
        <w:pStyle w:val="210"/>
        <w:shd w:val="clear" w:color="auto" w:fill="auto"/>
        <w:spacing w:line="221" w:lineRule="exact"/>
        <w:ind w:firstLine="0"/>
        <w:jc w:val="both"/>
        <w:rPr>
          <w:b w:val="0"/>
          <w:sz w:val="20"/>
          <w:szCs w:val="20"/>
        </w:rPr>
      </w:pPr>
      <w:r w:rsidRPr="009652D5">
        <w:rPr>
          <w:b w:val="0"/>
          <w:sz w:val="20"/>
          <w:szCs w:val="20"/>
        </w:rPr>
        <w:t xml:space="preserve">По мнению </w:t>
      </w:r>
      <w:r w:rsidR="00C92525">
        <w:rPr>
          <w:b w:val="0"/>
          <w:sz w:val="20"/>
          <w:szCs w:val="20"/>
        </w:rPr>
        <w:t>р</w:t>
      </w:r>
      <w:r w:rsidRPr="009652D5">
        <w:rPr>
          <w:b w:val="0"/>
          <w:sz w:val="20"/>
          <w:szCs w:val="20"/>
        </w:rPr>
        <w:t>уководства, несмотря на то, что существенная часть клиентских счетов относится к категории до востребования и менее одного месяца, диверсификация этих депозитов по количеству и типам клиентов, а также предыдущий опыт Банка могут свидетельствовать о том, что депозиты обеспечивают долгосрочный и стабильный источник финансирования Банка.</w:t>
      </w:r>
    </w:p>
    <w:p w:rsidR="009710BC" w:rsidRPr="009652D5" w:rsidRDefault="009710BC" w:rsidP="009710BC">
      <w:pPr>
        <w:pStyle w:val="210"/>
        <w:shd w:val="clear" w:color="auto" w:fill="auto"/>
        <w:spacing w:line="221" w:lineRule="exact"/>
        <w:ind w:firstLine="0"/>
        <w:rPr>
          <w:b w:val="0"/>
          <w:bCs w:val="0"/>
          <w:color w:val="000000"/>
          <w:sz w:val="20"/>
          <w:szCs w:val="20"/>
        </w:rPr>
      </w:pPr>
    </w:p>
    <w:p w:rsidR="009710BC" w:rsidRPr="009652D5" w:rsidRDefault="009710BC" w:rsidP="009710BC">
      <w:pPr>
        <w:pStyle w:val="310"/>
        <w:shd w:val="clear" w:color="auto" w:fill="auto"/>
        <w:spacing w:line="200" w:lineRule="exact"/>
        <w:ind w:firstLine="0"/>
        <w:jc w:val="left"/>
      </w:pPr>
      <w:r w:rsidRPr="009652D5">
        <w:rPr>
          <w:rStyle w:val="34"/>
          <w:b/>
          <w:bCs/>
          <w:i/>
          <w:iCs/>
          <w:color w:val="000000"/>
        </w:rPr>
        <w:t>Операционные риски</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Операционные риски - это риски возникновения убытков в результате несоответствия характеру и масштабам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При недостаточном внутреннем контроле операционные риски могут нанести вред репутации, иметь правовые последствия или привести к финансовым убыткам.</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Управление операционным риском осуществляется в соответствии с рекомендациями Банка России и разработанными Банком внутренними документами, определяющими распределение полномочий между органами управления Банка и подразделениями, процедуры идентификации, оценки, мониторинга и контроля (минимизации) операционного риска на всех уровнях организации бизнес-процессов Банка.</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Для минимизации операционных рисков в Банке предусмотрены:</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разграничение полномочий прав доступа;</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закрепление за самостоятельными службами отдельных направлений у</w:t>
      </w:r>
      <w:r w:rsidR="004702AF" w:rsidRPr="009652D5">
        <w:rPr>
          <w:b w:val="0"/>
          <w:sz w:val="20"/>
          <w:szCs w:val="20"/>
        </w:rPr>
        <w:t>правления операционными рисками;</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без</w:t>
      </w:r>
      <w:r w:rsidR="004702AF" w:rsidRPr="009652D5">
        <w:rPr>
          <w:b w:val="0"/>
          <w:sz w:val="20"/>
          <w:szCs w:val="20"/>
        </w:rPr>
        <w:t>опасность информационных систем;</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регламентация бизнес-процессов и контроль за их исполнением;</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экспертиза новых продуктов и услуг, внедрение модели нового продукта на ограниченном круге операций;</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постоянное повышение квалификации персонала;</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сбор и анализ данных о фактически понесённых Банком потерях, вызванных влиянием операционного риска;</w:t>
      </w:r>
    </w:p>
    <w:p w:rsidR="009710BC" w:rsidRPr="009652D5" w:rsidRDefault="009710BC" w:rsidP="004702AF">
      <w:pPr>
        <w:pStyle w:val="210"/>
        <w:numPr>
          <w:ilvl w:val="0"/>
          <w:numId w:val="31"/>
        </w:numPr>
        <w:shd w:val="clear" w:color="auto" w:fill="auto"/>
        <w:spacing w:line="216" w:lineRule="exact"/>
        <w:jc w:val="both"/>
        <w:rPr>
          <w:b w:val="0"/>
          <w:sz w:val="20"/>
          <w:szCs w:val="20"/>
        </w:rPr>
      </w:pPr>
      <w:r w:rsidRPr="009652D5">
        <w:rPr>
          <w:b w:val="0"/>
          <w:sz w:val="20"/>
          <w:szCs w:val="20"/>
        </w:rPr>
        <w:t>формирование резервов под реализованные операционные риски - ошибочно перечисленные суммы, дебиторская задолженность, образованная в результате мошеннических действий и пр.</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Для оценки операционного риска Банк использует базовый подход индикатора. Банк поддерживает собственный капитал на уровне, достаточном для покрытия риска, используя валовую прибыль за последние три года в качестве индикатора.</w:t>
      </w:r>
    </w:p>
    <w:p w:rsidR="004702AF" w:rsidRPr="009652D5" w:rsidRDefault="004702AF" w:rsidP="009710BC">
      <w:pPr>
        <w:pStyle w:val="210"/>
        <w:shd w:val="clear" w:color="auto" w:fill="auto"/>
        <w:spacing w:line="216" w:lineRule="exact"/>
        <w:ind w:firstLine="0"/>
        <w:jc w:val="both"/>
        <w:rPr>
          <w:b w:val="0"/>
          <w:sz w:val="20"/>
          <w:szCs w:val="20"/>
        </w:rPr>
      </w:pPr>
    </w:p>
    <w:p w:rsidR="00014A8B" w:rsidRDefault="00014A8B" w:rsidP="004702AF">
      <w:pPr>
        <w:pStyle w:val="310"/>
        <w:shd w:val="clear" w:color="auto" w:fill="auto"/>
        <w:spacing w:line="200" w:lineRule="exact"/>
        <w:ind w:firstLine="0"/>
        <w:jc w:val="left"/>
        <w:rPr>
          <w:rStyle w:val="34"/>
          <w:b/>
          <w:i/>
          <w:color w:val="000000"/>
        </w:rPr>
      </w:pPr>
    </w:p>
    <w:p w:rsidR="00014A8B" w:rsidRDefault="00014A8B" w:rsidP="004702AF">
      <w:pPr>
        <w:pStyle w:val="310"/>
        <w:shd w:val="clear" w:color="auto" w:fill="auto"/>
        <w:spacing w:line="200" w:lineRule="exact"/>
        <w:ind w:firstLine="0"/>
        <w:jc w:val="left"/>
        <w:rPr>
          <w:rStyle w:val="34"/>
          <w:b/>
          <w:i/>
          <w:color w:val="000000"/>
        </w:rPr>
      </w:pPr>
    </w:p>
    <w:p w:rsidR="00B2704D" w:rsidRDefault="00B2704D" w:rsidP="004702AF">
      <w:pPr>
        <w:pStyle w:val="310"/>
        <w:shd w:val="clear" w:color="auto" w:fill="auto"/>
        <w:spacing w:line="200" w:lineRule="exact"/>
        <w:ind w:firstLine="0"/>
        <w:jc w:val="left"/>
        <w:rPr>
          <w:rStyle w:val="34"/>
          <w:b/>
          <w:i/>
          <w:color w:val="000000"/>
        </w:rPr>
      </w:pPr>
    </w:p>
    <w:p w:rsidR="00B2704D" w:rsidRDefault="00B2704D" w:rsidP="004702AF">
      <w:pPr>
        <w:pStyle w:val="310"/>
        <w:shd w:val="clear" w:color="auto" w:fill="auto"/>
        <w:spacing w:line="200" w:lineRule="exact"/>
        <w:ind w:firstLine="0"/>
        <w:jc w:val="left"/>
        <w:rPr>
          <w:rStyle w:val="34"/>
          <w:b/>
          <w:i/>
          <w:color w:val="000000"/>
        </w:rPr>
      </w:pPr>
    </w:p>
    <w:p w:rsidR="00014A8B" w:rsidRDefault="00014A8B" w:rsidP="004702AF">
      <w:pPr>
        <w:pStyle w:val="310"/>
        <w:shd w:val="clear" w:color="auto" w:fill="auto"/>
        <w:spacing w:line="200" w:lineRule="exact"/>
        <w:ind w:firstLine="0"/>
        <w:jc w:val="left"/>
        <w:rPr>
          <w:rStyle w:val="34"/>
          <w:b/>
          <w:i/>
          <w:color w:val="000000"/>
        </w:rPr>
      </w:pPr>
    </w:p>
    <w:p w:rsidR="009710BC" w:rsidRDefault="009710BC" w:rsidP="004702AF">
      <w:pPr>
        <w:pStyle w:val="310"/>
        <w:shd w:val="clear" w:color="auto" w:fill="auto"/>
        <w:spacing w:line="200" w:lineRule="exact"/>
        <w:ind w:firstLine="0"/>
        <w:jc w:val="left"/>
        <w:rPr>
          <w:rStyle w:val="34"/>
          <w:b/>
          <w:i/>
          <w:color w:val="000000"/>
        </w:rPr>
      </w:pPr>
      <w:r w:rsidRPr="009652D5">
        <w:rPr>
          <w:rStyle w:val="34"/>
          <w:b/>
          <w:i/>
          <w:color w:val="000000"/>
        </w:rPr>
        <w:lastRenderedPageBreak/>
        <w:t>Правовой риск</w:t>
      </w:r>
    </w:p>
    <w:p w:rsidR="00ED3E6F" w:rsidRPr="009652D5" w:rsidRDefault="00ED3E6F" w:rsidP="004702AF">
      <w:pPr>
        <w:pStyle w:val="310"/>
        <w:shd w:val="clear" w:color="auto" w:fill="auto"/>
        <w:spacing w:line="200" w:lineRule="exact"/>
        <w:ind w:firstLine="0"/>
        <w:jc w:val="left"/>
        <w:rPr>
          <w:rStyle w:val="34"/>
          <w:b/>
          <w:i/>
          <w:color w:val="000000"/>
        </w:rPr>
      </w:pP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Правовой риск это риск возникновения убытков вследствие несоблюдения требований нормативных правовых актов и заключенных договоров, допускаемых правовых ошибок при осуществлении деятельности, несовершенства правовой системы (противоречивость законодательства Российской Федерации, отсутствие правовых норм по регулированию отдельных вопросов, возникающих в процессе деятельности Банка), а также нарушений контрагентами Банка нормативных правовых актов и условий заключенных договоров.</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В целях снижения правового риска Банк придерживается всех требований, предъявляемых вышестоящими органами, в том числе и носящих рекомендательный характер. В Банке подобрана высокопрофессиональная команда юристов, действует система согласования внутренних и внешних документов.</w:t>
      </w:r>
    </w:p>
    <w:p w:rsidR="009710BC" w:rsidRPr="009652D5" w:rsidRDefault="009710BC" w:rsidP="009710BC">
      <w:pPr>
        <w:pStyle w:val="210"/>
        <w:shd w:val="clear" w:color="auto" w:fill="auto"/>
        <w:spacing w:line="216" w:lineRule="exact"/>
        <w:ind w:firstLine="0"/>
        <w:jc w:val="both"/>
        <w:rPr>
          <w:b w:val="0"/>
          <w:sz w:val="20"/>
          <w:szCs w:val="20"/>
        </w:rPr>
      </w:pPr>
      <w:r w:rsidRPr="009652D5">
        <w:rPr>
          <w:b w:val="0"/>
          <w:sz w:val="20"/>
          <w:szCs w:val="20"/>
        </w:rPr>
        <w:t>Банк выделяет финансовые и технические ресурсы для обеспечения доступа своих сотрудников к актуальной информации по законодательству РФ, уделяет большое внимание повышению квалификации персонала.</w:t>
      </w:r>
    </w:p>
    <w:p w:rsidR="00014A8B" w:rsidRDefault="00014A8B">
      <w:pPr>
        <w:pStyle w:val="1"/>
        <w:pageBreakBefore/>
        <w:spacing w:before="0"/>
        <w:rPr>
          <w:rFonts w:cs="Arial"/>
          <w:lang w:val="ru-RU"/>
        </w:rPr>
      </w:pPr>
      <w:bookmarkStart w:id="236" w:name="_Toc441479821"/>
      <w:r>
        <w:rPr>
          <w:rFonts w:cs="Arial"/>
          <w:lang w:val="ru-RU"/>
        </w:rPr>
        <w:lastRenderedPageBreak/>
        <w:t>Управление капиталом</w:t>
      </w:r>
      <w:bookmarkEnd w:id="236"/>
    </w:p>
    <w:p w:rsidR="00014A8B" w:rsidRPr="009652D5" w:rsidRDefault="00014A8B" w:rsidP="00014A8B">
      <w:pPr>
        <w:pStyle w:val="210"/>
        <w:shd w:val="clear" w:color="auto" w:fill="auto"/>
        <w:spacing w:line="216" w:lineRule="exact"/>
        <w:ind w:firstLine="0"/>
        <w:jc w:val="both"/>
        <w:rPr>
          <w:b w:val="0"/>
          <w:sz w:val="20"/>
          <w:szCs w:val="20"/>
        </w:rPr>
      </w:pPr>
      <w:r w:rsidRPr="009652D5">
        <w:rPr>
          <w:b w:val="0"/>
          <w:sz w:val="20"/>
          <w:szCs w:val="20"/>
        </w:rPr>
        <w:t>Управление капиталом Банка имеет следующие цели: соблюдать требования к капиталу, обеспечить способности Банка функционировать непрерывно для обеспечения прибыли акционеров; и сохранять собственную свойственную ему капитальную базу для поддержания развития его бизнеса.</w:t>
      </w:r>
    </w:p>
    <w:p w:rsidR="00014A8B" w:rsidRPr="009652D5" w:rsidRDefault="00014A8B" w:rsidP="00014A8B">
      <w:pPr>
        <w:pStyle w:val="210"/>
        <w:shd w:val="clear" w:color="auto" w:fill="auto"/>
        <w:spacing w:line="216" w:lineRule="exact"/>
        <w:ind w:firstLine="0"/>
        <w:jc w:val="both"/>
        <w:rPr>
          <w:b w:val="0"/>
          <w:sz w:val="20"/>
          <w:szCs w:val="20"/>
        </w:rPr>
      </w:pPr>
      <w:r w:rsidRPr="009652D5">
        <w:rPr>
          <w:b w:val="0"/>
          <w:sz w:val="20"/>
          <w:szCs w:val="20"/>
        </w:rPr>
        <w:t>Капитал Банка, который имеет более широкое понятие, чем собственный капитал, при составлении Отчета о финансовом положении Банка разделен на два уровня. Первый уровень включает в себя акционерный капитал (за вычетом балансовой стоимости собственных акций), дополнительный эмиссионный доход и нераспределенную прибыль, включающую прибыль за отчетный период. Второй уровень включает резервы по переоценке ценных бумаг.</w:t>
      </w:r>
    </w:p>
    <w:p w:rsidR="00D36B8B" w:rsidRPr="00464E2A" w:rsidRDefault="00014A8B" w:rsidP="00D36B8B">
      <w:pPr>
        <w:pStyle w:val="210"/>
        <w:shd w:val="clear" w:color="auto" w:fill="auto"/>
        <w:spacing w:line="216" w:lineRule="exact"/>
        <w:ind w:firstLine="0"/>
        <w:jc w:val="both"/>
        <w:rPr>
          <w:sz w:val="20"/>
        </w:rPr>
        <w:sectPr w:rsidR="00D36B8B" w:rsidRPr="00464E2A" w:rsidSect="00E46594">
          <w:pgSz w:w="11909" w:h="16840"/>
          <w:pgMar w:top="1430" w:right="862" w:bottom="1334" w:left="1440" w:header="425" w:footer="3" w:gutter="0"/>
          <w:cols w:space="720"/>
          <w:noEndnote/>
          <w:titlePg/>
          <w:docGrid w:linePitch="360"/>
        </w:sectPr>
      </w:pPr>
      <w:r w:rsidRPr="009652D5">
        <w:rPr>
          <w:b w:val="0"/>
          <w:sz w:val="20"/>
          <w:szCs w:val="20"/>
        </w:rPr>
        <w:t xml:space="preserve">В соответствии с российскими правилами учета </w:t>
      </w:r>
      <w:r>
        <w:rPr>
          <w:b w:val="0"/>
          <w:sz w:val="20"/>
          <w:szCs w:val="20"/>
        </w:rPr>
        <w:t>Банк России</w:t>
      </w:r>
      <w:r w:rsidRPr="009652D5">
        <w:rPr>
          <w:b w:val="0"/>
          <w:sz w:val="20"/>
          <w:szCs w:val="20"/>
        </w:rPr>
        <w:t xml:space="preserve"> обязывает банки поддерживать </w:t>
      </w:r>
      <w:r w:rsidR="00D36B8B">
        <w:rPr>
          <w:b w:val="0"/>
          <w:sz w:val="20"/>
          <w:szCs w:val="20"/>
        </w:rPr>
        <w:t>норматив</w:t>
      </w:r>
      <w:r w:rsidR="00B84D52">
        <w:rPr>
          <w:b w:val="0"/>
          <w:sz w:val="20"/>
          <w:szCs w:val="20"/>
        </w:rPr>
        <w:t xml:space="preserve"> </w:t>
      </w:r>
      <w:r w:rsidRPr="009652D5">
        <w:rPr>
          <w:b w:val="0"/>
          <w:sz w:val="20"/>
          <w:szCs w:val="20"/>
        </w:rPr>
        <w:t xml:space="preserve">достаточности капитала на уровне 10% от активов, взвешенных по риску. По состоянию на 31 декабря 2014 года </w:t>
      </w:r>
      <w:r w:rsidR="00D36B8B">
        <w:rPr>
          <w:b w:val="0"/>
          <w:sz w:val="20"/>
          <w:szCs w:val="20"/>
        </w:rPr>
        <w:t>норматив</w:t>
      </w:r>
      <w:r w:rsidR="00B84D52">
        <w:rPr>
          <w:b w:val="0"/>
          <w:sz w:val="20"/>
          <w:szCs w:val="20"/>
        </w:rPr>
        <w:t xml:space="preserve"> </w:t>
      </w:r>
      <w:r w:rsidRPr="009652D5">
        <w:rPr>
          <w:b w:val="0"/>
          <w:sz w:val="20"/>
          <w:szCs w:val="20"/>
        </w:rPr>
        <w:t>достаточности капитала Банка, рассчитанный таким образом, составлял 10,1% (31 декабря 2013: 10,42%), что соответствует установленному минимальному уровню в 10%.</w:t>
      </w:r>
      <w:r w:rsidR="00947DEB">
        <w:rPr>
          <w:b w:val="0"/>
          <w:sz w:val="20"/>
          <w:szCs w:val="20"/>
        </w:rPr>
        <w:t xml:space="preserve"> </w:t>
      </w:r>
      <w:r w:rsidR="00D36B8B" w:rsidRPr="00D36B8B">
        <w:rPr>
          <w:b w:val="0"/>
          <w:sz w:val="20"/>
        </w:rPr>
        <w:t xml:space="preserve">Норматив </w:t>
      </w:r>
      <w:r w:rsidR="00D36B8B" w:rsidRPr="00D36B8B">
        <w:rPr>
          <w:b w:val="0"/>
          <w:sz w:val="20"/>
          <w:szCs w:val="20"/>
        </w:rPr>
        <w:t>достаточности капитала Банка</w:t>
      </w:r>
      <w:r w:rsidR="00D36B8B" w:rsidRPr="00D36B8B">
        <w:rPr>
          <w:b w:val="0"/>
          <w:sz w:val="20"/>
        </w:rPr>
        <w:t xml:space="preserve"> по состоянию на 31 декабря 2014 года был рассчитан на основе данных годовой бухгалтерской (финансовой) отчетности, составленной в соответствии с требованиями Банка России, о достоверности которой аудиторами было выражено отрицательное мнение.</w:t>
      </w:r>
    </w:p>
    <w:p w:rsidR="006572FF" w:rsidRPr="009652D5" w:rsidRDefault="00931E40">
      <w:pPr>
        <w:pStyle w:val="1"/>
        <w:pageBreakBefore/>
        <w:spacing w:before="0"/>
        <w:rPr>
          <w:rFonts w:cs="Arial"/>
          <w:lang w:val="ru-RU"/>
        </w:rPr>
      </w:pPr>
      <w:bookmarkStart w:id="237" w:name="_Toc441479822"/>
      <w:r w:rsidRPr="009652D5">
        <w:rPr>
          <w:rFonts w:cs="Arial"/>
          <w:lang w:val="ru-RU"/>
        </w:rPr>
        <w:lastRenderedPageBreak/>
        <w:t>Операции со связанными сторонами</w:t>
      </w:r>
      <w:bookmarkEnd w:id="237"/>
    </w:p>
    <w:p w:rsidR="00931E40" w:rsidRPr="009652D5" w:rsidRDefault="00B46367" w:rsidP="00931E40">
      <w:pPr>
        <w:rPr>
          <w:rFonts w:cs="Arial"/>
          <w:sz w:val="20"/>
          <w:lang w:val="ru-RU"/>
        </w:rPr>
      </w:pPr>
      <w:r w:rsidRPr="009652D5">
        <w:rPr>
          <w:rFonts w:cs="Arial"/>
          <w:sz w:val="20"/>
          <w:lang w:val="ru-RU"/>
        </w:rPr>
        <w:t>На 31 декабря 2014 года связанными сторонами Банка являлись:</w:t>
      </w:r>
    </w:p>
    <w:p w:rsidR="00B46367" w:rsidRPr="009652D5" w:rsidRDefault="00B46367" w:rsidP="00931E40">
      <w:pPr>
        <w:rPr>
          <w:rFonts w:cs="Arial"/>
          <w:sz w:val="20"/>
          <w:lang w:val="ru-RU"/>
        </w:rPr>
      </w:pPr>
    </w:p>
    <w:tbl>
      <w:tblPr>
        <w:tblW w:w="5000" w:type="pct"/>
        <w:tblLook w:val="04A0"/>
      </w:tblPr>
      <w:tblGrid>
        <w:gridCol w:w="4174"/>
        <w:gridCol w:w="4327"/>
        <w:gridCol w:w="1070"/>
      </w:tblGrid>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Имя/Название</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Вид деятельности</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4344" w:type="pct"/>
            <w:gridSpan w:val="2"/>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1. Руководящий состав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46554E"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Сомов  Сергей  Александрович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Председатель  Правления, Член Совета директоров</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Захаржевский  Олег  Юрьевич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Председатель Совета директоров</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Кузнецов  Иван  Владимирович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Совета директоров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Алымов  Олег  Витальевич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Совета директоров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Махаури</w:t>
            </w:r>
            <w:r w:rsidR="00B84D52">
              <w:rPr>
                <w:rFonts w:cs="Arial"/>
                <w:color w:val="000000"/>
                <w:sz w:val="20"/>
                <w:lang w:val="ru-RU"/>
              </w:rPr>
              <w:t xml:space="preserve"> </w:t>
            </w:r>
            <w:r w:rsidRPr="009652D5">
              <w:rPr>
                <w:rFonts w:cs="Arial"/>
                <w:color w:val="000000"/>
                <w:sz w:val="20"/>
                <w:lang w:val="ru-RU"/>
              </w:rPr>
              <w:t>Хизар  Даудович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Совета директоров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Рыбальченко  Владимир  Владимирович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Совета директоров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Хойсет</w:t>
            </w:r>
            <w:r w:rsidR="00B84D52">
              <w:rPr>
                <w:rFonts w:cs="Arial"/>
                <w:color w:val="000000"/>
                <w:sz w:val="20"/>
                <w:lang w:val="ru-RU"/>
              </w:rPr>
              <w:t xml:space="preserve"> </w:t>
            </w:r>
            <w:r w:rsidRPr="009652D5">
              <w:rPr>
                <w:rFonts w:cs="Arial"/>
                <w:color w:val="000000"/>
                <w:sz w:val="20"/>
                <w:lang w:val="ru-RU"/>
              </w:rPr>
              <w:t>Петтер</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Совета директоров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Гаркуша  Дмитрий  Владимирович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Правления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Гончарова  Любовь  Анатольевна</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Правления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Козлова  Елена  Владимировна</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Правления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Кушнир  Александр  Иванович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Правления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Леонтьева  Наталья  Александровна</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Член Правления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4344" w:type="pct"/>
            <w:gridSpan w:val="2"/>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2. Акционер</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СПАРЕБАНК 1 НУР-НОРГЕ</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Владеет 9.3% капитала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Захаржевский  Олег  Юрьевич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Владеет 10.4% капитала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Сомов  Сергей  Александрович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Владеет 9.5% капитала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Кузнецов  Иван  Владимирович</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Владеет 7.8% капитала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 xml:space="preserve">"Вест-Инвест"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Владеет 5.2% капитала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"СПИК"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Владеет 5.1% капитала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3. Ассоциированная компания</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46554E"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 xml:space="preserve">"СЕВЕРО-ЗАПАДНЫЙ 1 АЛЬЯНС БАНК" ОАО АКБ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Банк владеет 25% капитала этого Банка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46554E"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5000" w:type="pct"/>
            <w:gridSpan w:val="3"/>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4. Компании, контролируемые руководящим составом</w:t>
            </w:r>
          </w:p>
        </w:tc>
      </w:tr>
      <w:tr w:rsidR="00B46367" w:rsidRPr="009652D5" w:rsidTr="00B46367">
        <w:trPr>
          <w:trHeight w:val="6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Имя/Название</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Член руководящего состава, контролирующий</w:t>
            </w:r>
          </w:p>
        </w:tc>
        <w:tc>
          <w:tcPr>
            <w:tcW w:w="656" w:type="pct"/>
            <w:tcBorders>
              <w:top w:val="nil"/>
              <w:left w:val="nil"/>
              <w:bottom w:val="nil"/>
              <w:right w:val="nil"/>
            </w:tcBorders>
            <w:shd w:val="clear" w:color="auto" w:fill="auto"/>
            <w:vAlign w:val="bottom"/>
            <w:hideMark/>
          </w:tcPr>
          <w:p w:rsidR="00B46367" w:rsidRPr="009652D5" w:rsidRDefault="00B46367" w:rsidP="0025212C">
            <w:pPr>
              <w:jc w:val="center"/>
              <w:rPr>
                <w:rFonts w:cs="Arial"/>
                <w:b/>
                <w:bCs/>
                <w:color w:val="000000"/>
                <w:sz w:val="20"/>
                <w:lang w:val="ru-RU"/>
              </w:rPr>
            </w:pPr>
            <w:r w:rsidRPr="009652D5">
              <w:rPr>
                <w:rFonts w:cs="Arial"/>
                <w:b/>
                <w:bCs/>
                <w:color w:val="000000"/>
                <w:sz w:val="20"/>
                <w:lang w:val="ru-RU"/>
              </w:rPr>
              <w:t>Контроли</w:t>
            </w:r>
            <w:r w:rsidR="0025212C">
              <w:rPr>
                <w:rFonts w:cs="Arial"/>
                <w:b/>
                <w:bCs/>
                <w:color w:val="000000"/>
                <w:sz w:val="20"/>
                <w:lang w:val="ru-RU"/>
              </w:rPr>
              <w:t>-</w:t>
            </w:r>
            <w:r w:rsidRPr="009652D5">
              <w:rPr>
                <w:rFonts w:cs="Arial"/>
                <w:b/>
                <w:bCs/>
                <w:color w:val="000000"/>
                <w:sz w:val="20"/>
                <w:lang w:val="ru-RU"/>
              </w:rPr>
              <w:t>руемая доля, %</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"АлкорОптикс"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"Алкортекнолоджиз инк."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"Алкортекнолоджиз инк."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39.0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"АлкорТекнолоджиз"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82.5</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 "Алкор Холдинг"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"Ангстрем"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"АССОЛЬ"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Махаури  Руслан  Даудович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"Балтийский Альянс"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Алымов  Олег  Витальевич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"Балтпак" ЗАО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35.0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"Барион"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Захаржевская  Татьяна  Павловна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80.0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lastRenderedPageBreak/>
              <w:t xml:space="preserve">"Боулинг 2005"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Сомова  Алла  Петровна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33.3</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"Боулинг 2005"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Захаржевская  Татьяна  Павловна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33.3</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"Деловой альянс"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"Деловой альянс"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Сомова  Алла  Петровна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"Деловой Центр"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"Звезда"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Сомова  Алла  Петровна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"ИВК"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"ИСК "Сфера"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50.1</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"Квадро"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Захаржевская  Татьяна  Павловна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"Кижи"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45.0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"КОММЕРЦ-ЦЕНТР" ЗАО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Гаркуша  Дмитрий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"ЛенЭстейт"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Рыбальченко  Владимир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66.6</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"Ловецкое"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Сомова  Алла  Петровна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"Локи"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95.0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"МиниСтор"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28.6</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"МосГорЛогистик"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Махаури  Руслан  Даудович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"МХД-ГРУП"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МахауриХизар  Даудович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"НБР-ЦЕНТР"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Рыбальченко  Владимир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"НБР-ЦЕНТР"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"Ниотек"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Алымов  Олег  Витальевич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"НПК электронного машиностроения"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Алымов  Сергей  Витальевич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76.0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"НПО "ПРОМАТОМ"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80.0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"НУК"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Алымов  Олег  Витальевич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"НУК"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"НУК"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"НУК"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"ОП "ГРУВЕТ"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Алымов  Сергей  Витальевич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85.0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"Первая линия" ЗАО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99.5</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"Петрожилстрой"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52.5</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"Петро-Оптикс"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85.0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"Сансара" ЗАО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"Вест-Инвест" ООО </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"Синема"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Сомова  Алла  Петровна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66.7</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"Синтар"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МахауриХизар  Даудович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"ТД СПб ЗПС"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42.5</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"ТД СПб ЗПС"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42.5</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"Теллур"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Гаркуша  Дмитрий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"Теллур"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60.0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"Теллур"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Сомова  Алла  Петровна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20.0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"ТОР"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50.1</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"ТЭК-Печора"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Захаржевский  Олег  Юрьевич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75.0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"Управление-К"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"УСК"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Гаркуша  Дмитрий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90.0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"Фонд Инессы" БФ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"Центр"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100.0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lastRenderedPageBreak/>
              <w:t xml:space="preserve">"Электронные билеты "Е-Тикетс"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Кузнецов  Иван  Владимирович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75.0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 xml:space="preserve">"Юридическое бюро "Преображенское" ООО </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Захаржевская  Татьяна  Павловна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50.0</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"ЮЗС"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Сомов  Сергей  Александрович</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19.7</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"ЮЗС"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"Деловой альянс" ООО</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jc w:val="center"/>
              <w:rPr>
                <w:rFonts w:cs="Arial"/>
                <w:sz w:val="20"/>
                <w:lang w:val="ru-RU"/>
              </w:rPr>
            </w:pPr>
            <w:r w:rsidRPr="009652D5">
              <w:rPr>
                <w:rFonts w:cs="Arial"/>
                <w:sz w:val="20"/>
                <w:lang w:val="ru-RU"/>
              </w:rPr>
              <w:t>36.5</w:t>
            </w: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НПО "Измерительные системы" ЗАО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через ПРОМАТОМ</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НПО "ИЗОТОП"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через ПРОМАТОМ</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НПО "РМЦ"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через ПРОМАТОМ</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НПО "ЭЛЕКТРОН+"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через ПРОМАТОМ</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"Техноинвест" ООО</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через ПРОМАТОМ</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r w:rsidR="00B46367" w:rsidRPr="009652D5" w:rsidTr="00B46367">
        <w:trPr>
          <w:trHeight w:val="300"/>
        </w:trPr>
        <w:tc>
          <w:tcPr>
            <w:tcW w:w="2121" w:type="pct"/>
            <w:tcBorders>
              <w:top w:val="nil"/>
              <w:left w:val="nil"/>
              <w:bottom w:val="nil"/>
              <w:right w:val="nil"/>
            </w:tcBorders>
            <w:shd w:val="clear" w:color="auto" w:fill="auto"/>
            <w:noWrap/>
            <w:vAlign w:val="bottom"/>
            <w:hideMark/>
          </w:tcPr>
          <w:p w:rsidR="00B46367" w:rsidRPr="009652D5" w:rsidRDefault="00B46367" w:rsidP="00B46367">
            <w:pPr>
              <w:rPr>
                <w:rFonts w:cs="Arial"/>
                <w:sz w:val="20"/>
                <w:lang w:val="ru-RU"/>
              </w:rPr>
            </w:pPr>
            <w:r w:rsidRPr="009652D5">
              <w:rPr>
                <w:rFonts w:cs="Arial"/>
                <w:sz w:val="20"/>
                <w:lang w:val="ru-RU"/>
              </w:rPr>
              <w:t>"Главная-25" ТСЖ</w:t>
            </w:r>
          </w:p>
        </w:tc>
        <w:tc>
          <w:tcPr>
            <w:tcW w:w="2223"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через ИСК "Сфера"</w:t>
            </w:r>
          </w:p>
        </w:tc>
        <w:tc>
          <w:tcPr>
            <w:tcW w:w="656"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r>
    </w:tbl>
    <w:p w:rsidR="00B46367" w:rsidRPr="009652D5" w:rsidRDefault="00B46367" w:rsidP="00931E40">
      <w:pPr>
        <w:rPr>
          <w:rFonts w:cs="Arial"/>
          <w:sz w:val="20"/>
          <w:lang w:val="ru-RU"/>
        </w:rPr>
      </w:pPr>
    </w:p>
    <w:p w:rsidR="00B46367" w:rsidRPr="009652D5" w:rsidRDefault="00B46367" w:rsidP="00B84D52">
      <w:pPr>
        <w:jc w:val="both"/>
        <w:rPr>
          <w:rFonts w:cs="Arial"/>
          <w:sz w:val="20"/>
          <w:lang w:val="ru-RU"/>
        </w:rPr>
      </w:pPr>
      <w:r w:rsidRPr="009652D5">
        <w:rPr>
          <w:rFonts w:cs="Arial"/>
          <w:sz w:val="20"/>
          <w:lang w:val="ru-RU"/>
        </w:rPr>
        <w:t>За отчетный период Банк заключил ряд сделок при проведении обычной деятельности с различными связанными сторонами. Эти сделки выключали взаиморасчеты, кредиты, принятие вкладов, торговое финансирование.</w:t>
      </w:r>
    </w:p>
    <w:p w:rsidR="00B46367" w:rsidRPr="009652D5" w:rsidRDefault="00B46367" w:rsidP="00B84D52">
      <w:pPr>
        <w:jc w:val="both"/>
        <w:rPr>
          <w:rFonts w:cs="Arial"/>
          <w:sz w:val="20"/>
          <w:lang w:val="ru-RU"/>
        </w:rPr>
      </w:pPr>
    </w:p>
    <w:p w:rsidR="00B46367" w:rsidRPr="009652D5" w:rsidRDefault="00B46367" w:rsidP="00B84D52">
      <w:pPr>
        <w:jc w:val="both"/>
        <w:rPr>
          <w:rFonts w:cs="Arial"/>
          <w:sz w:val="20"/>
          <w:lang w:val="ru-RU"/>
        </w:rPr>
      </w:pPr>
      <w:r w:rsidRPr="009652D5">
        <w:rPr>
          <w:rFonts w:cs="Arial"/>
          <w:sz w:val="20"/>
          <w:lang w:val="ru-RU"/>
        </w:rPr>
        <w:t>Ниже представлены общие суммы операций, совершенных Банком со связанными сторонами в течение года:</w:t>
      </w:r>
    </w:p>
    <w:p w:rsidR="00B46367" w:rsidRPr="009652D5" w:rsidRDefault="00B46367" w:rsidP="00931E40">
      <w:pPr>
        <w:rPr>
          <w:rFonts w:cs="Arial"/>
          <w:sz w:val="20"/>
          <w:lang w:val="ru-RU"/>
        </w:rPr>
      </w:pPr>
    </w:p>
    <w:tbl>
      <w:tblPr>
        <w:tblW w:w="5147" w:type="pct"/>
        <w:tblLayout w:type="fixed"/>
        <w:tblLook w:val="04A0"/>
      </w:tblPr>
      <w:tblGrid>
        <w:gridCol w:w="1920"/>
        <w:gridCol w:w="1255"/>
        <w:gridCol w:w="1519"/>
        <w:gridCol w:w="1088"/>
        <w:gridCol w:w="181"/>
        <w:gridCol w:w="1233"/>
        <w:gridCol w:w="1277"/>
        <w:gridCol w:w="1379"/>
      </w:tblGrid>
      <w:tr w:rsidR="00B46367" w:rsidRPr="009652D5" w:rsidTr="00CF2EC8">
        <w:trPr>
          <w:trHeight w:val="1140"/>
        </w:trPr>
        <w:tc>
          <w:tcPr>
            <w:tcW w:w="974"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637"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Акцио</w:t>
            </w:r>
            <w:r w:rsidR="00885AAE" w:rsidRPr="009652D5">
              <w:rPr>
                <w:rFonts w:cs="Arial"/>
                <w:b/>
                <w:bCs/>
                <w:color w:val="000000"/>
                <w:sz w:val="20"/>
                <w:lang w:val="ru-RU"/>
              </w:rPr>
              <w:t>-</w:t>
            </w:r>
            <w:r w:rsidRPr="009652D5">
              <w:rPr>
                <w:rFonts w:cs="Arial"/>
                <w:b/>
                <w:bCs/>
                <w:color w:val="000000"/>
                <w:sz w:val="20"/>
                <w:lang w:val="ru-RU"/>
              </w:rPr>
              <w:t>неры</w:t>
            </w:r>
          </w:p>
        </w:tc>
        <w:tc>
          <w:tcPr>
            <w:tcW w:w="771"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Члены руководя</w:t>
            </w:r>
            <w:r w:rsidR="00885AAE" w:rsidRPr="009652D5">
              <w:rPr>
                <w:rFonts w:cs="Arial"/>
                <w:b/>
                <w:bCs/>
                <w:color w:val="000000"/>
                <w:sz w:val="20"/>
                <w:lang w:val="ru-RU"/>
              </w:rPr>
              <w:t>-</w:t>
            </w:r>
            <w:r w:rsidRPr="009652D5">
              <w:rPr>
                <w:rFonts w:cs="Arial"/>
                <w:b/>
                <w:bCs/>
                <w:color w:val="000000"/>
                <w:sz w:val="20"/>
                <w:lang w:val="ru-RU"/>
              </w:rPr>
              <w:t>щего состава</w:t>
            </w:r>
          </w:p>
        </w:tc>
        <w:tc>
          <w:tcPr>
            <w:tcW w:w="552"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Ассоции-рован</w:t>
            </w:r>
            <w:r w:rsidR="00885AAE" w:rsidRPr="009652D5">
              <w:rPr>
                <w:rFonts w:cs="Arial"/>
                <w:b/>
                <w:bCs/>
                <w:color w:val="000000"/>
                <w:sz w:val="20"/>
                <w:lang w:val="ru-RU"/>
              </w:rPr>
              <w:t>-</w:t>
            </w:r>
            <w:r w:rsidRPr="009652D5">
              <w:rPr>
                <w:rFonts w:cs="Arial"/>
                <w:b/>
                <w:bCs/>
                <w:color w:val="000000"/>
                <w:sz w:val="20"/>
                <w:lang w:val="ru-RU"/>
              </w:rPr>
              <w:t>ныекомпа</w:t>
            </w:r>
            <w:r w:rsidR="00885AAE" w:rsidRPr="009652D5">
              <w:rPr>
                <w:rFonts w:cs="Arial"/>
                <w:b/>
                <w:bCs/>
                <w:color w:val="000000"/>
                <w:sz w:val="20"/>
                <w:lang w:val="ru-RU"/>
              </w:rPr>
              <w:t>-</w:t>
            </w:r>
            <w:r w:rsidRPr="009652D5">
              <w:rPr>
                <w:rFonts w:cs="Arial"/>
                <w:b/>
                <w:bCs/>
                <w:color w:val="000000"/>
                <w:sz w:val="20"/>
                <w:lang w:val="ru-RU"/>
              </w:rPr>
              <w:t>нии</w:t>
            </w:r>
          </w:p>
        </w:tc>
        <w:tc>
          <w:tcPr>
            <w:tcW w:w="718" w:type="pct"/>
            <w:gridSpan w:val="2"/>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Компании, контроли</w:t>
            </w:r>
            <w:r w:rsidR="00885AAE" w:rsidRPr="009652D5">
              <w:rPr>
                <w:rFonts w:cs="Arial"/>
                <w:b/>
                <w:bCs/>
                <w:color w:val="000000"/>
                <w:sz w:val="20"/>
                <w:lang w:val="ru-RU"/>
              </w:rPr>
              <w:t>-</w:t>
            </w:r>
            <w:r w:rsidRPr="009652D5">
              <w:rPr>
                <w:rFonts w:cs="Arial"/>
                <w:b/>
                <w:bCs/>
                <w:color w:val="000000"/>
                <w:sz w:val="20"/>
                <w:lang w:val="ru-RU"/>
              </w:rPr>
              <w:t>руемые руководя</w:t>
            </w:r>
            <w:r w:rsidR="00885AAE" w:rsidRPr="009652D5">
              <w:rPr>
                <w:rFonts w:cs="Arial"/>
                <w:b/>
                <w:bCs/>
                <w:color w:val="000000"/>
                <w:sz w:val="20"/>
                <w:lang w:val="ru-RU"/>
              </w:rPr>
              <w:t>-</w:t>
            </w:r>
            <w:r w:rsidRPr="009652D5">
              <w:rPr>
                <w:rFonts w:cs="Arial"/>
                <w:b/>
                <w:bCs/>
                <w:color w:val="000000"/>
                <w:sz w:val="20"/>
                <w:lang w:val="ru-RU"/>
              </w:rPr>
              <w:t>щим составом</w:t>
            </w:r>
          </w:p>
        </w:tc>
        <w:tc>
          <w:tcPr>
            <w:tcW w:w="648"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Итого</w:t>
            </w:r>
          </w:p>
        </w:tc>
        <w:tc>
          <w:tcPr>
            <w:tcW w:w="701"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Итого по категориям</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Отчет о финансовом положении</w:t>
            </w:r>
          </w:p>
        </w:tc>
        <w:tc>
          <w:tcPr>
            <w:tcW w:w="637"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71"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552"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18" w:type="pct"/>
            <w:gridSpan w:val="2"/>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8"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01"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r>
      <w:tr w:rsidR="00B46367" w:rsidRPr="009652D5" w:rsidTr="00CF2EC8">
        <w:trPr>
          <w:trHeight w:val="300"/>
        </w:trPr>
        <w:tc>
          <w:tcPr>
            <w:tcW w:w="974"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Кредиты клиентам:</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начало года валовые (Прим.8)</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6 550</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1 464</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1 834 090</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1 842 104</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38 922 010</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Выданные в течение года</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27 000</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1 475 241</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1 502 241</w:t>
            </w:r>
          </w:p>
        </w:tc>
        <w:tc>
          <w:tcPr>
            <w:tcW w:w="701" w:type="pct"/>
            <w:tcBorders>
              <w:top w:val="nil"/>
              <w:left w:val="nil"/>
              <w:bottom w:val="nil"/>
              <w:right w:val="nil"/>
            </w:tcBorders>
            <w:shd w:val="clear" w:color="auto" w:fill="auto"/>
            <w:vAlign w:val="bottom"/>
            <w:hideMark/>
          </w:tcPr>
          <w:p w:rsidR="00B46367" w:rsidRPr="009652D5" w:rsidRDefault="00500E52" w:rsidP="00B46367">
            <w:pPr>
              <w:jc w:val="right"/>
              <w:rPr>
                <w:rFonts w:cs="Arial"/>
                <w:color w:val="000000"/>
                <w:sz w:val="20"/>
                <w:lang w:val="ru-RU"/>
              </w:rPr>
            </w:pPr>
            <w:r w:rsidRPr="009652D5">
              <w:rPr>
                <w:rFonts w:cs="Arial"/>
                <w:color w:val="000000"/>
                <w:sz w:val="20"/>
                <w:lang w:val="ru-RU"/>
              </w:rPr>
              <w:t>-</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Погашенные в течение года</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6 550</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3 705</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2 495 213</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2 505 468</w:t>
            </w:r>
          </w:p>
        </w:tc>
        <w:tc>
          <w:tcPr>
            <w:tcW w:w="701" w:type="pct"/>
            <w:tcBorders>
              <w:top w:val="nil"/>
              <w:left w:val="nil"/>
              <w:bottom w:val="nil"/>
              <w:right w:val="nil"/>
            </w:tcBorders>
            <w:shd w:val="clear" w:color="auto" w:fill="auto"/>
            <w:vAlign w:val="bottom"/>
            <w:hideMark/>
          </w:tcPr>
          <w:p w:rsidR="00B46367" w:rsidRPr="009652D5" w:rsidRDefault="00500E52" w:rsidP="00B46367">
            <w:pPr>
              <w:jc w:val="right"/>
              <w:rPr>
                <w:rFonts w:cs="Arial"/>
                <w:color w:val="000000"/>
                <w:sz w:val="20"/>
                <w:lang w:val="ru-RU"/>
              </w:rPr>
            </w:pPr>
            <w:r w:rsidRPr="009652D5">
              <w:rPr>
                <w:rFonts w:cs="Arial"/>
                <w:color w:val="000000"/>
                <w:sz w:val="20"/>
                <w:lang w:val="ru-RU"/>
              </w:rPr>
              <w:t>-</w:t>
            </w:r>
          </w:p>
        </w:tc>
      </w:tr>
      <w:tr w:rsidR="00B46367" w:rsidRPr="009652D5" w:rsidTr="00CF2EC8">
        <w:trPr>
          <w:trHeight w:val="3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конец года, валовые</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24 759</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814 118</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838 877</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45 139 025</w:t>
            </w:r>
          </w:p>
        </w:tc>
      </w:tr>
      <w:tr w:rsidR="00B46367" w:rsidRPr="009652D5" w:rsidTr="00CF2EC8">
        <w:trPr>
          <w:trHeight w:val="33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Резерв под обесценение</w:t>
            </w:r>
          </w:p>
        </w:tc>
        <w:tc>
          <w:tcPr>
            <w:tcW w:w="637"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(33)</w:t>
            </w:r>
          </w:p>
        </w:tc>
        <w:tc>
          <w:tcPr>
            <w:tcW w:w="644" w:type="pct"/>
            <w:gridSpan w:val="2"/>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(71 360)</w:t>
            </w:r>
          </w:p>
        </w:tc>
        <w:tc>
          <w:tcPr>
            <w:tcW w:w="648"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(71 393)</w:t>
            </w:r>
          </w:p>
        </w:tc>
        <w:tc>
          <w:tcPr>
            <w:tcW w:w="701"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(34 163 772)</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конец года, чистые (Прим.8)</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24 726</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742 758</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767 484</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10 975 253</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Средства других банков (Прим.15)</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449</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449</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411 383</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Текущие счета клиентов (Прим.16)</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3 933</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1 349</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94 812</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130 901</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230 995</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39 926 803</w:t>
            </w:r>
          </w:p>
        </w:tc>
      </w:tr>
      <w:tr w:rsidR="00B46367" w:rsidRPr="009652D5" w:rsidTr="00CF2EC8">
        <w:trPr>
          <w:trHeight w:val="3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Депозиты клиентов</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r>
      <w:tr w:rsidR="00B46367" w:rsidRPr="009652D5" w:rsidTr="00CF2EC8">
        <w:trPr>
          <w:trHeight w:val="315"/>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начало года (Прим.16)</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992 722</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216 049</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260 964</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1 469 735</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28 264 013</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lastRenderedPageBreak/>
              <w:t>Стали связанными в течение периода</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Привлеченные в течение года</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2 249 323</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156 235</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2 025 118</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223 018</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4 653 694</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106D76">
            <w:pPr>
              <w:rPr>
                <w:rFonts w:cs="Arial"/>
                <w:color w:val="000000"/>
                <w:sz w:val="20"/>
                <w:lang w:val="ru-RU"/>
              </w:rPr>
            </w:pPr>
            <w:r w:rsidRPr="009652D5">
              <w:rPr>
                <w:rFonts w:cs="Arial"/>
                <w:color w:val="000000"/>
                <w:sz w:val="20"/>
                <w:lang w:val="ru-RU"/>
              </w:rPr>
              <w:t>Возвращенные в течение года</w:t>
            </w:r>
          </w:p>
        </w:tc>
        <w:tc>
          <w:tcPr>
            <w:tcW w:w="637"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(2 198 369)</w:t>
            </w:r>
          </w:p>
        </w:tc>
        <w:tc>
          <w:tcPr>
            <w:tcW w:w="771"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(376 280)</w:t>
            </w:r>
          </w:p>
        </w:tc>
        <w:tc>
          <w:tcPr>
            <w:tcW w:w="644" w:type="pct"/>
            <w:gridSpan w:val="2"/>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(1 885 311)</w:t>
            </w:r>
          </w:p>
        </w:tc>
        <w:tc>
          <w:tcPr>
            <w:tcW w:w="626"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(482 908)</w:t>
            </w:r>
          </w:p>
        </w:tc>
        <w:tc>
          <w:tcPr>
            <w:tcW w:w="648"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(4 942 868)</w:t>
            </w:r>
          </w:p>
        </w:tc>
        <w:tc>
          <w:tcPr>
            <w:tcW w:w="701"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r>
      <w:tr w:rsidR="00B46367" w:rsidRPr="009652D5" w:rsidTr="00CF2EC8">
        <w:trPr>
          <w:trHeight w:val="3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конец года (Прим.16)</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1 043 676</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(3 996)</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139 807</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1 074</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1 180 561</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38 181 721</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Выпущенные ценные бумаги</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r>
      <w:tr w:rsidR="00B46367" w:rsidRPr="009652D5" w:rsidTr="00CF2EC8">
        <w:trPr>
          <w:trHeight w:val="33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начало года (Прим.17)</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21 000</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21 000</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578 786</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Выпущенные в течение года</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Погашение в течение года</w:t>
            </w:r>
          </w:p>
        </w:tc>
        <w:tc>
          <w:tcPr>
            <w:tcW w:w="637"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8" w:type="pct"/>
            <w:tcBorders>
              <w:top w:val="nil"/>
              <w:left w:val="nil"/>
              <w:bottom w:val="single" w:sz="4" w:space="0" w:color="auto"/>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701" w:type="pct"/>
            <w:tcBorders>
              <w:top w:val="nil"/>
              <w:left w:val="nil"/>
              <w:bottom w:val="single" w:sz="4" w:space="0" w:color="auto"/>
              <w:right w:val="nil"/>
            </w:tcBorders>
            <w:shd w:val="clear" w:color="auto" w:fill="auto"/>
            <w:vAlign w:val="bottom"/>
            <w:hideMark/>
          </w:tcPr>
          <w:p w:rsidR="00B46367" w:rsidRPr="009652D5" w:rsidRDefault="00500E52" w:rsidP="00B46367">
            <w:pPr>
              <w:jc w:val="right"/>
              <w:rPr>
                <w:rFonts w:cs="Arial"/>
                <w:color w:val="000000"/>
                <w:sz w:val="20"/>
                <w:lang w:val="ru-RU"/>
              </w:rPr>
            </w:pPr>
            <w:r w:rsidRPr="009652D5">
              <w:rPr>
                <w:rFonts w:cs="Arial"/>
                <w:color w:val="000000"/>
                <w:sz w:val="20"/>
                <w:lang w:val="ru-RU"/>
              </w:rPr>
              <w:t>-</w:t>
            </w:r>
            <w:r w:rsidR="00B46367" w:rsidRPr="009652D5">
              <w:rPr>
                <w:rFonts w:cs="Arial"/>
                <w:color w:val="000000"/>
                <w:sz w:val="20"/>
                <w:lang w:val="ru-RU"/>
              </w:rPr>
              <w:t> </w:t>
            </w:r>
          </w:p>
        </w:tc>
      </w:tr>
      <w:tr w:rsidR="00B46367" w:rsidRPr="009652D5" w:rsidTr="00CF2EC8">
        <w:trPr>
          <w:trHeight w:val="3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На конец года (Прим.17)</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21 000</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21 000</w:t>
            </w:r>
          </w:p>
        </w:tc>
        <w:tc>
          <w:tcPr>
            <w:tcW w:w="701"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172 305</w:t>
            </w:r>
          </w:p>
        </w:tc>
      </w:tr>
      <w:tr w:rsidR="00B46367" w:rsidRPr="009652D5" w:rsidTr="00CF2EC8">
        <w:trPr>
          <w:trHeight w:val="600"/>
        </w:trPr>
        <w:tc>
          <w:tcPr>
            <w:tcW w:w="974"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Гарантии выданные (Прим.31)</w:t>
            </w:r>
          </w:p>
        </w:tc>
        <w:tc>
          <w:tcPr>
            <w:tcW w:w="63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771"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4" w:type="pct"/>
            <w:gridSpan w:val="2"/>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2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48"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701" w:type="pct"/>
            <w:tcBorders>
              <w:top w:val="nil"/>
              <w:left w:val="nil"/>
              <w:bottom w:val="nil"/>
              <w:right w:val="nil"/>
            </w:tcBorders>
            <w:shd w:val="clear" w:color="auto" w:fill="auto"/>
            <w:vAlign w:val="bottom"/>
            <w:hideMark/>
          </w:tcPr>
          <w:p w:rsidR="00B46367" w:rsidRPr="009652D5" w:rsidRDefault="00500E52" w:rsidP="00B46367">
            <w:pPr>
              <w:jc w:val="right"/>
              <w:rPr>
                <w:rFonts w:cs="Arial"/>
                <w:color w:val="000000"/>
                <w:sz w:val="20"/>
                <w:lang w:val="ru-RU"/>
              </w:rPr>
            </w:pPr>
            <w:r w:rsidRPr="009652D5">
              <w:rPr>
                <w:rFonts w:cs="Arial"/>
                <w:color w:val="000000"/>
                <w:sz w:val="20"/>
                <w:lang w:val="ru-RU"/>
              </w:rPr>
              <w:t>-</w:t>
            </w:r>
          </w:p>
        </w:tc>
      </w:tr>
    </w:tbl>
    <w:p w:rsidR="00B46367" w:rsidRPr="009652D5" w:rsidRDefault="00B46367" w:rsidP="00931E40">
      <w:pPr>
        <w:rPr>
          <w:rFonts w:cs="Arial"/>
          <w:sz w:val="20"/>
          <w:lang w:val="ru-RU"/>
        </w:rPr>
      </w:pPr>
    </w:p>
    <w:p w:rsidR="00B46367" w:rsidRPr="009652D5" w:rsidRDefault="00B46367" w:rsidP="00931E40">
      <w:pPr>
        <w:rPr>
          <w:rFonts w:cs="Arial"/>
          <w:sz w:val="20"/>
          <w:lang w:val="ru-RU"/>
        </w:rPr>
      </w:pPr>
    </w:p>
    <w:tbl>
      <w:tblPr>
        <w:tblW w:w="5095" w:type="pct"/>
        <w:tblLayout w:type="fixed"/>
        <w:tblLook w:val="04A0"/>
      </w:tblPr>
      <w:tblGrid>
        <w:gridCol w:w="1616"/>
        <w:gridCol w:w="1469"/>
        <w:gridCol w:w="1274"/>
        <w:gridCol w:w="1280"/>
        <w:gridCol w:w="1560"/>
        <w:gridCol w:w="1282"/>
        <w:gridCol w:w="1272"/>
      </w:tblGrid>
      <w:tr w:rsidR="00CF2EC8" w:rsidRPr="009652D5" w:rsidTr="00106D76">
        <w:trPr>
          <w:trHeight w:val="1500"/>
        </w:trPr>
        <w:tc>
          <w:tcPr>
            <w:tcW w:w="828" w:type="pct"/>
            <w:tcBorders>
              <w:top w:val="nil"/>
              <w:left w:val="nil"/>
              <w:bottom w:val="nil"/>
              <w:right w:val="nil"/>
            </w:tcBorders>
            <w:shd w:val="clear" w:color="auto" w:fill="auto"/>
            <w:noWrap/>
            <w:vAlign w:val="bottom"/>
            <w:hideMark/>
          </w:tcPr>
          <w:p w:rsidR="00B46367" w:rsidRPr="009652D5" w:rsidRDefault="00B46367" w:rsidP="00B46367">
            <w:pPr>
              <w:rPr>
                <w:rFonts w:cs="Arial"/>
                <w:color w:val="000000"/>
                <w:sz w:val="20"/>
                <w:lang w:val="ru-RU"/>
              </w:rPr>
            </w:pPr>
          </w:p>
        </w:tc>
        <w:tc>
          <w:tcPr>
            <w:tcW w:w="753"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Акционеры</w:t>
            </w:r>
          </w:p>
        </w:tc>
        <w:tc>
          <w:tcPr>
            <w:tcW w:w="653"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Члены руководя</w:t>
            </w:r>
            <w:r w:rsidR="00CF2EC8">
              <w:rPr>
                <w:rFonts w:cs="Arial"/>
                <w:b/>
                <w:bCs/>
                <w:color w:val="000000"/>
                <w:sz w:val="20"/>
                <w:lang w:val="ru-RU"/>
              </w:rPr>
              <w:t>-</w:t>
            </w:r>
            <w:r w:rsidRPr="009652D5">
              <w:rPr>
                <w:rFonts w:cs="Arial"/>
                <w:b/>
                <w:bCs/>
                <w:color w:val="000000"/>
                <w:sz w:val="20"/>
                <w:lang w:val="ru-RU"/>
              </w:rPr>
              <w:t>щего состава</w:t>
            </w:r>
          </w:p>
        </w:tc>
        <w:tc>
          <w:tcPr>
            <w:tcW w:w="656"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Ассоции-рованные компании</w:t>
            </w:r>
          </w:p>
        </w:tc>
        <w:tc>
          <w:tcPr>
            <w:tcW w:w="800"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Компании, контроли</w:t>
            </w:r>
            <w:r w:rsidR="00CF2EC8">
              <w:rPr>
                <w:rFonts w:cs="Arial"/>
                <w:b/>
                <w:bCs/>
                <w:color w:val="000000"/>
                <w:sz w:val="20"/>
                <w:lang w:val="ru-RU"/>
              </w:rPr>
              <w:t>-</w:t>
            </w:r>
            <w:r w:rsidRPr="009652D5">
              <w:rPr>
                <w:rFonts w:cs="Arial"/>
                <w:b/>
                <w:bCs/>
                <w:color w:val="000000"/>
                <w:sz w:val="20"/>
                <w:lang w:val="ru-RU"/>
              </w:rPr>
              <w:t>руемые руководя</w:t>
            </w:r>
            <w:r w:rsidR="00CF2EC8">
              <w:rPr>
                <w:rFonts w:cs="Arial"/>
                <w:b/>
                <w:bCs/>
                <w:color w:val="000000"/>
                <w:sz w:val="20"/>
                <w:lang w:val="ru-RU"/>
              </w:rPr>
              <w:t>-</w:t>
            </w:r>
            <w:r w:rsidRPr="009652D5">
              <w:rPr>
                <w:rFonts w:cs="Arial"/>
                <w:b/>
                <w:bCs/>
                <w:color w:val="000000"/>
                <w:sz w:val="20"/>
                <w:lang w:val="ru-RU"/>
              </w:rPr>
              <w:t>щим составом</w:t>
            </w:r>
          </w:p>
        </w:tc>
        <w:tc>
          <w:tcPr>
            <w:tcW w:w="657"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Итого</w:t>
            </w:r>
          </w:p>
        </w:tc>
        <w:tc>
          <w:tcPr>
            <w:tcW w:w="652" w:type="pct"/>
            <w:tcBorders>
              <w:top w:val="nil"/>
              <w:left w:val="nil"/>
              <w:bottom w:val="single" w:sz="4" w:space="0" w:color="auto"/>
              <w:right w:val="nil"/>
            </w:tcBorders>
            <w:shd w:val="clear" w:color="auto" w:fill="auto"/>
            <w:vAlign w:val="center"/>
            <w:hideMark/>
          </w:tcPr>
          <w:p w:rsidR="00B46367" w:rsidRPr="009652D5" w:rsidRDefault="00B46367" w:rsidP="00B46367">
            <w:pPr>
              <w:jc w:val="center"/>
              <w:rPr>
                <w:rFonts w:cs="Arial"/>
                <w:b/>
                <w:bCs/>
                <w:color w:val="000000"/>
                <w:sz w:val="20"/>
                <w:lang w:val="ru-RU"/>
              </w:rPr>
            </w:pPr>
            <w:r w:rsidRPr="009652D5">
              <w:rPr>
                <w:rFonts w:cs="Arial"/>
                <w:b/>
                <w:bCs/>
                <w:color w:val="000000"/>
                <w:sz w:val="20"/>
                <w:lang w:val="ru-RU"/>
              </w:rPr>
              <w:t>Итого по катего</w:t>
            </w:r>
            <w:r w:rsidR="00CF2EC8">
              <w:rPr>
                <w:rFonts w:cs="Arial"/>
                <w:b/>
                <w:bCs/>
                <w:color w:val="000000"/>
                <w:sz w:val="20"/>
                <w:lang w:val="ru-RU"/>
              </w:rPr>
              <w:t>-</w:t>
            </w:r>
            <w:r w:rsidRPr="009652D5">
              <w:rPr>
                <w:rFonts w:cs="Arial"/>
                <w:b/>
                <w:bCs/>
                <w:color w:val="000000"/>
                <w:sz w:val="20"/>
                <w:lang w:val="ru-RU"/>
              </w:rPr>
              <w:t>риям</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b/>
                <w:bCs/>
                <w:color w:val="000000"/>
                <w:sz w:val="20"/>
                <w:lang w:val="ru-RU"/>
              </w:rPr>
            </w:pPr>
            <w:r w:rsidRPr="009652D5">
              <w:rPr>
                <w:rFonts w:cs="Arial"/>
                <w:b/>
                <w:bCs/>
                <w:color w:val="000000"/>
                <w:sz w:val="20"/>
                <w:lang w:val="ru-RU"/>
              </w:rPr>
              <w:t>Отчет о совокупном доходе</w:t>
            </w:r>
          </w:p>
        </w:tc>
        <w:tc>
          <w:tcPr>
            <w:tcW w:w="753"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3"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6"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800"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7"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2" w:type="pct"/>
            <w:tcBorders>
              <w:top w:val="single" w:sz="4" w:space="0" w:color="auto"/>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r>
      <w:tr w:rsidR="00CF2EC8" w:rsidRPr="009652D5" w:rsidTr="00106D76">
        <w:trPr>
          <w:trHeight w:val="3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Процентный доход</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Кредиты выданные (Прим.22)</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1 716</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191 137</w:t>
            </w: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192 853</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4 750 790</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Средства других банков (Прим.22)</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r>
      <w:tr w:rsidR="00CF2EC8" w:rsidRPr="009652D5" w:rsidTr="00106D76">
        <w:trPr>
          <w:trHeight w:val="3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Процентный расход (Прим.22)</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Средства других банков (Прим.22)</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(5 945)</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(5 945)</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(5 945)</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Депозиты клиентов (Прим.22)</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(79 570)</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(10 514)</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(20 806)</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(4 573)</w:t>
            </w: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(115 463)</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(3 260 633)</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 xml:space="preserve">Выпущенные ценные бумаги </w:t>
            </w:r>
            <w:r w:rsidRPr="009652D5">
              <w:rPr>
                <w:rFonts w:cs="Arial"/>
                <w:color w:val="000000"/>
                <w:sz w:val="20"/>
                <w:lang w:val="ru-RU"/>
              </w:rPr>
              <w:lastRenderedPageBreak/>
              <w:t>(Прим.22)</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lastRenderedPageBreak/>
              <w:t>-</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r>
      <w:tr w:rsidR="00CF2EC8" w:rsidRPr="009652D5" w:rsidTr="00106D76">
        <w:trPr>
          <w:trHeight w:val="3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7"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Зарплата и премии (Прим.26)</w:t>
            </w:r>
          </w:p>
        </w:tc>
        <w:tc>
          <w:tcPr>
            <w:tcW w:w="753" w:type="pct"/>
            <w:tcBorders>
              <w:top w:val="nil"/>
              <w:left w:val="nil"/>
              <w:bottom w:val="nil"/>
              <w:right w:val="nil"/>
            </w:tcBorders>
            <w:shd w:val="clear" w:color="auto" w:fill="auto"/>
            <w:vAlign w:val="bottom"/>
            <w:hideMark/>
          </w:tcPr>
          <w:p w:rsidR="00B46367" w:rsidRPr="009652D5" w:rsidRDefault="0022647F" w:rsidP="00B46367">
            <w:pPr>
              <w:jc w:val="right"/>
              <w:rPr>
                <w:rFonts w:cs="Arial"/>
                <w:color w:val="000000"/>
                <w:sz w:val="20"/>
                <w:lang w:val="ru-RU"/>
              </w:rPr>
            </w:pPr>
            <w:r w:rsidRPr="009652D5">
              <w:rPr>
                <w:rFonts w:cs="Arial"/>
                <w:color w:val="000000"/>
                <w:sz w:val="20"/>
                <w:lang w:val="ru-RU"/>
              </w:rPr>
              <w:t>17 906</w:t>
            </w:r>
          </w:p>
        </w:tc>
        <w:tc>
          <w:tcPr>
            <w:tcW w:w="653" w:type="pct"/>
            <w:tcBorders>
              <w:top w:val="nil"/>
              <w:left w:val="nil"/>
              <w:bottom w:val="nil"/>
              <w:right w:val="nil"/>
            </w:tcBorders>
            <w:shd w:val="clear" w:color="auto" w:fill="auto"/>
            <w:vAlign w:val="bottom"/>
            <w:hideMark/>
          </w:tcPr>
          <w:p w:rsidR="00B46367" w:rsidRPr="009652D5" w:rsidRDefault="0022647F" w:rsidP="00B46367">
            <w:pPr>
              <w:jc w:val="right"/>
              <w:rPr>
                <w:rFonts w:cs="Arial"/>
                <w:color w:val="000000"/>
                <w:sz w:val="20"/>
                <w:lang w:val="ru-RU"/>
              </w:rPr>
            </w:pPr>
            <w:r w:rsidRPr="009652D5">
              <w:rPr>
                <w:rFonts w:cs="Arial"/>
                <w:color w:val="000000"/>
                <w:sz w:val="20"/>
                <w:lang w:val="ru-RU"/>
              </w:rPr>
              <w:t>20 565</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p>
        </w:tc>
        <w:tc>
          <w:tcPr>
            <w:tcW w:w="657" w:type="pct"/>
            <w:tcBorders>
              <w:top w:val="nil"/>
              <w:left w:val="nil"/>
              <w:bottom w:val="nil"/>
              <w:right w:val="nil"/>
            </w:tcBorders>
            <w:shd w:val="clear" w:color="auto" w:fill="auto"/>
            <w:vAlign w:val="bottom"/>
            <w:hideMark/>
          </w:tcPr>
          <w:p w:rsidR="00B46367" w:rsidRPr="009652D5" w:rsidRDefault="0025212C" w:rsidP="0025212C">
            <w:pPr>
              <w:jc w:val="right"/>
              <w:rPr>
                <w:rFonts w:cs="Arial"/>
                <w:b/>
                <w:bCs/>
                <w:color w:val="000000"/>
                <w:sz w:val="20"/>
                <w:lang w:val="ru-RU"/>
              </w:rPr>
            </w:pPr>
            <w:r>
              <w:rPr>
                <w:rFonts w:cs="Arial"/>
                <w:b/>
                <w:bCs/>
                <w:color w:val="000000"/>
                <w:sz w:val="20"/>
                <w:lang w:val="ru-RU"/>
              </w:rPr>
              <w:t>38 471</w:t>
            </w:r>
          </w:p>
        </w:tc>
        <w:tc>
          <w:tcPr>
            <w:tcW w:w="652" w:type="pct"/>
            <w:tcBorders>
              <w:top w:val="nil"/>
              <w:left w:val="nil"/>
              <w:bottom w:val="nil"/>
              <w:right w:val="nil"/>
            </w:tcBorders>
            <w:shd w:val="clear" w:color="auto" w:fill="auto"/>
            <w:vAlign w:val="bottom"/>
            <w:hideMark/>
          </w:tcPr>
          <w:p w:rsidR="00B46367" w:rsidRPr="009652D5" w:rsidRDefault="0025212C" w:rsidP="0025212C">
            <w:pPr>
              <w:jc w:val="right"/>
              <w:rPr>
                <w:rFonts w:cs="Arial"/>
                <w:b/>
                <w:bCs/>
                <w:color w:val="000000"/>
                <w:sz w:val="20"/>
                <w:lang w:val="ru-RU"/>
              </w:rPr>
            </w:pPr>
            <w:r>
              <w:rPr>
                <w:rFonts w:cs="Arial"/>
                <w:b/>
                <w:bCs/>
                <w:color w:val="000000"/>
                <w:sz w:val="20"/>
                <w:lang w:val="ru-RU"/>
              </w:rPr>
              <w:t>336 873</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Дивиденды, выданные (Прим.29)</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(5 625)</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(1 553)</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(122)</w:t>
            </w:r>
          </w:p>
        </w:tc>
        <w:tc>
          <w:tcPr>
            <w:tcW w:w="657" w:type="pct"/>
            <w:tcBorders>
              <w:top w:val="nil"/>
              <w:left w:val="nil"/>
              <w:bottom w:val="nil"/>
              <w:right w:val="nil"/>
            </w:tcBorders>
            <w:shd w:val="clear" w:color="auto" w:fill="auto"/>
            <w:vAlign w:val="bottom"/>
            <w:hideMark/>
          </w:tcPr>
          <w:p w:rsidR="00B46367" w:rsidRPr="009652D5" w:rsidRDefault="00B46367" w:rsidP="0025212C">
            <w:pPr>
              <w:jc w:val="right"/>
              <w:rPr>
                <w:rFonts w:cs="Arial"/>
                <w:b/>
                <w:bCs/>
                <w:color w:val="000000"/>
                <w:sz w:val="20"/>
                <w:lang w:val="ru-RU"/>
              </w:rPr>
            </w:pPr>
            <w:r w:rsidRPr="009652D5">
              <w:rPr>
                <w:rFonts w:cs="Arial"/>
                <w:b/>
                <w:bCs/>
                <w:color w:val="000000"/>
                <w:sz w:val="20"/>
                <w:lang w:val="ru-RU"/>
              </w:rPr>
              <w:t>(7 300)</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(7 300)</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Комиссионный доход (Прим.24)</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986</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286</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36 727</w:t>
            </w:r>
          </w:p>
        </w:tc>
        <w:tc>
          <w:tcPr>
            <w:tcW w:w="657" w:type="pct"/>
            <w:tcBorders>
              <w:top w:val="nil"/>
              <w:left w:val="nil"/>
              <w:bottom w:val="nil"/>
              <w:right w:val="nil"/>
            </w:tcBorders>
            <w:shd w:val="clear" w:color="auto" w:fill="auto"/>
            <w:vAlign w:val="bottom"/>
            <w:hideMark/>
          </w:tcPr>
          <w:p w:rsidR="00B46367" w:rsidRPr="009652D5" w:rsidRDefault="00B46367" w:rsidP="0025212C">
            <w:pPr>
              <w:jc w:val="right"/>
              <w:rPr>
                <w:rFonts w:cs="Arial"/>
                <w:b/>
                <w:bCs/>
                <w:color w:val="000000"/>
                <w:sz w:val="20"/>
                <w:lang w:val="ru-RU"/>
              </w:rPr>
            </w:pPr>
            <w:r w:rsidRPr="009652D5">
              <w:rPr>
                <w:rFonts w:cs="Arial"/>
                <w:b/>
                <w:bCs/>
                <w:color w:val="000000"/>
                <w:sz w:val="20"/>
                <w:lang w:val="ru-RU"/>
              </w:rPr>
              <w:t>37 999</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431 696</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Комиссионный расход (Прим.24)</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(1 104)</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(689)</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(336)</w:t>
            </w:r>
          </w:p>
        </w:tc>
        <w:tc>
          <w:tcPr>
            <w:tcW w:w="657" w:type="pct"/>
            <w:tcBorders>
              <w:top w:val="nil"/>
              <w:left w:val="nil"/>
              <w:bottom w:val="nil"/>
              <w:right w:val="nil"/>
            </w:tcBorders>
            <w:shd w:val="clear" w:color="auto" w:fill="auto"/>
            <w:vAlign w:val="bottom"/>
            <w:hideMark/>
          </w:tcPr>
          <w:p w:rsidR="00B46367" w:rsidRPr="009652D5" w:rsidRDefault="00B46367" w:rsidP="0025212C">
            <w:pPr>
              <w:jc w:val="right"/>
              <w:rPr>
                <w:rFonts w:cs="Arial"/>
                <w:b/>
                <w:bCs/>
                <w:color w:val="000000"/>
                <w:sz w:val="20"/>
                <w:lang w:val="ru-RU"/>
              </w:rPr>
            </w:pPr>
            <w:r w:rsidRPr="009652D5">
              <w:rPr>
                <w:rFonts w:cs="Arial"/>
                <w:b/>
                <w:bCs/>
                <w:color w:val="000000"/>
                <w:sz w:val="20"/>
                <w:lang w:val="ru-RU"/>
              </w:rPr>
              <w:t>(2 129)</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(57 755)</w:t>
            </w:r>
          </w:p>
        </w:tc>
      </w:tr>
      <w:tr w:rsidR="00CF2EC8" w:rsidRPr="009652D5" w:rsidTr="00106D76">
        <w:trPr>
          <w:trHeight w:val="3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Прочий доход (Прим.25)</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26</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25</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vAlign w:val="bottom"/>
            <w:hideMark/>
          </w:tcPr>
          <w:p w:rsidR="00B46367" w:rsidRPr="009652D5" w:rsidRDefault="00B46367" w:rsidP="0025212C">
            <w:pPr>
              <w:jc w:val="right"/>
              <w:rPr>
                <w:rFonts w:cs="Arial"/>
                <w:b/>
                <w:bCs/>
                <w:color w:val="000000"/>
                <w:sz w:val="20"/>
                <w:lang w:val="ru-RU"/>
              </w:rPr>
            </w:pPr>
            <w:r w:rsidRPr="009652D5">
              <w:rPr>
                <w:rFonts w:cs="Arial"/>
                <w:b/>
                <w:bCs/>
                <w:color w:val="000000"/>
                <w:sz w:val="20"/>
                <w:lang w:val="ru-RU"/>
              </w:rPr>
              <w:t>51</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150 037</w:t>
            </w:r>
          </w:p>
        </w:tc>
      </w:tr>
      <w:tr w:rsidR="00CF2EC8" w:rsidRPr="009652D5" w:rsidTr="00106D76">
        <w:trPr>
          <w:trHeight w:val="600"/>
        </w:trPr>
        <w:tc>
          <w:tcPr>
            <w:tcW w:w="828" w:type="pct"/>
            <w:tcBorders>
              <w:top w:val="nil"/>
              <w:left w:val="nil"/>
              <w:bottom w:val="nil"/>
              <w:right w:val="nil"/>
            </w:tcBorders>
            <w:shd w:val="clear" w:color="auto" w:fill="auto"/>
            <w:vAlign w:val="bottom"/>
            <w:hideMark/>
          </w:tcPr>
          <w:p w:rsidR="00B46367" w:rsidRPr="009652D5" w:rsidRDefault="00B46367" w:rsidP="00B46367">
            <w:pPr>
              <w:rPr>
                <w:rFonts w:cs="Arial"/>
                <w:color w:val="000000"/>
                <w:sz w:val="20"/>
                <w:lang w:val="ru-RU"/>
              </w:rPr>
            </w:pPr>
            <w:r w:rsidRPr="009652D5">
              <w:rPr>
                <w:rFonts w:cs="Arial"/>
                <w:color w:val="000000"/>
                <w:sz w:val="20"/>
                <w:lang w:val="ru-RU"/>
              </w:rPr>
              <w:t>Прочий расход (Прим.26)</w:t>
            </w:r>
          </w:p>
        </w:tc>
        <w:tc>
          <w:tcPr>
            <w:tcW w:w="7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3"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6"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800" w:type="pct"/>
            <w:tcBorders>
              <w:top w:val="nil"/>
              <w:left w:val="nil"/>
              <w:bottom w:val="nil"/>
              <w:right w:val="nil"/>
            </w:tcBorders>
            <w:shd w:val="clear" w:color="auto" w:fill="auto"/>
            <w:vAlign w:val="bottom"/>
            <w:hideMark/>
          </w:tcPr>
          <w:p w:rsidR="00B46367" w:rsidRPr="009652D5" w:rsidRDefault="00B46367" w:rsidP="00B46367">
            <w:pPr>
              <w:jc w:val="right"/>
              <w:rPr>
                <w:rFonts w:cs="Arial"/>
                <w:color w:val="000000"/>
                <w:sz w:val="20"/>
                <w:lang w:val="ru-RU"/>
              </w:rPr>
            </w:pPr>
            <w:r w:rsidRPr="009652D5">
              <w:rPr>
                <w:rFonts w:cs="Arial"/>
                <w:color w:val="000000"/>
                <w:sz w:val="20"/>
                <w:lang w:val="ru-RU"/>
              </w:rPr>
              <w:t>-</w:t>
            </w:r>
          </w:p>
        </w:tc>
        <w:tc>
          <w:tcPr>
            <w:tcW w:w="657" w:type="pct"/>
            <w:tcBorders>
              <w:top w:val="nil"/>
              <w:left w:val="nil"/>
              <w:bottom w:val="nil"/>
              <w:right w:val="nil"/>
            </w:tcBorders>
            <w:shd w:val="clear" w:color="auto" w:fill="auto"/>
            <w:vAlign w:val="bottom"/>
            <w:hideMark/>
          </w:tcPr>
          <w:p w:rsidR="00B46367" w:rsidRPr="009652D5" w:rsidRDefault="00B46367" w:rsidP="0025212C">
            <w:pPr>
              <w:jc w:val="right"/>
              <w:rPr>
                <w:rFonts w:cs="Arial"/>
                <w:b/>
                <w:bCs/>
                <w:color w:val="000000"/>
                <w:sz w:val="20"/>
                <w:lang w:val="ru-RU"/>
              </w:rPr>
            </w:pPr>
            <w:r w:rsidRPr="009652D5">
              <w:rPr>
                <w:rFonts w:cs="Arial"/>
                <w:b/>
                <w:bCs/>
                <w:color w:val="000000"/>
                <w:sz w:val="20"/>
                <w:lang w:val="ru-RU"/>
              </w:rPr>
              <w:t>-</w:t>
            </w:r>
          </w:p>
        </w:tc>
        <w:tc>
          <w:tcPr>
            <w:tcW w:w="652" w:type="pct"/>
            <w:tcBorders>
              <w:top w:val="nil"/>
              <w:left w:val="nil"/>
              <w:bottom w:val="nil"/>
              <w:right w:val="nil"/>
            </w:tcBorders>
            <w:shd w:val="clear" w:color="auto" w:fill="auto"/>
            <w:vAlign w:val="bottom"/>
            <w:hideMark/>
          </w:tcPr>
          <w:p w:rsidR="00B46367" w:rsidRPr="009652D5" w:rsidRDefault="00B46367" w:rsidP="00B46367">
            <w:pPr>
              <w:jc w:val="right"/>
              <w:rPr>
                <w:rFonts w:cs="Arial"/>
                <w:b/>
                <w:bCs/>
                <w:color w:val="000000"/>
                <w:sz w:val="20"/>
                <w:lang w:val="ru-RU"/>
              </w:rPr>
            </w:pPr>
            <w:r w:rsidRPr="009652D5">
              <w:rPr>
                <w:rFonts w:cs="Arial"/>
                <w:b/>
                <w:bCs/>
                <w:color w:val="000000"/>
                <w:sz w:val="20"/>
                <w:lang w:val="ru-RU"/>
              </w:rPr>
              <w:t>(857 490)</w:t>
            </w:r>
          </w:p>
        </w:tc>
      </w:tr>
    </w:tbl>
    <w:p w:rsidR="00B46367" w:rsidRPr="009652D5" w:rsidRDefault="00B46367" w:rsidP="00931E40">
      <w:pPr>
        <w:rPr>
          <w:rFonts w:cs="Arial"/>
          <w:sz w:val="20"/>
          <w:lang w:val="ru-RU"/>
        </w:rPr>
      </w:pPr>
    </w:p>
    <w:p w:rsidR="00140929" w:rsidRPr="009652D5" w:rsidRDefault="00140929" w:rsidP="00931E40">
      <w:pPr>
        <w:rPr>
          <w:rFonts w:cs="Arial"/>
          <w:sz w:val="20"/>
          <w:lang w:val="ru-RU"/>
        </w:rPr>
      </w:pPr>
      <w:r w:rsidRPr="009652D5">
        <w:rPr>
          <w:rFonts w:cs="Arial"/>
          <w:sz w:val="20"/>
          <w:lang w:val="ru-RU"/>
        </w:rPr>
        <w:t>Ниже представлены операции, совершенные Банком со связанными сторонами за 2013 год:</w:t>
      </w:r>
    </w:p>
    <w:p w:rsidR="00140929" w:rsidRPr="009652D5" w:rsidRDefault="00140929" w:rsidP="00931E40">
      <w:pPr>
        <w:rPr>
          <w:rFonts w:cs="Arial"/>
          <w:sz w:val="20"/>
          <w:lang w:val="ru-RU"/>
        </w:rPr>
      </w:pPr>
    </w:p>
    <w:tbl>
      <w:tblPr>
        <w:tblW w:w="4925" w:type="pct"/>
        <w:tblLayout w:type="fixed"/>
        <w:tblLook w:val="04A0"/>
      </w:tblPr>
      <w:tblGrid>
        <w:gridCol w:w="1930"/>
        <w:gridCol w:w="1446"/>
        <w:gridCol w:w="1133"/>
        <w:gridCol w:w="1131"/>
        <w:gridCol w:w="141"/>
        <w:gridCol w:w="1133"/>
        <w:gridCol w:w="143"/>
        <w:gridCol w:w="1114"/>
        <w:gridCol w:w="1256"/>
      </w:tblGrid>
      <w:tr w:rsidR="00140929" w:rsidRPr="009652D5" w:rsidTr="00B56187">
        <w:trPr>
          <w:trHeight w:val="1500"/>
        </w:trPr>
        <w:tc>
          <w:tcPr>
            <w:tcW w:w="1023" w:type="pct"/>
            <w:tcBorders>
              <w:top w:val="nil"/>
              <w:left w:val="nil"/>
              <w:bottom w:val="nil"/>
              <w:right w:val="nil"/>
            </w:tcBorders>
            <w:shd w:val="clear" w:color="auto" w:fill="auto"/>
            <w:noWrap/>
            <w:vAlign w:val="bottom"/>
            <w:hideMark/>
          </w:tcPr>
          <w:p w:rsidR="00140929" w:rsidRPr="009652D5" w:rsidRDefault="00140929" w:rsidP="00140929">
            <w:pPr>
              <w:rPr>
                <w:rFonts w:cs="Arial"/>
                <w:color w:val="000000"/>
                <w:sz w:val="20"/>
                <w:lang w:val="ru-RU"/>
              </w:rPr>
            </w:pPr>
          </w:p>
        </w:tc>
        <w:tc>
          <w:tcPr>
            <w:tcW w:w="767" w:type="pct"/>
            <w:tcBorders>
              <w:top w:val="nil"/>
              <w:left w:val="nil"/>
              <w:bottom w:val="nil"/>
              <w:right w:val="nil"/>
            </w:tcBorders>
            <w:shd w:val="clear" w:color="auto" w:fill="auto"/>
            <w:vAlign w:val="center"/>
            <w:hideMark/>
          </w:tcPr>
          <w:p w:rsidR="008E3EDA" w:rsidRPr="009652D5" w:rsidRDefault="00140929">
            <w:pPr>
              <w:jc w:val="right"/>
              <w:rPr>
                <w:rFonts w:cs="Arial"/>
                <w:b/>
                <w:bCs/>
                <w:color w:val="000000"/>
                <w:sz w:val="20"/>
                <w:lang w:val="ru-RU"/>
              </w:rPr>
            </w:pPr>
            <w:r w:rsidRPr="009652D5">
              <w:rPr>
                <w:rFonts w:cs="Arial"/>
                <w:b/>
                <w:bCs/>
                <w:color w:val="000000"/>
                <w:sz w:val="20"/>
                <w:lang w:val="ru-RU"/>
              </w:rPr>
              <w:t>Акционеры</w:t>
            </w:r>
          </w:p>
        </w:tc>
        <w:tc>
          <w:tcPr>
            <w:tcW w:w="601" w:type="pct"/>
            <w:tcBorders>
              <w:top w:val="nil"/>
              <w:left w:val="nil"/>
              <w:bottom w:val="nil"/>
              <w:right w:val="nil"/>
            </w:tcBorders>
            <w:shd w:val="clear" w:color="auto" w:fill="auto"/>
            <w:vAlign w:val="center"/>
            <w:hideMark/>
          </w:tcPr>
          <w:p w:rsidR="008E3EDA" w:rsidRPr="009652D5" w:rsidRDefault="00140929">
            <w:pPr>
              <w:jc w:val="right"/>
              <w:rPr>
                <w:rFonts w:cs="Arial"/>
                <w:b/>
                <w:bCs/>
                <w:color w:val="000000"/>
                <w:sz w:val="20"/>
                <w:lang w:val="ru-RU"/>
              </w:rPr>
            </w:pPr>
            <w:r w:rsidRPr="009652D5">
              <w:rPr>
                <w:rFonts w:cs="Arial"/>
                <w:b/>
                <w:bCs/>
                <w:color w:val="000000"/>
                <w:sz w:val="20"/>
                <w:lang w:val="ru-RU"/>
              </w:rPr>
              <w:t>Члены руково</w:t>
            </w:r>
            <w:r w:rsidR="00106D76">
              <w:rPr>
                <w:rFonts w:cs="Arial"/>
                <w:b/>
                <w:bCs/>
                <w:color w:val="000000"/>
                <w:sz w:val="20"/>
                <w:lang w:val="ru-RU"/>
              </w:rPr>
              <w:t>-</w:t>
            </w:r>
            <w:r w:rsidRPr="009652D5">
              <w:rPr>
                <w:rFonts w:cs="Arial"/>
                <w:b/>
                <w:bCs/>
                <w:color w:val="000000"/>
                <w:sz w:val="20"/>
                <w:lang w:val="ru-RU"/>
              </w:rPr>
              <w:t>дящего состава</w:t>
            </w:r>
          </w:p>
        </w:tc>
        <w:tc>
          <w:tcPr>
            <w:tcW w:w="675" w:type="pct"/>
            <w:gridSpan w:val="2"/>
            <w:tcBorders>
              <w:top w:val="nil"/>
              <w:left w:val="nil"/>
              <w:bottom w:val="nil"/>
              <w:right w:val="nil"/>
            </w:tcBorders>
            <w:shd w:val="clear" w:color="auto" w:fill="auto"/>
            <w:vAlign w:val="center"/>
            <w:hideMark/>
          </w:tcPr>
          <w:p w:rsidR="008E3EDA" w:rsidRPr="009652D5" w:rsidRDefault="00140929">
            <w:pPr>
              <w:jc w:val="right"/>
              <w:rPr>
                <w:rFonts w:cs="Arial"/>
                <w:b/>
                <w:bCs/>
                <w:color w:val="000000"/>
                <w:sz w:val="20"/>
                <w:lang w:val="ru-RU"/>
              </w:rPr>
            </w:pPr>
            <w:r w:rsidRPr="009652D5">
              <w:rPr>
                <w:rFonts w:cs="Arial"/>
                <w:b/>
                <w:bCs/>
                <w:color w:val="000000"/>
                <w:sz w:val="20"/>
                <w:lang w:val="ru-RU"/>
              </w:rPr>
              <w:t>Ассоции-рованные компании</w:t>
            </w:r>
          </w:p>
        </w:tc>
        <w:tc>
          <w:tcPr>
            <w:tcW w:w="677" w:type="pct"/>
            <w:gridSpan w:val="2"/>
            <w:tcBorders>
              <w:top w:val="nil"/>
              <w:left w:val="nil"/>
              <w:bottom w:val="nil"/>
              <w:right w:val="nil"/>
            </w:tcBorders>
            <w:shd w:val="clear" w:color="auto" w:fill="auto"/>
            <w:vAlign w:val="center"/>
            <w:hideMark/>
          </w:tcPr>
          <w:p w:rsidR="008E3EDA" w:rsidRPr="009652D5" w:rsidRDefault="00140929">
            <w:pPr>
              <w:jc w:val="right"/>
              <w:rPr>
                <w:rFonts w:cs="Arial"/>
                <w:b/>
                <w:bCs/>
                <w:color w:val="000000"/>
                <w:sz w:val="20"/>
                <w:lang w:val="ru-RU"/>
              </w:rPr>
            </w:pPr>
            <w:r w:rsidRPr="009652D5">
              <w:rPr>
                <w:rFonts w:cs="Arial"/>
                <w:b/>
                <w:bCs/>
                <w:color w:val="000000"/>
                <w:sz w:val="20"/>
                <w:lang w:val="ru-RU"/>
              </w:rPr>
              <w:t>Компании, контроли</w:t>
            </w:r>
            <w:r w:rsidR="00106D76">
              <w:rPr>
                <w:rFonts w:cs="Arial"/>
                <w:b/>
                <w:bCs/>
                <w:color w:val="000000"/>
                <w:sz w:val="20"/>
                <w:lang w:val="ru-RU"/>
              </w:rPr>
              <w:t>-</w:t>
            </w:r>
            <w:r w:rsidRPr="009652D5">
              <w:rPr>
                <w:rFonts w:cs="Arial"/>
                <w:b/>
                <w:bCs/>
                <w:color w:val="000000"/>
                <w:sz w:val="20"/>
                <w:lang w:val="ru-RU"/>
              </w:rPr>
              <w:t>руемые руководя</w:t>
            </w:r>
            <w:r w:rsidR="00106D76">
              <w:rPr>
                <w:rFonts w:cs="Arial"/>
                <w:b/>
                <w:bCs/>
                <w:color w:val="000000"/>
                <w:sz w:val="20"/>
                <w:lang w:val="ru-RU"/>
              </w:rPr>
              <w:t>-</w:t>
            </w:r>
            <w:r w:rsidRPr="009652D5">
              <w:rPr>
                <w:rFonts w:cs="Arial"/>
                <w:b/>
                <w:bCs/>
                <w:color w:val="000000"/>
                <w:sz w:val="20"/>
                <w:lang w:val="ru-RU"/>
              </w:rPr>
              <w:t>щим составом</w:t>
            </w:r>
          </w:p>
        </w:tc>
        <w:tc>
          <w:tcPr>
            <w:tcW w:w="591" w:type="pct"/>
            <w:tcBorders>
              <w:top w:val="nil"/>
              <w:left w:val="nil"/>
              <w:bottom w:val="nil"/>
              <w:right w:val="nil"/>
            </w:tcBorders>
            <w:shd w:val="clear" w:color="auto" w:fill="auto"/>
            <w:vAlign w:val="center"/>
            <w:hideMark/>
          </w:tcPr>
          <w:p w:rsidR="008E3EDA" w:rsidRPr="009652D5" w:rsidRDefault="00140929">
            <w:pPr>
              <w:jc w:val="right"/>
              <w:rPr>
                <w:rFonts w:cs="Arial"/>
                <w:b/>
                <w:bCs/>
                <w:color w:val="000000"/>
                <w:sz w:val="20"/>
                <w:lang w:val="ru-RU"/>
              </w:rPr>
            </w:pPr>
            <w:r w:rsidRPr="009652D5">
              <w:rPr>
                <w:rFonts w:cs="Arial"/>
                <w:b/>
                <w:bCs/>
                <w:color w:val="000000"/>
                <w:sz w:val="20"/>
                <w:lang w:val="ru-RU"/>
              </w:rPr>
              <w:t>Итого</w:t>
            </w:r>
          </w:p>
        </w:tc>
        <w:tc>
          <w:tcPr>
            <w:tcW w:w="667" w:type="pct"/>
            <w:tcBorders>
              <w:top w:val="nil"/>
              <w:left w:val="nil"/>
              <w:bottom w:val="nil"/>
              <w:right w:val="nil"/>
            </w:tcBorders>
            <w:shd w:val="clear" w:color="auto" w:fill="auto"/>
            <w:vAlign w:val="center"/>
            <w:hideMark/>
          </w:tcPr>
          <w:p w:rsidR="008E3EDA" w:rsidRPr="009652D5" w:rsidRDefault="00140929">
            <w:pPr>
              <w:jc w:val="right"/>
              <w:rPr>
                <w:rFonts w:cs="Arial"/>
                <w:b/>
                <w:bCs/>
                <w:color w:val="000000"/>
                <w:sz w:val="20"/>
                <w:lang w:val="ru-RU"/>
              </w:rPr>
            </w:pPr>
            <w:r w:rsidRPr="009652D5">
              <w:rPr>
                <w:rFonts w:cs="Arial"/>
                <w:b/>
                <w:bCs/>
                <w:color w:val="000000"/>
                <w:sz w:val="20"/>
                <w:lang w:val="ru-RU"/>
              </w:rPr>
              <w:t>Итого по катего</w:t>
            </w:r>
            <w:r w:rsidR="00106D76">
              <w:rPr>
                <w:rFonts w:cs="Arial"/>
                <w:b/>
                <w:bCs/>
                <w:color w:val="000000"/>
                <w:sz w:val="20"/>
                <w:lang w:val="ru-RU"/>
              </w:rPr>
              <w:t>-</w:t>
            </w:r>
            <w:r w:rsidRPr="009652D5">
              <w:rPr>
                <w:rFonts w:cs="Arial"/>
                <w:b/>
                <w:bCs/>
                <w:color w:val="000000"/>
                <w:sz w:val="20"/>
                <w:lang w:val="ru-RU"/>
              </w:rPr>
              <w:t>риям</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b/>
                <w:bCs/>
                <w:color w:val="000000"/>
                <w:sz w:val="20"/>
                <w:lang w:val="ru-RU"/>
              </w:rPr>
            </w:pPr>
            <w:r w:rsidRPr="009652D5">
              <w:rPr>
                <w:rFonts w:cs="Arial"/>
                <w:b/>
                <w:bCs/>
                <w:color w:val="000000"/>
                <w:sz w:val="20"/>
                <w:lang w:val="ru-RU"/>
              </w:rPr>
              <w:t>Отчет о финансовом положении</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675"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77"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91"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B56187">
        <w:trPr>
          <w:trHeight w:val="300"/>
        </w:trPr>
        <w:tc>
          <w:tcPr>
            <w:tcW w:w="1023" w:type="pct"/>
            <w:tcBorders>
              <w:top w:val="nil"/>
              <w:left w:val="nil"/>
              <w:bottom w:val="nil"/>
              <w:right w:val="nil"/>
            </w:tcBorders>
            <w:shd w:val="clear" w:color="auto" w:fill="auto"/>
            <w:noWrap/>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Кредиты клиентам:</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675"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77"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91"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начало года валовые (Прим.8)</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37 694</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621 531</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659 225</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31 791 618</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Выданные в течение года</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16 500</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1 464</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1 260 054</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1 278 018</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Погашенные в течение года</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(47 644)</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(47 495)</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(95 139)</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конец года, валовые</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6 550</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1 464</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1 834 090</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1 842 104</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38 922 010</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Резерв под обесценение</w:t>
            </w:r>
          </w:p>
        </w:tc>
        <w:tc>
          <w:tcPr>
            <w:tcW w:w="767" w:type="pct"/>
            <w:tcBorders>
              <w:top w:val="nil"/>
              <w:left w:val="nil"/>
              <w:bottom w:val="single" w:sz="4" w:space="0" w:color="auto"/>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(32)</w:t>
            </w:r>
          </w:p>
        </w:tc>
        <w:tc>
          <w:tcPr>
            <w:tcW w:w="601" w:type="pct"/>
            <w:tcBorders>
              <w:top w:val="nil"/>
              <w:left w:val="nil"/>
              <w:bottom w:val="single" w:sz="4" w:space="0" w:color="auto"/>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(7)</w:t>
            </w:r>
          </w:p>
        </w:tc>
        <w:tc>
          <w:tcPr>
            <w:tcW w:w="600" w:type="pct"/>
            <w:tcBorders>
              <w:top w:val="nil"/>
              <w:left w:val="nil"/>
              <w:bottom w:val="single" w:sz="4" w:space="0" w:color="auto"/>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single" w:sz="4" w:space="0" w:color="auto"/>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(7 672)</w:t>
            </w:r>
          </w:p>
        </w:tc>
        <w:tc>
          <w:tcPr>
            <w:tcW w:w="667" w:type="pct"/>
            <w:gridSpan w:val="2"/>
            <w:tcBorders>
              <w:top w:val="nil"/>
              <w:left w:val="nil"/>
              <w:bottom w:val="single" w:sz="4" w:space="0" w:color="auto"/>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(7 711)</w:t>
            </w:r>
          </w:p>
        </w:tc>
        <w:tc>
          <w:tcPr>
            <w:tcW w:w="667" w:type="pct"/>
            <w:tcBorders>
              <w:top w:val="nil"/>
              <w:left w:val="nil"/>
              <w:bottom w:val="single" w:sz="4" w:space="0" w:color="auto"/>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(1 831 921)</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конец года, чистые (Прим.8)</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6 518</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1 457</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1 826 418</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1 834 393</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37 090 089</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600"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76"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7" w:type="pct"/>
            <w:gridSpan w:val="2"/>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c>
          <w:tcPr>
            <w:tcW w:w="667" w:type="pct"/>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Средства других банков (Прим.15)</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929 096</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260 588</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1 189 684</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3 393 208</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600"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76"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w:t>
            </w:r>
          </w:p>
        </w:tc>
        <w:tc>
          <w:tcPr>
            <w:tcW w:w="667" w:type="pct"/>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Текущие счета клиентов (Прим.16)</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6 031</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5 176</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49 117</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60 324</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8 838 350</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lastRenderedPageBreak/>
              <w:t>Депозиты клиентов</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600"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76"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7" w:type="pct"/>
            <w:gridSpan w:val="2"/>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c>
          <w:tcPr>
            <w:tcW w:w="667" w:type="pct"/>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r>
      <w:tr w:rsidR="00140929" w:rsidRPr="009652D5" w:rsidTr="00B56187">
        <w:trPr>
          <w:trHeight w:val="315"/>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начало года (Прим.16)</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167 953</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159 837</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327 790</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25 222 924</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Стали связанными в течение периода</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300 000</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28 717</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328 717</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Привлеченные в течение года</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875 853</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360 539</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861 021</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2 097 413</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B56187">
            <w:pPr>
              <w:rPr>
                <w:rFonts w:cs="Arial"/>
                <w:color w:val="000000"/>
                <w:sz w:val="20"/>
                <w:lang w:val="ru-RU"/>
              </w:rPr>
            </w:pPr>
            <w:r w:rsidRPr="009652D5">
              <w:rPr>
                <w:rFonts w:cs="Arial"/>
                <w:color w:val="000000"/>
                <w:sz w:val="20"/>
                <w:lang w:val="ru-RU"/>
              </w:rPr>
              <w:t>Возвращенные в течение года</w:t>
            </w:r>
          </w:p>
        </w:tc>
        <w:tc>
          <w:tcPr>
            <w:tcW w:w="767" w:type="pct"/>
            <w:tcBorders>
              <w:top w:val="nil"/>
              <w:left w:val="nil"/>
              <w:bottom w:val="single" w:sz="4" w:space="0" w:color="auto"/>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(351 084)</w:t>
            </w:r>
          </w:p>
        </w:tc>
        <w:tc>
          <w:tcPr>
            <w:tcW w:w="601" w:type="pct"/>
            <w:tcBorders>
              <w:top w:val="nil"/>
              <w:left w:val="nil"/>
              <w:bottom w:val="single" w:sz="4" w:space="0" w:color="auto"/>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(304 327)</w:t>
            </w:r>
          </w:p>
        </w:tc>
        <w:tc>
          <w:tcPr>
            <w:tcW w:w="600" w:type="pct"/>
            <w:tcBorders>
              <w:top w:val="nil"/>
              <w:left w:val="nil"/>
              <w:bottom w:val="single" w:sz="4" w:space="0" w:color="auto"/>
              <w:right w:val="nil"/>
            </w:tcBorders>
            <w:shd w:val="clear" w:color="auto" w:fill="auto"/>
            <w:vAlign w:val="bottom"/>
            <w:hideMark/>
          </w:tcPr>
          <w:p w:rsidR="008E3EDA" w:rsidRPr="009652D5" w:rsidRDefault="008E3EDA">
            <w:pPr>
              <w:jc w:val="right"/>
              <w:rPr>
                <w:rFonts w:cs="Arial"/>
                <w:color w:val="000000"/>
                <w:sz w:val="20"/>
                <w:lang w:val="ru-RU"/>
              </w:rPr>
            </w:pPr>
          </w:p>
        </w:tc>
        <w:tc>
          <w:tcPr>
            <w:tcW w:w="676" w:type="pct"/>
            <w:gridSpan w:val="2"/>
            <w:tcBorders>
              <w:top w:val="nil"/>
              <w:left w:val="nil"/>
              <w:bottom w:val="single" w:sz="4" w:space="0" w:color="auto"/>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(628 774)</w:t>
            </w:r>
          </w:p>
        </w:tc>
        <w:tc>
          <w:tcPr>
            <w:tcW w:w="667" w:type="pct"/>
            <w:gridSpan w:val="2"/>
            <w:tcBorders>
              <w:top w:val="nil"/>
              <w:left w:val="nil"/>
              <w:bottom w:val="single" w:sz="4" w:space="0" w:color="auto"/>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(1 284 185)</w:t>
            </w:r>
          </w:p>
        </w:tc>
        <w:tc>
          <w:tcPr>
            <w:tcW w:w="667" w:type="pct"/>
            <w:tcBorders>
              <w:top w:val="nil"/>
              <w:left w:val="nil"/>
              <w:bottom w:val="single" w:sz="4" w:space="0" w:color="auto"/>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конец года (Прим.16)</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992 722</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216 049</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260 964</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1 469 735</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28 264 013</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Выпущенные ценные бумаги</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600"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76" w:type="pct"/>
            <w:gridSpan w:val="2"/>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7" w:type="pct"/>
            <w:gridSpan w:val="2"/>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c>
          <w:tcPr>
            <w:tcW w:w="66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начало года (Прим.17)</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3 563</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3 563</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156 353</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Выпущенные в течение года</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22 000</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21 000</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43 000</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Погашение в течение года</w:t>
            </w:r>
          </w:p>
        </w:tc>
        <w:tc>
          <w:tcPr>
            <w:tcW w:w="767" w:type="pct"/>
            <w:tcBorders>
              <w:top w:val="nil"/>
              <w:left w:val="nil"/>
              <w:bottom w:val="single" w:sz="4" w:space="0" w:color="auto"/>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(3 563)</w:t>
            </w:r>
          </w:p>
        </w:tc>
        <w:tc>
          <w:tcPr>
            <w:tcW w:w="601" w:type="pct"/>
            <w:tcBorders>
              <w:top w:val="nil"/>
              <w:left w:val="nil"/>
              <w:bottom w:val="single" w:sz="4" w:space="0" w:color="auto"/>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(22 000)</w:t>
            </w:r>
          </w:p>
        </w:tc>
        <w:tc>
          <w:tcPr>
            <w:tcW w:w="600" w:type="pct"/>
            <w:tcBorders>
              <w:top w:val="nil"/>
              <w:left w:val="nil"/>
              <w:bottom w:val="single" w:sz="4" w:space="0" w:color="auto"/>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single" w:sz="4" w:space="0" w:color="auto"/>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67" w:type="pct"/>
            <w:gridSpan w:val="2"/>
            <w:tcBorders>
              <w:top w:val="nil"/>
              <w:left w:val="nil"/>
              <w:bottom w:val="single" w:sz="4" w:space="0" w:color="auto"/>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(25 563)</w:t>
            </w:r>
          </w:p>
        </w:tc>
        <w:tc>
          <w:tcPr>
            <w:tcW w:w="667" w:type="pct"/>
            <w:tcBorders>
              <w:top w:val="nil"/>
              <w:left w:val="nil"/>
              <w:bottom w:val="single" w:sz="4" w:space="0" w:color="auto"/>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r>
      <w:tr w:rsidR="00140929" w:rsidRPr="009652D5" w:rsidTr="00B56187">
        <w:trPr>
          <w:trHeight w:val="3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На конец года (Прим.17)</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21 000</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21 000</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578 786</w:t>
            </w:r>
          </w:p>
        </w:tc>
      </w:tr>
      <w:tr w:rsidR="00140929" w:rsidRPr="009652D5" w:rsidTr="00B56187">
        <w:trPr>
          <w:trHeight w:val="600"/>
        </w:trPr>
        <w:tc>
          <w:tcPr>
            <w:tcW w:w="10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Гарантии выданные (Прим.31)</w:t>
            </w:r>
          </w:p>
        </w:tc>
        <w:tc>
          <w:tcPr>
            <w:tcW w:w="767"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601"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600"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676" w:type="pct"/>
            <w:gridSpan w:val="2"/>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1 933</w:t>
            </w:r>
          </w:p>
        </w:tc>
        <w:tc>
          <w:tcPr>
            <w:tcW w:w="667" w:type="pct"/>
            <w:gridSpan w:val="2"/>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1 933</w:t>
            </w:r>
          </w:p>
        </w:tc>
        <w:tc>
          <w:tcPr>
            <w:tcW w:w="667"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2 233 567</w:t>
            </w:r>
          </w:p>
        </w:tc>
      </w:tr>
    </w:tbl>
    <w:p w:rsidR="00140929" w:rsidRPr="009652D5" w:rsidRDefault="00140929" w:rsidP="00931E40">
      <w:pPr>
        <w:rPr>
          <w:rFonts w:cs="Arial"/>
          <w:sz w:val="20"/>
          <w:lang w:val="ru-RU"/>
        </w:rPr>
      </w:pPr>
    </w:p>
    <w:tbl>
      <w:tblPr>
        <w:tblW w:w="5129" w:type="pct"/>
        <w:tblLayout w:type="fixed"/>
        <w:tblLook w:val="04A0"/>
      </w:tblPr>
      <w:tblGrid>
        <w:gridCol w:w="1615"/>
        <w:gridCol w:w="1475"/>
        <w:gridCol w:w="1131"/>
        <w:gridCol w:w="1699"/>
        <w:gridCol w:w="1526"/>
        <w:gridCol w:w="1070"/>
        <w:gridCol w:w="1302"/>
      </w:tblGrid>
      <w:tr w:rsidR="00140929" w:rsidRPr="009652D5" w:rsidTr="00CF2EC8">
        <w:trPr>
          <w:trHeight w:val="1500"/>
        </w:trPr>
        <w:tc>
          <w:tcPr>
            <w:tcW w:w="823" w:type="pct"/>
            <w:tcBorders>
              <w:top w:val="nil"/>
              <w:left w:val="nil"/>
              <w:bottom w:val="nil"/>
              <w:right w:val="nil"/>
            </w:tcBorders>
            <w:shd w:val="clear" w:color="auto" w:fill="auto"/>
            <w:noWrap/>
            <w:vAlign w:val="bottom"/>
            <w:hideMark/>
          </w:tcPr>
          <w:p w:rsidR="00140929" w:rsidRPr="009652D5" w:rsidRDefault="00140929" w:rsidP="00140929">
            <w:pPr>
              <w:rPr>
                <w:rFonts w:cs="Arial"/>
                <w:color w:val="000000"/>
                <w:sz w:val="20"/>
                <w:lang w:val="ru-RU"/>
              </w:rPr>
            </w:pPr>
          </w:p>
        </w:tc>
        <w:tc>
          <w:tcPr>
            <w:tcW w:w="751" w:type="pct"/>
            <w:tcBorders>
              <w:top w:val="nil"/>
              <w:left w:val="nil"/>
              <w:bottom w:val="single" w:sz="4" w:space="0" w:color="auto"/>
              <w:right w:val="nil"/>
            </w:tcBorders>
            <w:shd w:val="clear" w:color="auto" w:fill="auto"/>
            <w:vAlign w:val="center"/>
            <w:hideMark/>
          </w:tcPr>
          <w:p w:rsidR="00140929" w:rsidRPr="009652D5" w:rsidRDefault="00140929" w:rsidP="00140929">
            <w:pPr>
              <w:jc w:val="center"/>
              <w:rPr>
                <w:rFonts w:cs="Arial"/>
                <w:b/>
                <w:bCs/>
                <w:color w:val="000000"/>
                <w:sz w:val="20"/>
                <w:lang w:val="ru-RU"/>
              </w:rPr>
            </w:pPr>
            <w:r w:rsidRPr="009652D5">
              <w:rPr>
                <w:rFonts w:cs="Arial"/>
                <w:b/>
                <w:bCs/>
                <w:color w:val="000000"/>
                <w:sz w:val="20"/>
                <w:lang w:val="ru-RU"/>
              </w:rPr>
              <w:t>Акционеры</w:t>
            </w:r>
          </w:p>
        </w:tc>
        <w:tc>
          <w:tcPr>
            <w:tcW w:w="576" w:type="pct"/>
            <w:tcBorders>
              <w:top w:val="nil"/>
              <w:left w:val="nil"/>
              <w:bottom w:val="single" w:sz="4" w:space="0" w:color="auto"/>
              <w:right w:val="nil"/>
            </w:tcBorders>
            <w:shd w:val="clear" w:color="auto" w:fill="auto"/>
            <w:vAlign w:val="center"/>
            <w:hideMark/>
          </w:tcPr>
          <w:p w:rsidR="00140929" w:rsidRPr="009652D5" w:rsidRDefault="00140929" w:rsidP="00140929">
            <w:pPr>
              <w:jc w:val="center"/>
              <w:rPr>
                <w:rFonts w:cs="Arial"/>
                <w:b/>
                <w:bCs/>
                <w:color w:val="000000"/>
                <w:sz w:val="20"/>
                <w:lang w:val="ru-RU"/>
              </w:rPr>
            </w:pPr>
            <w:r w:rsidRPr="009652D5">
              <w:rPr>
                <w:rFonts w:cs="Arial"/>
                <w:b/>
                <w:bCs/>
                <w:color w:val="000000"/>
                <w:sz w:val="20"/>
                <w:lang w:val="ru-RU"/>
              </w:rPr>
              <w:t>Члены руководящего состава</w:t>
            </w:r>
          </w:p>
        </w:tc>
        <w:tc>
          <w:tcPr>
            <w:tcW w:w="865" w:type="pct"/>
            <w:tcBorders>
              <w:top w:val="nil"/>
              <w:left w:val="nil"/>
              <w:bottom w:val="single" w:sz="4" w:space="0" w:color="auto"/>
              <w:right w:val="nil"/>
            </w:tcBorders>
            <w:shd w:val="clear" w:color="auto" w:fill="auto"/>
            <w:vAlign w:val="center"/>
            <w:hideMark/>
          </w:tcPr>
          <w:p w:rsidR="00140929" w:rsidRPr="009652D5" w:rsidRDefault="00140929" w:rsidP="00140929">
            <w:pPr>
              <w:jc w:val="center"/>
              <w:rPr>
                <w:rFonts w:cs="Arial"/>
                <w:b/>
                <w:bCs/>
                <w:color w:val="000000"/>
                <w:sz w:val="20"/>
                <w:lang w:val="ru-RU"/>
              </w:rPr>
            </w:pPr>
            <w:r w:rsidRPr="009652D5">
              <w:rPr>
                <w:rFonts w:cs="Arial"/>
                <w:b/>
                <w:bCs/>
                <w:color w:val="000000"/>
                <w:sz w:val="20"/>
                <w:lang w:val="ru-RU"/>
              </w:rPr>
              <w:t>Ассоции-рованные компании</w:t>
            </w:r>
          </w:p>
        </w:tc>
        <w:tc>
          <w:tcPr>
            <w:tcW w:w="777" w:type="pct"/>
            <w:tcBorders>
              <w:top w:val="nil"/>
              <w:left w:val="nil"/>
              <w:bottom w:val="single" w:sz="4" w:space="0" w:color="auto"/>
              <w:right w:val="nil"/>
            </w:tcBorders>
            <w:shd w:val="clear" w:color="auto" w:fill="auto"/>
            <w:vAlign w:val="center"/>
            <w:hideMark/>
          </w:tcPr>
          <w:p w:rsidR="00140929" w:rsidRPr="009652D5" w:rsidRDefault="00140929" w:rsidP="00140929">
            <w:pPr>
              <w:jc w:val="center"/>
              <w:rPr>
                <w:rFonts w:cs="Arial"/>
                <w:b/>
                <w:bCs/>
                <w:color w:val="000000"/>
                <w:sz w:val="20"/>
                <w:lang w:val="ru-RU"/>
              </w:rPr>
            </w:pPr>
            <w:r w:rsidRPr="009652D5">
              <w:rPr>
                <w:rFonts w:cs="Arial"/>
                <w:b/>
                <w:bCs/>
                <w:color w:val="000000"/>
                <w:sz w:val="20"/>
                <w:lang w:val="ru-RU"/>
              </w:rPr>
              <w:t>Компании, контролируемые руководящим составом</w:t>
            </w:r>
          </w:p>
        </w:tc>
        <w:tc>
          <w:tcPr>
            <w:tcW w:w="545" w:type="pct"/>
            <w:tcBorders>
              <w:top w:val="nil"/>
              <w:left w:val="nil"/>
              <w:bottom w:val="single" w:sz="4" w:space="0" w:color="auto"/>
              <w:right w:val="nil"/>
            </w:tcBorders>
            <w:shd w:val="clear" w:color="auto" w:fill="auto"/>
            <w:vAlign w:val="center"/>
            <w:hideMark/>
          </w:tcPr>
          <w:p w:rsidR="00140929" w:rsidRPr="009652D5" w:rsidRDefault="00140929" w:rsidP="00140929">
            <w:pPr>
              <w:jc w:val="center"/>
              <w:rPr>
                <w:rFonts w:cs="Arial"/>
                <w:b/>
                <w:bCs/>
                <w:color w:val="000000"/>
                <w:sz w:val="20"/>
                <w:lang w:val="ru-RU"/>
              </w:rPr>
            </w:pPr>
            <w:r w:rsidRPr="009652D5">
              <w:rPr>
                <w:rFonts w:cs="Arial"/>
                <w:b/>
                <w:bCs/>
                <w:color w:val="000000"/>
                <w:sz w:val="20"/>
                <w:lang w:val="ru-RU"/>
              </w:rPr>
              <w:t>Итого</w:t>
            </w:r>
          </w:p>
        </w:tc>
        <w:tc>
          <w:tcPr>
            <w:tcW w:w="663" w:type="pct"/>
            <w:tcBorders>
              <w:top w:val="nil"/>
              <w:left w:val="nil"/>
              <w:bottom w:val="single" w:sz="4" w:space="0" w:color="auto"/>
              <w:right w:val="nil"/>
            </w:tcBorders>
            <w:shd w:val="clear" w:color="auto" w:fill="auto"/>
            <w:vAlign w:val="center"/>
            <w:hideMark/>
          </w:tcPr>
          <w:p w:rsidR="00140929" w:rsidRPr="009652D5" w:rsidRDefault="00140929" w:rsidP="00140929">
            <w:pPr>
              <w:jc w:val="center"/>
              <w:rPr>
                <w:rFonts w:cs="Arial"/>
                <w:b/>
                <w:bCs/>
                <w:color w:val="000000"/>
                <w:sz w:val="20"/>
                <w:lang w:val="ru-RU"/>
              </w:rPr>
            </w:pPr>
            <w:r w:rsidRPr="009652D5">
              <w:rPr>
                <w:rFonts w:cs="Arial"/>
                <w:b/>
                <w:bCs/>
                <w:color w:val="000000"/>
                <w:sz w:val="20"/>
                <w:lang w:val="ru-RU"/>
              </w:rPr>
              <w:t>Итого по категориям</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b/>
                <w:bCs/>
                <w:color w:val="000000"/>
                <w:sz w:val="20"/>
                <w:lang w:val="ru-RU"/>
              </w:rPr>
            </w:pPr>
            <w:r w:rsidRPr="009652D5">
              <w:rPr>
                <w:rFonts w:cs="Arial"/>
                <w:b/>
                <w:bCs/>
                <w:color w:val="000000"/>
                <w:sz w:val="20"/>
                <w:lang w:val="ru-RU"/>
              </w:rPr>
              <w:t>Отчет о совокупном доходе</w:t>
            </w:r>
          </w:p>
        </w:tc>
        <w:tc>
          <w:tcPr>
            <w:tcW w:w="751" w:type="pct"/>
            <w:tcBorders>
              <w:top w:val="single" w:sz="4" w:space="0" w:color="auto"/>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576" w:type="pct"/>
            <w:tcBorders>
              <w:top w:val="single" w:sz="4" w:space="0" w:color="auto"/>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865" w:type="pct"/>
            <w:tcBorders>
              <w:top w:val="single" w:sz="4" w:space="0" w:color="auto"/>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777" w:type="pct"/>
            <w:tcBorders>
              <w:top w:val="single" w:sz="4" w:space="0" w:color="auto"/>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45" w:type="pct"/>
            <w:tcBorders>
              <w:top w:val="single" w:sz="4" w:space="0" w:color="auto"/>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3" w:type="pct"/>
            <w:tcBorders>
              <w:top w:val="single" w:sz="4" w:space="0" w:color="auto"/>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CF2EC8">
        <w:trPr>
          <w:trHeight w:val="3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Процентный доход</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86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77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4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3"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Кредиты выданные (Прим.22)</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820</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213</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49 412</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50 445</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4 441 987</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Средства других банков (Прим.22)</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27</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27</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83 960</w:t>
            </w:r>
          </w:p>
        </w:tc>
      </w:tr>
      <w:tr w:rsidR="00140929" w:rsidRPr="009652D5" w:rsidTr="00CF2EC8">
        <w:trPr>
          <w:trHeight w:val="3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86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77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4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3"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Процентный расход (Прим.22)</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86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77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4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3"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Средства других банков (Прим.22)</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(61 421)</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(1 805)</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(63 226)</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(266 615)</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Депозиты клиентов (Прим.22)</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(42 309)</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(15 090)</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(11 754)</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(69 153)</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(2 874 492)</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lastRenderedPageBreak/>
              <w:t>Выпущенные ценные бумаги (Прим.22)</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(309)</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(715)</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(543)</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(1 567)</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(15 797)</w:t>
            </w:r>
          </w:p>
        </w:tc>
      </w:tr>
      <w:tr w:rsidR="00140929" w:rsidRPr="009652D5" w:rsidTr="00CF2EC8">
        <w:trPr>
          <w:trHeight w:val="3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p>
        </w:tc>
        <w:tc>
          <w:tcPr>
            <w:tcW w:w="86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777"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545" w:type="pct"/>
            <w:tcBorders>
              <w:top w:val="nil"/>
              <w:left w:val="nil"/>
              <w:bottom w:val="nil"/>
              <w:right w:val="nil"/>
            </w:tcBorders>
            <w:shd w:val="clear" w:color="auto" w:fill="auto"/>
            <w:vAlign w:val="bottom"/>
            <w:hideMark/>
          </w:tcPr>
          <w:p w:rsidR="008E3EDA" w:rsidRPr="009652D5" w:rsidRDefault="008E3EDA">
            <w:pPr>
              <w:jc w:val="right"/>
              <w:rPr>
                <w:rFonts w:cs="Arial"/>
                <w:color w:val="000000"/>
                <w:sz w:val="20"/>
                <w:lang w:val="ru-RU"/>
              </w:rPr>
            </w:pPr>
          </w:p>
        </w:tc>
        <w:tc>
          <w:tcPr>
            <w:tcW w:w="663" w:type="pct"/>
            <w:tcBorders>
              <w:top w:val="nil"/>
              <w:left w:val="nil"/>
              <w:bottom w:val="nil"/>
              <w:right w:val="nil"/>
            </w:tcBorders>
            <w:shd w:val="clear" w:color="auto" w:fill="auto"/>
            <w:vAlign w:val="bottom"/>
            <w:hideMark/>
          </w:tcPr>
          <w:p w:rsidR="008E3EDA" w:rsidRPr="009652D5" w:rsidRDefault="008E3EDA">
            <w:pPr>
              <w:jc w:val="right"/>
              <w:rPr>
                <w:rFonts w:cs="Arial"/>
                <w:b/>
                <w:bCs/>
                <w:color w:val="000000"/>
                <w:sz w:val="20"/>
                <w:lang w:val="ru-RU"/>
              </w:rPr>
            </w:pP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Зарплата и премии (Прим.26)</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(18 253)</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(14 333)</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(32 586)</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(388 054)</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Дивиденды, выданные (Прим.29)</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(9 082)</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(36 577)</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(2 546)</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(1 887)</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(50 092)</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(98 122)</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Комиссионный доход (Прим.24)</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61</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147</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1 779</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1 987</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381 212</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Комиссионный расход (Прим.24)</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(952)</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(2)</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(954)</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(50 208)</w:t>
            </w:r>
          </w:p>
        </w:tc>
      </w:tr>
      <w:tr w:rsidR="00140929" w:rsidRPr="009652D5" w:rsidTr="00CF2EC8">
        <w:trPr>
          <w:trHeight w:val="3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Прочий доход (Прим.25)</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2 143</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2 143</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52 528</w:t>
            </w:r>
          </w:p>
        </w:tc>
      </w:tr>
      <w:tr w:rsidR="00140929" w:rsidRPr="009652D5" w:rsidTr="00CF2EC8">
        <w:trPr>
          <w:trHeight w:val="600"/>
        </w:trPr>
        <w:tc>
          <w:tcPr>
            <w:tcW w:w="823" w:type="pct"/>
            <w:tcBorders>
              <w:top w:val="nil"/>
              <w:left w:val="nil"/>
              <w:bottom w:val="nil"/>
              <w:right w:val="nil"/>
            </w:tcBorders>
            <w:shd w:val="clear" w:color="auto" w:fill="auto"/>
            <w:vAlign w:val="bottom"/>
            <w:hideMark/>
          </w:tcPr>
          <w:p w:rsidR="00140929" w:rsidRPr="009652D5" w:rsidRDefault="00140929" w:rsidP="00140929">
            <w:pPr>
              <w:rPr>
                <w:rFonts w:cs="Arial"/>
                <w:color w:val="000000"/>
                <w:sz w:val="20"/>
                <w:lang w:val="ru-RU"/>
              </w:rPr>
            </w:pPr>
            <w:r w:rsidRPr="009652D5">
              <w:rPr>
                <w:rFonts w:cs="Arial"/>
                <w:color w:val="000000"/>
                <w:sz w:val="20"/>
                <w:lang w:val="ru-RU"/>
              </w:rPr>
              <w:t>Прочий расход (Прим.26)</w:t>
            </w:r>
          </w:p>
        </w:tc>
        <w:tc>
          <w:tcPr>
            <w:tcW w:w="751" w:type="pct"/>
            <w:tcBorders>
              <w:top w:val="nil"/>
              <w:left w:val="nil"/>
              <w:bottom w:val="nil"/>
              <w:right w:val="nil"/>
            </w:tcBorders>
            <w:shd w:val="clear" w:color="auto" w:fill="auto"/>
            <w:vAlign w:val="bottom"/>
            <w:hideMark/>
          </w:tcPr>
          <w:p w:rsidR="00140929" w:rsidRPr="009652D5" w:rsidRDefault="00140929" w:rsidP="00140929">
            <w:pPr>
              <w:jc w:val="right"/>
              <w:rPr>
                <w:rFonts w:cs="Arial"/>
                <w:color w:val="000000"/>
                <w:sz w:val="20"/>
                <w:lang w:val="ru-RU"/>
              </w:rPr>
            </w:pPr>
            <w:r w:rsidRPr="009652D5">
              <w:rPr>
                <w:rFonts w:cs="Arial"/>
                <w:color w:val="000000"/>
                <w:sz w:val="20"/>
                <w:lang w:val="ru-RU"/>
              </w:rPr>
              <w:t>-</w:t>
            </w:r>
          </w:p>
        </w:tc>
        <w:tc>
          <w:tcPr>
            <w:tcW w:w="576" w:type="pct"/>
            <w:tcBorders>
              <w:top w:val="nil"/>
              <w:left w:val="nil"/>
              <w:bottom w:val="nil"/>
              <w:right w:val="nil"/>
            </w:tcBorders>
            <w:shd w:val="clear" w:color="auto" w:fill="auto"/>
            <w:vAlign w:val="bottom"/>
            <w:hideMark/>
          </w:tcPr>
          <w:p w:rsidR="00140929" w:rsidRPr="009652D5" w:rsidRDefault="00140929" w:rsidP="0022647F">
            <w:pPr>
              <w:jc w:val="right"/>
              <w:rPr>
                <w:rFonts w:cs="Arial"/>
                <w:color w:val="000000"/>
                <w:sz w:val="20"/>
                <w:lang w:val="ru-RU"/>
              </w:rPr>
            </w:pPr>
            <w:r w:rsidRPr="009652D5">
              <w:rPr>
                <w:rFonts w:cs="Arial"/>
                <w:color w:val="000000"/>
                <w:sz w:val="20"/>
                <w:lang w:val="ru-RU"/>
              </w:rPr>
              <w:t>-</w:t>
            </w:r>
          </w:p>
        </w:tc>
        <w:tc>
          <w:tcPr>
            <w:tcW w:w="865"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w:t>
            </w:r>
          </w:p>
        </w:tc>
        <w:tc>
          <w:tcPr>
            <w:tcW w:w="777" w:type="pct"/>
            <w:tcBorders>
              <w:top w:val="nil"/>
              <w:left w:val="nil"/>
              <w:bottom w:val="nil"/>
              <w:right w:val="nil"/>
            </w:tcBorders>
            <w:shd w:val="clear" w:color="auto" w:fill="auto"/>
            <w:vAlign w:val="bottom"/>
            <w:hideMark/>
          </w:tcPr>
          <w:p w:rsidR="008E3EDA" w:rsidRPr="009652D5" w:rsidRDefault="00140929">
            <w:pPr>
              <w:jc w:val="right"/>
              <w:rPr>
                <w:rFonts w:cs="Arial"/>
                <w:color w:val="000000"/>
                <w:sz w:val="20"/>
                <w:lang w:val="ru-RU"/>
              </w:rPr>
            </w:pPr>
            <w:r w:rsidRPr="009652D5">
              <w:rPr>
                <w:rFonts w:cs="Arial"/>
                <w:color w:val="000000"/>
                <w:sz w:val="20"/>
                <w:lang w:val="ru-RU"/>
              </w:rPr>
              <w:t>(53 285)</w:t>
            </w:r>
          </w:p>
        </w:tc>
        <w:tc>
          <w:tcPr>
            <w:tcW w:w="545"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(53 285)</w:t>
            </w:r>
          </w:p>
        </w:tc>
        <w:tc>
          <w:tcPr>
            <w:tcW w:w="663" w:type="pct"/>
            <w:tcBorders>
              <w:top w:val="nil"/>
              <w:left w:val="nil"/>
              <w:bottom w:val="nil"/>
              <w:right w:val="nil"/>
            </w:tcBorders>
            <w:shd w:val="clear" w:color="auto" w:fill="auto"/>
            <w:vAlign w:val="bottom"/>
            <w:hideMark/>
          </w:tcPr>
          <w:p w:rsidR="008E3EDA" w:rsidRPr="009652D5" w:rsidRDefault="00140929">
            <w:pPr>
              <w:jc w:val="right"/>
              <w:rPr>
                <w:rFonts w:cs="Arial"/>
                <w:b/>
                <w:bCs/>
                <w:color w:val="000000"/>
                <w:sz w:val="20"/>
                <w:lang w:val="ru-RU"/>
              </w:rPr>
            </w:pPr>
            <w:r w:rsidRPr="009652D5">
              <w:rPr>
                <w:rFonts w:cs="Arial"/>
                <w:b/>
                <w:bCs/>
                <w:color w:val="000000"/>
                <w:sz w:val="20"/>
                <w:lang w:val="ru-RU"/>
              </w:rPr>
              <w:t>(879 302)</w:t>
            </w:r>
          </w:p>
        </w:tc>
      </w:tr>
    </w:tbl>
    <w:p w:rsidR="00140929" w:rsidRPr="009652D5" w:rsidRDefault="00140929" w:rsidP="00931E40">
      <w:pPr>
        <w:rPr>
          <w:rFonts w:cs="Arial"/>
          <w:sz w:val="20"/>
          <w:lang w:val="ru-RU"/>
        </w:rPr>
      </w:pPr>
    </w:p>
    <w:p w:rsidR="006572FF" w:rsidRPr="009652D5" w:rsidRDefault="00931E40" w:rsidP="00746B32">
      <w:pPr>
        <w:pStyle w:val="1"/>
        <w:keepLines/>
        <w:pageBreakBefore/>
        <w:numPr>
          <w:ilvl w:val="0"/>
          <w:numId w:val="3"/>
        </w:numPr>
        <w:spacing w:before="0"/>
        <w:rPr>
          <w:rFonts w:cs="Arial"/>
          <w:lang w:val="ru-RU"/>
        </w:rPr>
      </w:pPr>
      <w:bookmarkStart w:id="238" w:name="_Справедливая_стоимость_финансовых"/>
      <w:bookmarkStart w:id="239" w:name="_Toc441479824"/>
      <w:bookmarkEnd w:id="233"/>
      <w:bookmarkEnd w:id="234"/>
      <w:bookmarkEnd w:id="235"/>
      <w:bookmarkEnd w:id="238"/>
      <w:r w:rsidRPr="009652D5">
        <w:rPr>
          <w:rFonts w:cs="Arial"/>
          <w:lang w:val="ru-RU"/>
        </w:rPr>
        <w:lastRenderedPageBreak/>
        <w:t>События после отчетной даты</w:t>
      </w:r>
      <w:bookmarkEnd w:id="239"/>
    </w:p>
    <w:p w:rsidR="00FB0F79" w:rsidRDefault="0088640F" w:rsidP="00746B32">
      <w:pPr>
        <w:jc w:val="both"/>
        <w:rPr>
          <w:sz w:val="20"/>
          <w:lang w:val="ru-RU"/>
        </w:rPr>
      </w:pPr>
      <w:r w:rsidRPr="0088640F">
        <w:rPr>
          <w:sz w:val="20"/>
          <w:lang w:val="ru-RU"/>
        </w:rPr>
        <w:t>В октябре 2014 года - феврале 2015 года Банком России был выявлен существенный объем резервов на возможные потери по ссудам, недосозданных в соответствии с требованиями российского законодательства (Положения Банка России от 26 марта 2004 года №</w:t>
      </w:r>
      <w:r w:rsidR="00FB0F79" w:rsidRPr="00B92CF4">
        <w:rPr>
          <w:sz w:val="20"/>
        </w:rPr>
        <w:t> </w:t>
      </w:r>
      <w:r w:rsidRPr="0088640F">
        <w:rPr>
          <w:sz w:val="20"/>
          <w:lang w:val="ru-RU"/>
        </w:rPr>
        <w:t xml:space="preserve">254-П «О порядке формирования кредитными организациями резервов на возможные потери по ссудам, по ссудной и приравненной к ней задолженности»). </w:t>
      </w:r>
    </w:p>
    <w:p w:rsidR="00FA5226" w:rsidRPr="00FB0F79" w:rsidRDefault="00FA5226" w:rsidP="00746B32">
      <w:pPr>
        <w:jc w:val="both"/>
        <w:rPr>
          <w:sz w:val="20"/>
          <w:lang w:val="ru-RU"/>
        </w:rPr>
      </w:pPr>
    </w:p>
    <w:p w:rsidR="00FB0F79" w:rsidRDefault="0088640F" w:rsidP="00746B32">
      <w:pPr>
        <w:jc w:val="both"/>
        <w:rPr>
          <w:sz w:val="20"/>
          <w:lang w:val="ru-RU"/>
        </w:rPr>
      </w:pPr>
      <w:r w:rsidRPr="0088640F">
        <w:rPr>
          <w:sz w:val="20"/>
          <w:lang w:val="ru-RU"/>
        </w:rPr>
        <w:t xml:space="preserve">В декабре 2014 года в деятельности Банка сложилась ситуация, в рамках которой платежеспособность Банка попала под угрозу. Данная ситуация могла привести к дальнейшему ухудшению финансового положения Банка и отзыву лицензии на осуществление банковских операций. Основной причиной, приведшей к потере платежеспособности Банка, стал дисбаланс пассивной базы и активных операций по срокам и концентрации. </w:t>
      </w:r>
    </w:p>
    <w:p w:rsidR="00FA5226" w:rsidRPr="00FB0F79" w:rsidRDefault="00FA5226" w:rsidP="00746B32">
      <w:pPr>
        <w:jc w:val="both"/>
        <w:rPr>
          <w:sz w:val="20"/>
          <w:lang w:val="ru-RU"/>
        </w:rPr>
      </w:pPr>
    </w:p>
    <w:p w:rsidR="00FB0F79" w:rsidRDefault="0088640F" w:rsidP="00746B32">
      <w:pPr>
        <w:jc w:val="both"/>
        <w:rPr>
          <w:sz w:val="20"/>
          <w:lang w:val="ru-RU"/>
        </w:rPr>
      </w:pPr>
      <w:r w:rsidRPr="0088640F">
        <w:rPr>
          <w:sz w:val="20"/>
          <w:lang w:val="ru-RU"/>
        </w:rPr>
        <w:t xml:space="preserve">11 февраля 2015 года в соответствии с </w:t>
      </w:r>
      <w:r w:rsidR="000912E7">
        <w:rPr>
          <w:sz w:val="20"/>
          <w:lang w:val="ru-RU"/>
        </w:rPr>
        <w:t>ФЗ№</w:t>
      </w:r>
      <w:r w:rsidRPr="0088640F">
        <w:rPr>
          <w:sz w:val="20"/>
          <w:lang w:val="ru-RU"/>
        </w:rPr>
        <w:t xml:space="preserve"> 127-ФЗ «О несостоятельности (банкротстве)» Приказом Банка России от 11.02.2015 №</w:t>
      </w:r>
      <w:r w:rsidR="00FB0F79" w:rsidRPr="00B92CF4">
        <w:rPr>
          <w:sz w:val="20"/>
        </w:rPr>
        <w:t> </w:t>
      </w:r>
      <w:r w:rsidRPr="0088640F">
        <w:rPr>
          <w:sz w:val="20"/>
          <w:lang w:val="ru-RU"/>
        </w:rPr>
        <w:t xml:space="preserve">ОД-329 </w:t>
      </w:r>
      <w:r w:rsidR="00B56187">
        <w:rPr>
          <w:sz w:val="20"/>
          <w:lang w:val="ru-RU"/>
        </w:rPr>
        <w:t xml:space="preserve">на </w:t>
      </w:r>
      <w:r w:rsidRPr="0088640F">
        <w:rPr>
          <w:sz w:val="20"/>
          <w:lang w:val="ru-RU"/>
        </w:rPr>
        <w:t>АСВ</w:t>
      </w:r>
      <w:r w:rsidR="00B56187">
        <w:rPr>
          <w:sz w:val="20"/>
          <w:lang w:val="ru-RU"/>
        </w:rPr>
        <w:t xml:space="preserve"> были </w:t>
      </w:r>
      <w:r w:rsidRPr="0088640F">
        <w:rPr>
          <w:sz w:val="20"/>
          <w:lang w:val="ru-RU"/>
        </w:rPr>
        <w:t>возложены функции временной администрации по управлению Банком</w:t>
      </w:r>
    </w:p>
    <w:p w:rsidR="00FA5226" w:rsidRPr="00FB0F79" w:rsidRDefault="00FA5226" w:rsidP="00746B32">
      <w:pPr>
        <w:jc w:val="both"/>
        <w:rPr>
          <w:sz w:val="20"/>
          <w:lang w:val="ru-RU"/>
        </w:rPr>
      </w:pPr>
    </w:p>
    <w:p w:rsidR="00FB0F79" w:rsidRDefault="0088640F" w:rsidP="00746B32">
      <w:pPr>
        <w:jc w:val="both"/>
        <w:rPr>
          <w:sz w:val="20"/>
          <w:lang w:val="ru-RU"/>
        </w:rPr>
      </w:pPr>
      <w:r w:rsidRPr="0088640F">
        <w:rPr>
          <w:sz w:val="20"/>
          <w:lang w:val="ru-RU"/>
        </w:rPr>
        <w:t>С 11 февраля 2015 года в соответствии с пунктом 3 статьи 189.34 ФЗ №</w:t>
      </w:r>
      <w:r w:rsidR="00FB0F79" w:rsidRPr="00B92CF4">
        <w:rPr>
          <w:sz w:val="20"/>
        </w:rPr>
        <w:t> </w:t>
      </w:r>
      <w:r w:rsidRPr="0088640F">
        <w:rPr>
          <w:sz w:val="20"/>
          <w:lang w:val="ru-RU"/>
        </w:rPr>
        <w:t>127-ФЗ «О несостоятельности (банкротстве)» приостановлены права учредителей (участников), связанные с участием в уставном капитале Банка, предусмотренные учредительными документами Банка, и полномочия органов управления Банка.</w:t>
      </w:r>
    </w:p>
    <w:p w:rsidR="00FA5226" w:rsidRPr="00FB0F79" w:rsidRDefault="00FA5226" w:rsidP="00746B32">
      <w:pPr>
        <w:jc w:val="both"/>
        <w:rPr>
          <w:sz w:val="20"/>
          <w:lang w:val="ru-RU"/>
        </w:rPr>
      </w:pPr>
    </w:p>
    <w:p w:rsidR="00FB0F79" w:rsidRDefault="0088640F" w:rsidP="00746B32">
      <w:pPr>
        <w:pStyle w:val="ad"/>
        <w:rPr>
          <w:sz w:val="20"/>
          <w:lang w:val="ru-RU"/>
        </w:rPr>
      </w:pPr>
      <w:r w:rsidRPr="0088640F">
        <w:rPr>
          <w:sz w:val="20"/>
          <w:lang w:val="ru-RU"/>
        </w:rPr>
        <w:t>В феврале 2015 года в период составления годовой бухгалтерской (финансовой) отчетности за 2014 год в соответствии с Предписанием Северо-Западного управления Банка России Банком были досозданы резервы на возможные потери по ссудной задолженности на общую сумму 2</w:t>
      </w:r>
      <w:r w:rsidR="00FB0F79" w:rsidRPr="00B92CF4">
        <w:rPr>
          <w:sz w:val="20"/>
        </w:rPr>
        <w:t> </w:t>
      </w:r>
      <w:r w:rsidRPr="0088640F">
        <w:rPr>
          <w:sz w:val="20"/>
          <w:lang w:val="ru-RU"/>
        </w:rPr>
        <w:t>133,7 млн. руб.</w:t>
      </w:r>
    </w:p>
    <w:p w:rsidR="00FA5226" w:rsidRPr="00FB0F79" w:rsidRDefault="00FA5226" w:rsidP="00746B32">
      <w:pPr>
        <w:pStyle w:val="ad"/>
        <w:rPr>
          <w:sz w:val="20"/>
          <w:lang w:val="ru-RU"/>
        </w:rPr>
      </w:pPr>
    </w:p>
    <w:p w:rsidR="00FB0F79" w:rsidRPr="00FB0F79" w:rsidRDefault="0088640F" w:rsidP="00746B32">
      <w:pPr>
        <w:pStyle w:val="ad"/>
        <w:rPr>
          <w:sz w:val="20"/>
          <w:lang w:val="ru-RU"/>
        </w:rPr>
      </w:pPr>
      <w:r w:rsidRPr="0088640F">
        <w:rPr>
          <w:sz w:val="20"/>
          <w:lang w:val="ru-RU"/>
        </w:rPr>
        <w:t xml:space="preserve">В результате досоздания резервов собственные средства Банка приобрели отрицательное значение, что повлекло несоблюдение нормативов, в расчет которых входит показатель собственных средств (капитала) Банка, в том числе нормативов достаточности капитала. </w:t>
      </w:r>
    </w:p>
    <w:p w:rsidR="00FA5226" w:rsidRPr="00FB0F79" w:rsidRDefault="00FA5226" w:rsidP="00746B32">
      <w:pPr>
        <w:autoSpaceDE w:val="0"/>
        <w:spacing w:before="60" w:after="60" w:line="20" w:lineRule="atLeast"/>
        <w:jc w:val="both"/>
        <w:rPr>
          <w:sz w:val="20"/>
          <w:lang w:val="ru-RU"/>
        </w:rPr>
      </w:pPr>
    </w:p>
    <w:p w:rsidR="00FB0F79" w:rsidRDefault="0088640F" w:rsidP="00746B32">
      <w:pPr>
        <w:autoSpaceDE w:val="0"/>
        <w:spacing w:before="60" w:after="60" w:line="20" w:lineRule="atLeast"/>
        <w:jc w:val="both"/>
        <w:rPr>
          <w:sz w:val="20"/>
          <w:lang w:val="ru-RU"/>
        </w:rPr>
      </w:pPr>
      <w:r w:rsidRPr="0088640F">
        <w:rPr>
          <w:sz w:val="20"/>
          <w:lang w:val="ru-RU"/>
        </w:rPr>
        <w:t xml:space="preserve">В официальной отчетности Банка, по состоянию на 01.03.2015, по форме отчетности 0409123, расчет собственных средств (капитала) по Базелю </w:t>
      </w:r>
      <w:r w:rsidR="00FB0F79" w:rsidRPr="00B92CF4">
        <w:rPr>
          <w:sz w:val="20"/>
        </w:rPr>
        <w:t>III</w:t>
      </w:r>
      <w:r w:rsidRPr="0088640F">
        <w:rPr>
          <w:sz w:val="20"/>
          <w:lang w:val="ru-RU"/>
        </w:rPr>
        <w:t xml:space="preserve"> Банка составил отрицательную величину и был равен (-70,091) млн. руб.</w:t>
      </w:r>
    </w:p>
    <w:p w:rsidR="00FA5226" w:rsidRPr="00FB0F79" w:rsidRDefault="00FA5226" w:rsidP="00746B32">
      <w:pPr>
        <w:autoSpaceDE w:val="0"/>
        <w:spacing w:before="60" w:after="60" w:line="20" w:lineRule="atLeast"/>
        <w:jc w:val="both"/>
        <w:rPr>
          <w:sz w:val="20"/>
          <w:lang w:val="ru-RU"/>
        </w:rPr>
      </w:pPr>
    </w:p>
    <w:p w:rsidR="00FB0F79" w:rsidRPr="00FB0F79" w:rsidRDefault="0088640F" w:rsidP="00746B32">
      <w:pPr>
        <w:pStyle w:val="ad"/>
        <w:rPr>
          <w:sz w:val="20"/>
          <w:lang w:val="ru-RU"/>
        </w:rPr>
      </w:pPr>
      <w:r w:rsidRPr="0088640F">
        <w:rPr>
          <w:sz w:val="20"/>
          <w:lang w:val="ru-RU"/>
        </w:rPr>
        <w:t>В связи со снижением норматива достаточности собственных средств (капитала) Банка ниже уровня, определенного нормативным актом Банка России в соответствии со статьей 25.1 Федерального закона от 02.12.1990 №</w:t>
      </w:r>
      <w:r w:rsidR="00FB0F79" w:rsidRPr="00963FD1">
        <w:rPr>
          <w:sz w:val="20"/>
          <w:lang w:val="ru-RU"/>
        </w:rPr>
        <w:t> </w:t>
      </w:r>
      <w:r w:rsidRPr="0088640F">
        <w:rPr>
          <w:sz w:val="20"/>
          <w:lang w:val="ru-RU"/>
        </w:rPr>
        <w:t xml:space="preserve">395-1 «О банках и банковской деятельности» и в соответствии с Планом </w:t>
      </w:r>
      <w:r w:rsidR="00EA35DE">
        <w:rPr>
          <w:rStyle w:val="ABC-paragrahinNotesChar"/>
          <w:rFonts w:cs="Arial"/>
          <w:sz w:val="20"/>
          <w:lang w:val="ru-RU"/>
        </w:rPr>
        <w:t>финансового оздоровления</w:t>
      </w:r>
      <w:r w:rsidR="00EA35DE" w:rsidRPr="0088640F">
        <w:rPr>
          <w:rStyle w:val="ABC-paragrahinNotesChar"/>
          <w:rFonts w:cs="Arial"/>
          <w:sz w:val="20"/>
          <w:lang w:val="ru-RU"/>
        </w:rPr>
        <w:t xml:space="preserve"> </w:t>
      </w:r>
      <w:r w:rsidRPr="0088640F">
        <w:rPr>
          <w:sz w:val="20"/>
          <w:lang w:val="ru-RU"/>
        </w:rPr>
        <w:t>были прекращены обязательства Банка по субординированным займам в сумме 450 млн. рублей и 26,7 млн. евро, а именно:</w:t>
      </w:r>
    </w:p>
    <w:p w:rsidR="00FB0F79" w:rsidRPr="002F09B1" w:rsidRDefault="00FB0F79" w:rsidP="00746B32">
      <w:pPr>
        <w:pStyle w:val="ConsPlusNormal0"/>
        <w:numPr>
          <w:ilvl w:val="0"/>
          <w:numId w:val="24"/>
        </w:numPr>
        <w:ind w:left="1260"/>
        <w:jc w:val="both"/>
        <w:rPr>
          <w:lang w:eastAsia="ar-SA"/>
        </w:rPr>
      </w:pPr>
      <w:r w:rsidRPr="002F09B1">
        <w:rPr>
          <w:lang w:eastAsia="ar-SA"/>
        </w:rPr>
        <w:t>в размере 15 млн. евро по договору между ООО «ОРИМИ» и Банком;</w:t>
      </w:r>
    </w:p>
    <w:p w:rsidR="00FB0F79" w:rsidRPr="002F09B1" w:rsidRDefault="00FB0F79" w:rsidP="00746B32">
      <w:pPr>
        <w:pStyle w:val="ConsPlusNormal0"/>
        <w:numPr>
          <w:ilvl w:val="0"/>
          <w:numId w:val="24"/>
        </w:numPr>
        <w:ind w:left="1260"/>
        <w:jc w:val="both"/>
        <w:rPr>
          <w:lang w:eastAsia="ar-SA"/>
        </w:rPr>
      </w:pPr>
      <w:r w:rsidRPr="002F09B1">
        <w:rPr>
          <w:lang w:eastAsia="ar-SA"/>
        </w:rPr>
        <w:t>в размере 450 млн. рублей по двум договорам между ООО «СПИК» и Банком;</w:t>
      </w:r>
    </w:p>
    <w:p w:rsidR="00FB0F79" w:rsidRPr="002F09B1" w:rsidRDefault="00FB0F79" w:rsidP="00746B32">
      <w:pPr>
        <w:pStyle w:val="ConsPlusNormal0"/>
        <w:numPr>
          <w:ilvl w:val="0"/>
          <w:numId w:val="24"/>
        </w:numPr>
        <w:spacing w:after="120"/>
        <w:ind w:left="1259" w:hanging="357"/>
        <w:jc w:val="both"/>
        <w:rPr>
          <w:lang w:eastAsia="ar-SA"/>
        </w:rPr>
      </w:pPr>
      <w:r w:rsidRPr="002F09B1">
        <w:rPr>
          <w:lang w:eastAsia="ar-SA"/>
        </w:rPr>
        <w:t>в размере 11,7 млн. евро по двум договорам между SpareBank 1 Nord-Norge и Банком.</w:t>
      </w:r>
    </w:p>
    <w:p w:rsidR="00FB0F79" w:rsidRPr="005D274D" w:rsidRDefault="00FB0F79" w:rsidP="00746B32">
      <w:pPr>
        <w:pStyle w:val="ad"/>
        <w:rPr>
          <w:sz w:val="20"/>
          <w:lang w:val="ru-RU"/>
        </w:rPr>
      </w:pPr>
      <w:r w:rsidRPr="00FB0F79">
        <w:rPr>
          <w:sz w:val="20"/>
          <w:lang w:val="ru-RU"/>
        </w:rPr>
        <w:t>В отношении прекращенных обязательств по выплате субординированных займов за период, прошедший до моме</w:t>
      </w:r>
      <w:r w:rsidRPr="005D274D">
        <w:rPr>
          <w:sz w:val="20"/>
          <w:lang w:val="ru-RU"/>
        </w:rPr>
        <w:t>нта подписания настоящей отчетности, произошли следующие события.</w:t>
      </w:r>
    </w:p>
    <w:p w:rsidR="00FB0F79" w:rsidRDefault="0088640F" w:rsidP="00746B32">
      <w:pPr>
        <w:pStyle w:val="ad"/>
        <w:rPr>
          <w:sz w:val="20"/>
          <w:lang w:val="ru-RU"/>
        </w:rPr>
      </w:pPr>
      <w:r w:rsidRPr="0088640F">
        <w:rPr>
          <w:sz w:val="20"/>
          <w:lang w:val="ru-RU"/>
        </w:rPr>
        <w:t xml:space="preserve">ООО "ОРИМИ"  был подан иск к Банку о признании незаконным прекращения обязательств Банка по договору субординированного займа, который рассматривался в Арбитражном суде СПб и ЛО. В качестве третьих лиц  были привлечены АСВ и </w:t>
      </w:r>
      <w:r w:rsidR="000912E7">
        <w:rPr>
          <w:sz w:val="20"/>
          <w:lang w:val="ru-RU"/>
        </w:rPr>
        <w:t>Банк России</w:t>
      </w:r>
      <w:r w:rsidRPr="0088640F">
        <w:rPr>
          <w:sz w:val="20"/>
          <w:lang w:val="ru-RU"/>
        </w:rPr>
        <w:t>. Решением суда (изготовлено в полном объеме 24.10.2015) иск удовлетворен, поданы апелляционные жалобы Банка и Банка</w:t>
      </w:r>
      <w:r w:rsidR="000912E7">
        <w:rPr>
          <w:sz w:val="20"/>
          <w:lang w:val="ru-RU"/>
        </w:rPr>
        <w:t xml:space="preserve"> России</w:t>
      </w:r>
      <w:r w:rsidRPr="0088640F">
        <w:rPr>
          <w:sz w:val="20"/>
          <w:lang w:val="ru-RU"/>
        </w:rPr>
        <w:t xml:space="preserve">. Судебное разбирательство назначено на 10.02.2016. </w:t>
      </w:r>
    </w:p>
    <w:p w:rsidR="00616C67" w:rsidRPr="00FB0F79" w:rsidRDefault="00616C67" w:rsidP="00746B32">
      <w:pPr>
        <w:pStyle w:val="ad"/>
        <w:rPr>
          <w:sz w:val="20"/>
          <w:lang w:val="ru-RU"/>
        </w:rPr>
      </w:pPr>
    </w:p>
    <w:p w:rsidR="00FB0F79" w:rsidRDefault="0088640F" w:rsidP="00746B32">
      <w:pPr>
        <w:pStyle w:val="ad"/>
        <w:rPr>
          <w:sz w:val="20"/>
          <w:lang w:val="ru-RU"/>
        </w:rPr>
      </w:pPr>
      <w:r w:rsidRPr="0088640F">
        <w:rPr>
          <w:sz w:val="20"/>
          <w:lang w:val="ru-RU"/>
        </w:rPr>
        <w:t xml:space="preserve">ООО "СПИК"  был подан иск к  Банку о признании незаконным прекращения обязательств Банка по договору субординированного займа, который рассматривался в Арбитражном суде СПб и ЛО. В качестве третьих лиц  были привлечены АСВ и </w:t>
      </w:r>
      <w:r w:rsidR="000912E7">
        <w:rPr>
          <w:sz w:val="20"/>
          <w:lang w:val="ru-RU"/>
        </w:rPr>
        <w:t>Банк России</w:t>
      </w:r>
      <w:r w:rsidRPr="0088640F">
        <w:rPr>
          <w:sz w:val="20"/>
          <w:lang w:val="ru-RU"/>
        </w:rPr>
        <w:t xml:space="preserve">. Решением суда (изготовлено в полном объеме 15.10.2015) в удовлетворении исковых требований отказано в полном объеме. </w:t>
      </w:r>
      <w:r w:rsidRPr="0088640F">
        <w:rPr>
          <w:sz w:val="20"/>
          <w:lang w:val="ru-RU"/>
        </w:rPr>
        <w:lastRenderedPageBreak/>
        <w:t>ООО "СПИК" подана апелляционная  жалоба, рассмотрение апелляции назначено на 21.01.2016.</w:t>
      </w:r>
    </w:p>
    <w:p w:rsidR="00565FEC" w:rsidRPr="00FB0F79" w:rsidRDefault="00565FEC" w:rsidP="00746B32">
      <w:pPr>
        <w:pStyle w:val="ad"/>
        <w:rPr>
          <w:sz w:val="20"/>
          <w:lang w:val="ru-RU"/>
        </w:rPr>
      </w:pPr>
    </w:p>
    <w:p w:rsidR="00FB0F79" w:rsidRPr="00FB0F79" w:rsidRDefault="0088640F" w:rsidP="00746B32">
      <w:pPr>
        <w:pStyle w:val="ad"/>
        <w:rPr>
          <w:sz w:val="20"/>
          <w:lang w:val="ru-RU"/>
        </w:rPr>
      </w:pPr>
      <w:r w:rsidRPr="0088640F">
        <w:rPr>
          <w:sz w:val="20"/>
          <w:lang w:val="ru-RU"/>
        </w:rPr>
        <w:t>Спаребанком 1 Норд-Норге были предъявлены исковые требования о расторжении договоров и о взыскании задолженности по договорам субординированного займа от 16.07.2010 и от 23.08.2011 (дело подлежит рассмотрению в Арбитражном суде Норвегии).  В ноябре 2015 года Банком было получено уведомление о согласовании состава арбитров, дата судебного заседания не известна.</w:t>
      </w:r>
    </w:p>
    <w:p w:rsidR="00FB0F79" w:rsidRDefault="0088640F" w:rsidP="00746B32">
      <w:pPr>
        <w:pStyle w:val="ad"/>
        <w:rPr>
          <w:sz w:val="20"/>
          <w:lang w:val="ru-RU"/>
        </w:rPr>
      </w:pPr>
      <w:r w:rsidRPr="0088640F">
        <w:rPr>
          <w:sz w:val="20"/>
          <w:lang w:val="ru-RU"/>
        </w:rPr>
        <w:t>Для участия в предупреждении банкротства Банка Агентство провело отбор инвестора. Инвестором был Банк МФК, как кандидат, предложивший наиболее выгодные условия по финансированию мероприятий по предупреждению банкротства Банка.</w:t>
      </w:r>
    </w:p>
    <w:p w:rsidR="003A3E9D" w:rsidRPr="00FB0F79" w:rsidRDefault="003A3E9D" w:rsidP="00746B32">
      <w:pPr>
        <w:pStyle w:val="ad"/>
        <w:rPr>
          <w:sz w:val="20"/>
          <w:lang w:val="ru-RU"/>
        </w:rPr>
      </w:pPr>
    </w:p>
    <w:p w:rsidR="00FB0F79" w:rsidRDefault="0088640F" w:rsidP="00746B32">
      <w:pPr>
        <w:pStyle w:val="ad"/>
        <w:rPr>
          <w:sz w:val="20"/>
          <w:lang w:val="ru-RU"/>
        </w:rPr>
      </w:pPr>
      <w:r w:rsidRPr="0088640F">
        <w:rPr>
          <w:sz w:val="20"/>
          <w:lang w:val="ru-RU"/>
        </w:rPr>
        <w:t xml:space="preserve">В целях устранения признаков неустойчивого финансового положения Банка Банком России и Агентством в феврале 2015 года был разработан План </w:t>
      </w:r>
      <w:r w:rsidR="00EA35DE">
        <w:rPr>
          <w:rStyle w:val="ABC-paragrahinNotesChar"/>
          <w:rFonts w:cs="Arial"/>
          <w:sz w:val="20"/>
          <w:lang w:val="ru-RU"/>
        </w:rPr>
        <w:t>финансового оздоровления</w:t>
      </w:r>
      <w:r w:rsidRPr="0088640F">
        <w:rPr>
          <w:sz w:val="20"/>
          <w:lang w:val="ru-RU"/>
        </w:rPr>
        <w:t xml:space="preserve"> в осуществлении мер по предупреждению банкротства Банка </w:t>
      </w:r>
      <w:r w:rsidR="00963FD1">
        <w:rPr>
          <w:sz w:val="20"/>
          <w:lang w:val="ru-RU"/>
        </w:rPr>
        <w:t>«</w:t>
      </w:r>
      <w:r w:rsidRPr="0088640F">
        <w:rPr>
          <w:sz w:val="20"/>
          <w:lang w:val="ru-RU"/>
        </w:rPr>
        <w:t>Таврический» (ОАО). Процедура финансового оздоровления Банка является переходным этапом в его деятельности по возврату из нестабильного состояния в состояние стабильности и устойчивого развития.</w:t>
      </w:r>
    </w:p>
    <w:p w:rsidR="003A3E9D" w:rsidRPr="00FB0F79" w:rsidRDefault="003A3E9D" w:rsidP="00746B32">
      <w:pPr>
        <w:pStyle w:val="ad"/>
        <w:rPr>
          <w:sz w:val="20"/>
          <w:lang w:val="ru-RU"/>
        </w:rPr>
      </w:pPr>
    </w:p>
    <w:p w:rsidR="00FB0F79" w:rsidRPr="00FB0F79" w:rsidRDefault="0088640F" w:rsidP="00746B32">
      <w:pPr>
        <w:pStyle w:val="ad"/>
        <w:rPr>
          <w:sz w:val="20"/>
          <w:lang w:val="ru-RU"/>
        </w:rPr>
      </w:pPr>
      <w:r w:rsidRPr="0088640F">
        <w:rPr>
          <w:sz w:val="20"/>
          <w:lang w:val="ru-RU"/>
        </w:rPr>
        <w:t>Целями финансового оздоровления Банка являются:</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безусловное исполнение обязательств перед клиентами Банка, восстановление текущей ликвидности и платёжеспособности;</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восстановление финансовой устойчивости Банка, стабилизация деятельности и выполнение всех пруденциальных требований Банка России;</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эффективная работа с проблемными активами;</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обеспечение эффективной деятельности Банка и его объединение с Инвестором.</w:t>
      </w:r>
    </w:p>
    <w:p w:rsidR="00FB0F79" w:rsidRPr="00FB0F79" w:rsidRDefault="00FB0F79" w:rsidP="00746B32">
      <w:pPr>
        <w:pStyle w:val="ad"/>
        <w:rPr>
          <w:sz w:val="20"/>
          <w:lang w:val="ru-RU"/>
        </w:rPr>
      </w:pPr>
    </w:p>
    <w:p w:rsidR="00FB0F79" w:rsidRPr="00FB0F79" w:rsidRDefault="006E4AC3" w:rsidP="00746B32">
      <w:pPr>
        <w:pStyle w:val="ad"/>
        <w:rPr>
          <w:sz w:val="20"/>
          <w:lang w:val="ru-RU"/>
        </w:rPr>
      </w:pPr>
      <w:r>
        <w:rPr>
          <w:sz w:val="20"/>
          <w:lang w:val="ru-RU"/>
        </w:rPr>
        <w:t>Реализация целей</w:t>
      </w:r>
      <w:r w:rsidR="0088640F" w:rsidRPr="0088640F">
        <w:rPr>
          <w:sz w:val="20"/>
          <w:lang w:val="ru-RU"/>
        </w:rPr>
        <w:t xml:space="preserve"> финансового оздоровления предусматривает решение следующих задач:</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бесперебойное проведение расчетов по требованиям клиентов и с клиентами;</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реорганизация Банка в форме его присоединения к Инвестору в срок до 22.04.2025;</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формирование резервов на возможные потери по ссудной и приравненной к ней задолженности соразмерно принимаемым Банком рискам по проблемному и текущему портфелям в соответствии с требованиями Банка России;</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обеспечение эффективного взаимодействия Агентства, Банка и Инвестора, в том числе, при предоставлении Агентству документов и материалов, относящихся к мероприятиям по предупреждению банкротства Банка;</w:t>
      </w:r>
    </w:p>
    <w:p w:rsidR="00FB0F79" w:rsidRPr="00FB0F79" w:rsidRDefault="00B77A95" w:rsidP="00746B32">
      <w:pPr>
        <w:pStyle w:val="ad"/>
        <w:rPr>
          <w:sz w:val="20"/>
          <w:lang w:val="ru-RU"/>
        </w:rPr>
      </w:pPr>
      <w:r>
        <w:rPr>
          <w:sz w:val="20"/>
          <w:lang w:val="ru-RU"/>
        </w:rPr>
        <w:t xml:space="preserve">- </w:t>
      </w:r>
      <w:r w:rsidR="0088640F" w:rsidRPr="0088640F">
        <w:rPr>
          <w:sz w:val="20"/>
          <w:lang w:val="ru-RU"/>
        </w:rPr>
        <w:t>обеспечение возможности для Агентства контролировать процесс финансового оздоровления Банка, включая направление Банком в адрес Агентства еженедельных и ежемесячных отчетов о ходе выполнения предусмотренных мероприятий.</w:t>
      </w:r>
    </w:p>
    <w:p w:rsidR="00FB0F79" w:rsidRPr="00FB0F79" w:rsidRDefault="00FB0F79" w:rsidP="00746B32">
      <w:pPr>
        <w:pStyle w:val="ad"/>
        <w:rPr>
          <w:sz w:val="20"/>
          <w:lang w:val="ru-RU"/>
        </w:rPr>
      </w:pPr>
    </w:p>
    <w:p w:rsidR="00FB0F79" w:rsidRDefault="0088640F" w:rsidP="00746B32">
      <w:pPr>
        <w:pStyle w:val="ad"/>
        <w:rPr>
          <w:sz w:val="20"/>
          <w:lang w:val="ru-RU"/>
        </w:rPr>
      </w:pPr>
      <w:r w:rsidRPr="0088640F">
        <w:rPr>
          <w:sz w:val="20"/>
          <w:lang w:val="ru-RU"/>
        </w:rPr>
        <w:t xml:space="preserve">Итогом проведения мероприятий по финансовому оздоровлению Банка будет восстановление показателей финансового состояния Банка до значений, установленных федеральными законами и нормативными актами Банка России, а также достижение финансовых результатов в соответствии с </w:t>
      </w:r>
      <w:r w:rsidR="00EA35DE">
        <w:rPr>
          <w:sz w:val="20"/>
          <w:lang w:val="ru-RU"/>
        </w:rPr>
        <w:t>П</w:t>
      </w:r>
      <w:r w:rsidR="00EA35DE" w:rsidRPr="0088640F">
        <w:rPr>
          <w:sz w:val="20"/>
          <w:lang w:val="ru-RU"/>
        </w:rPr>
        <w:t xml:space="preserve">ланом </w:t>
      </w:r>
      <w:r w:rsidRPr="0088640F">
        <w:rPr>
          <w:sz w:val="20"/>
          <w:lang w:val="ru-RU"/>
        </w:rPr>
        <w:t>финансового оздоровления.</w:t>
      </w:r>
    </w:p>
    <w:p w:rsidR="006E4AC3" w:rsidRPr="00FB0F79" w:rsidRDefault="006E4AC3" w:rsidP="00746B32">
      <w:pPr>
        <w:pStyle w:val="ad"/>
        <w:rPr>
          <w:sz w:val="20"/>
          <w:lang w:val="ru-RU"/>
        </w:rPr>
      </w:pPr>
    </w:p>
    <w:p w:rsidR="00EA35DE" w:rsidRDefault="00EA35DE" w:rsidP="00746B32">
      <w:pPr>
        <w:jc w:val="both"/>
        <w:rPr>
          <w:rStyle w:val="ABC-paragrahinNotesChar"/>
          <w:rFonts w:cs="Arial"/>
          <w:sz w:val="20"/>
          <w:lang w:val="ru-RU"/>
        </w:rPr>
      </w:pPr>
      <w:r w:rsidRPr="0088640F">
        <w:rPr>
          <w:rStyle w:val="ABC-paragrahinNotesChar"/>
          <w:rFonts w:cs="Arial"/>
          <w:sz w:val="20"/>
          <w:lang w:val="ru-RU"/>
        </w:rPr>
        <w:t xml:space="preserve">В соответствии с </w:t>
      </w:r>
      <w:r>
        <w:rPr>
          <w:rStyle w:val="ABC-paragrahinNotesChar"/>
          <w:rFonts w:cs="Arial"/>
          <w:sz w:val="20"/>
          <w:lang w:val="ru-RU"/>
        </w:rPr>
        <w:t xml:space="preserve">Генеральным соглашением от 08 апреля 2015 года № 2015-0240-3, Дополнительным соглашением к указанному Генеральному соглашению и </w:t>
      </w:r>
      <w:r w:rsidRPr="0088640F">
        <w:rPr>
          <w:rStyle w:val="ABC-paragrahinNotesChar"/>
          <w:rFonts w:cs="Arial"/>
          <w:sz w:val="20"/>
          <w:lang w:val="ru-RU"/>
        </w:rPr>
        <w:t xml:space="preserve">Планом </w:t>
      </w:r>
      <w:r w:rsidRPr="003464BC">
        <w:rPr>
          <w:rStyle w:val="ABC-paragrahinNotesChar"/>
          <w:rFonts w:cs="Arial"/>
          <w:sz w:val="20"/>
          <w:lang w:val="ru-RU"/>
        </w:rPr>
        <w:t>финансового оздоровления</w:t>
      </w:r>
      <w:r w:rsidRPr="0088640F">
        <w:rPr>
          <w:rStyle w:val="ABC-paragrahinNotesChar"/>
          <w:rFonts w:cs="Arial"/>
          <w:sz w:val="20"/>
          <w:lang w:val="ru-RU"/>
        </w:rPr>
        <w:t xml:space="preserve"> Агентство предоставило за счет кредита Банка России финансовую помощь Банку в виде займа в размере 28 млрд. рублей сроком на 10 лет. При этом часть обязательств Банка перед крупнейшими кредиторами ОАО «Ленэнерго» и ОАО «МРСК Северо-Запада», выразившими заинтересованность в финансовом оздоровлении Банка, переоформлена в субординированные депозиты на общую сумму 12,7 млрд. рублей на срок 20 лет. </w:t>
      </w:r>
    </w:p>
    <w:p w:rsidR="00EA35DE" w:rsidRPr="00B92214" w:rsidRDefault="00EA35DE" w:rsidP="00746B32">
      <w:pPr>
        <w:jc w:val="both"/>
        <w:rPr>
          <w:rStyle w:val="ABC-paragrahinNotesChar"/>
          <w:rFonts w:cs="Arial"/>
          <w:sz w:val="16"/>
          <w:szCs w:val="16"/>
          <w:lang w:val="ru-RU"/>
        </w:rPr>
      </w:pPr>
    </w:p>
    <w:p w:rsidR="00EA35DE" w:rsidRDefault="00EA35DE" w:rsidP="00746B32">
      <w:pPr>
        <w:jc w:val="both"/>
        <w:rPr>
          <w:rStyle w:val="ABC-paragrahinNotesChar"/>
          <w:rFonts w:cs="Arial"/>
          <w:sz w:val="20"/>
          <w:lang w:val="ru-RU"/>
        </w:rPr>
      </w:pPr>
      <w:r w:rsidRPr="0088640F">
        <w:rPr>
          <w:rStyle w:val="ABC-paragrahinNotesChar"/>
          <w:rFonts w:cs="Arial"/>
          <w:sz w:val="20"/>
          <w:lang w:val="ru-RU"/>
        </w:rPr>
        <w:t xml:space="preserve">Также </w:t>
      </w:r>
      <w:r>
        <w:rPr>
          <w:rStyle w:val="ABC-paragrahinNotesChar"/>
          <w:rFonts w:cs="Arial"/>
          <w:sz w:val="20"/>
          <w:lang w:val="ru-RU"/>
        </w:rPr>
        <w:t xml:space="preserve">в соответствии с Генеральным соглашением от 08 апреля 2015 года № 2015-0240-3, Дополнительным соглашением к указанному Генеральному соглашению и </w:t>
      </w:r>
      <w:r w:rsidRPr="0088640F">
        <w:rPr>
          <w:rStyle w:val="ABC-paragrahinNotesChar"/>
          <w:rFonts w:cs="Arial"/>
          <w:sz w:val="20"/>
          <w:lang w:val="ru-RU"/>
        </w:rPr>
        <w:t xml:space="preserve">Планом </w:t>
      </w:r>
      <w:r>
        <w:rPr>
          <w:rStyle w:val="ABC-paragrahinNotesChar"/>
          <w:rFonts w:cs="Arial"/>
          <w:sz w:val="20"/>
          <w:lang w:val="ru-RU"/>
        </w:rPr>
        <w:t>финансового оздоровления</w:t>
      </w:r>
      <w:r w:rsidRPr="0088640F">
        <w:rPr>
          <w:rStyle w:val="ABC-paragrahinNotesChar"/>
          <w:rFonts w:cs="Arial"/>
          <w:sz w:val="20"/>
          <w:lang w:val="ru-RU"/>
        </w:rPr>
        <w:t xml:space="preserve"> </w:t>
      </w:r>
      <w:r>
        <w:rPr>
          <w:rStyle w:val="ABC-paragrahinNotesChar"/>
          <w:rFonts w:cs="Arial"/>
          <w:sz w:val="20"/>
          <w:lang w:val="ru-RU"/>
        </w:rPr>
        <w:t xml:space="preserve"> Агентством </w:t>
      </w:r>
      <w:r w:rsidRPr="0088640F">
        <w:rPr>
          <w:rStyle w:val="ABC-paragrahinNotesChar"/>
          <w:rFonts w:cs="Arial"/>
          <w:sz w:val="20"/>
          <w:lang w:val="ru-RU"/>
        </w:rPr>
        <w:t>проведено снижение уставного капитала Банка до 1 рубля и рекапитализация в пользу Банка МФК, что позволило Банку МФК стать основным акционером Банка</w:t>
      </w:r>
      <w:r>
        <w:rPr>
          <w:rStyle w:val="ABC-paragrahinNotesChar"/>
          <w:rFonts w:cs="Arial"/>
          <w:sz w:val="20"/>
          <w:lang w:val="ru-RU"/>
        </w:rPr>
        <w:t>.</w:t>
      </w:r>
    </w:p>
    <w:p w:rsidR="00EA35DE" w:rsidRPr="00B92214" w:rsidRDefault="00EA35DE" w:rsidP="00746B32">
      <w:pPr>
        <w:jc w:val="both"/>
        <w:rPr>
          <w:rStyle w:val="ABC-paragrahinNotesChar"/>
          <w:rFonts w:cs="Arial"/>
          <w:sz w:val="16"/>
          <w:szCs w:val="16"/>
          <w:lang w:val="ru-RU"/>
        </w:rPr>
      </w:pPr>
    </w:p>
    <w:p w:rsidR="00EA35DE" w:rsidRDefault="00EA35DE" w:rsidP="00746B32">
      <w:pPr>
        <w:jc w:val="both"/>
        <w:rPr>
          <w:rStyle w:val="ABC-paragrahinNotesChar"/>
          <w:rFonts w:cs="Arial"/>
          <w:sz w:val="20"/>
          <w:lang w:val="ru-RU"/>
        </w:rPr>
      </w:pPr>
      <w:r w:rsidRPr="0088640F">
        <w:rPr>
          <w:rStyle w:val="ABC-paragrahinNotesChar"/>
          <w:rFonts w:cs="Arial"/>
          <w:sz w:val="20"/>
          <w:lang w:val="ru-RU"/>
        </w:rPr>
        <w:t>В срок до 1 июля 2022 года запланирована реорганизация Банка в форме его присоединения к Банку МФК.</w:t>
      </w:r>
    </w:p>
    <w:p w:rsidR="002F09B1" w:rsidRPr="002F09B1" w:rsidRDefault="002F09B1" w:rsidP="00746B32">
      <w:pPr>
        <w:pStyle w:val="ad"/>
        <w:rPr>
          <w:sz w:val="20"/>
          <w:lang w:val="ru-RU"/>
        </w:rPr>
      </w:pPr>
    </w:p>
    <w:p w:rsidR="00FB0F79" w:rsidRPr="002F09B1" w:rsidRDefault="0088640F" w:rsidP="00746B32">
      <w:pPr>
        <w:pStyle w:val="ad"/>
        <w:rPr>
          <w:sz w:val="20"/>
          <w:lang w:val="ru-RU"/>
        </w:rPr>
      </w:pPr>
      <w:r w:rsidRPr="002F09B1">
        <w:rPr>
          <w:sz w:val="20"/>
          <w:lang w:val="ru-RU"/>
        </w:rPr>
        <w:lastRenderedPageBreak/>
        <w:t>В период составления настоящей финансовой отчетности Банком заявлено 17</w:t>
      </w:r>
      <w:bookmarkStart w:id="240" w:name="_GoBack"/>
      <w:bookmarkEnd w:id="240"/>
      <w:r w:rsidRPr="002F09B1">
        <w:rPr>
          <w:sz w:val="20"/>
          <w:lang w:val="ru-RU"/>
        </w:rPr>
        <w:t>исков о взыскании задолженности, в том числе по кредитным обязательствам.</w:t>
      </w:r>
      <w:r w:rsidR="00B77A95">
        <w:rPr>
          <w:sz w:val="20"/>
          <w:lang w:val="ru-RU"/>
        </w:rPr>
        <w:t xml:space="preserve"> </w:t>
      </w:r>
      <w:r w:rsidRPr="002F09B1">
        <w:rPr>
          <w:sz w:val="20"/>
          <w:lang w:val="ru-RU"/>
        </w:rPr>
        <w:t>В рамках Закона РФ от 07.02.1992 № 2300-1 "О защите прав потребителей" к Банку предъявлено 46 исков. Также к Банку предъявлен 21 иск юридическими лицами, из них 5 исков неимущественного характера, 16 исков - на сумму 1 990  тысяч евро и 59</w:t>
      </w:r>
      <w:r w:rsidR="00FB0F79" w:rsidRPr="00963FD1">
        <w:rPr>
          <w:sz w:val="20"/>
          <w:lang w:val="ru-RU"/>
        </w:rPr>
        <w:t> </w:t>
      </w:r>
      <w:r w:rsidRPr="002F09B1">
        <w:rPr>
          <w:sz w:val="20"/>
          <w:lang w:val="ru-RU"/>
        </w:rPr>
        <w:t>866 тысяч рублей.</w:t>
      </w:r>
    </w:p>
    <w:p w:rsidR="003E55F7" w:rsidRPr="00963FD1" w:rsidRDefault="003E55F7" w:rsidP="00746B32">
      <w:pPr>
        <w:pStyle w:val="ad"/>
        <w:rPr>
          <w:sz w:val="20"/>
          <w:lang w:val="ru-RU"/>
        </w:rPr>
      </w:pPr>
    </w:p>
    <w:p w:rsidR="00FB0F79" w:rsidRDefault="00FB0F79" w:rsidP="00746B32">
      <w:pPr>
        <w:pStyle w:val="ad"/>
        <w:rPr>
          <w:sz w:val="20"/>
          <w:lang w:val="ru-RU"/>
        </w:rPr>
      </w:pPr>
      <w:r w:rsidRPr="002F09B1">
        <w:rPr>
          <w:sz w:val="20"/>
          <w:lang w:val="ru-RU"/>
        </w:rPr>
        <w:t>В январе 2015 года принято решение о закрытии пяти операционных касс. Величина выплат сотрудникам в связи с принятием решения о закрытии структурных подразделений  до отчетной даты составила  892 тысячи рублей.</w:t>
      </w:r>
    </w:p>
    <w:p w:rsidR="002F09B1" w:rsidRPr="002F09B1" w:rsidRDefault="002F09B1" w:rsidP="00746B32">
      <w:pPr>
        <w:pStyle w:val="ad"/>
        <w:rPr>
          <w:sz w:val="20"/>
          <w:lang w:val="ru-RU"/>
        </w:rPr>
      </w:pPr>
    </w:p>
    <w:p w:rsidR="00FB0F79" w:rsidRPr="002F09B1" w:rsidRDefault="00FB0F79" w:rsidP="00746B32">
      <w:pPr>
        <w:pStyle w:val="ad"/>
        <w:rPr>
          <w:sz w:val="20"/>
          <w:lang w:val="ru-RU"/>
        </w:rPr>
      </w:pPr>
      <w:r w:rsidRPr="002F09B1">
        <w:rPr>
          <w:sz w:val="20"/>
          <w:lang w:val="ru-RU"/>
        </w:rPr>
        <w:t xml:space="preserve">По результатам реализации решений Плана участия Государственной корпорации «Агентство по страхованию вкладов»  Банк «Таврический» </w:t>
      </w:r>
      <w:r w:rsidR="00FA5226">
        <w:rPr>
          <w:sz w:val="20"/>
          <w:lang w:val="ru-RU"/>
        </w:rPr>
        <w:t xml:space="preserve">(ОАО) </w:t>
      </w:r>
      <w:r w:rsidRPr="002F09B1">
        <w:rPr>
          <w:sz w:val="20"/>
          <w:lang w:val="ru-RU"/>
        </w:rPr>
        <w:t xml:space="preserve">осуществляет  свою деятельность в обычном режиме, оказывая полный комплекс услуг своим клиентам. </w:t>
      </w:r>
    </w:p>
    <w:p w:rsidR="00931E40" w:rsidRDefault="00931E40" w:rsidP="00746B32">
      <w:pPr>
        <w:pStyle w:val="ad"/>
        <w:rPr>
          <w:sz w:val="20"/>
          <w:lang w:val="ru-RU"/>
        </w:rPr>
      </w:pPr>
    </w:p>
    <w:p w:rsidR="000C1725" w:rsidRDefault="000C1725" w:rsidP="000C1725">
      <w:pPr>
        <w:jc w:val="both"/>
        <w:rPr>
          <w:rFonts w:cs="Arial"/>
          <w:color w:val="000000"/>
          <w:sz w:val="20"/>
          <w:lang w:val="ru-RU"/>
        </w:rPr>
      </w:pPr>
    </w:p>
    <w:p w:rsidR="000C1725" w:rsidRDefault="000C1725" w:rsidP="000C1725">
      <w:pPr>
        <w:jc w:val="both"/>
        <w:rPr>
          <w:rFonts w:cs="Arial"/>
          <w:color w:val="000000"/>
          <w:sz w:val="20"/>
          <w:lang w:val="ru-RU"/>
        </w:rPr>
      </w:pPr>
    </w:p>
    <w:p w:rsidR="000C1725" w:rsidRDefault="000C1725" w:rsidP="000C1725">
      <w:pPr>
        <w:jc w:val="both"/>
        <w:rPr>
          <w:rFonts w:cs="Arial"/>
          <w:color w:val="000000"/>
          <w:sz w:val="20"/>
          <w:lang w:val="ru-RU"/>
        </w:rPr>
      </w:pPr>
    </w:p>
    <w:p w:rsidR="000C1725" w:rsidRPr="000C1725" w:rsidRDefault="000C1725" w:rsidP="000C1725">
      <w:pPr>
        <w:jc w:val="both"/>
        <w:rPr>
          <w:rFonts w:cs="Arial"/>
          <w:color w:val="000000"/>
          <w:sz w:val="20"/>
          <w:lang w:val="ru-RU"/>
        </w:rPr>
      </w:pPr>
      <w:r w:rsidRPr="000C1725">
        <w:rPr>
          <w:rFonts w:cs="Arial"/>
          <w:color w:val="000000"/>
          <w:sz w:val="20"/>
          <w:lang w:val="ru-RU"/>
        </w:rPr>
        <w:t>Данная финансовая отчетность подготовлена с учетом имеющихся в Банке «Таврический» (ОАО) документов и всех известных должностным лицам Банка «Таврический» (ОАО) фактов (обстоятельств) на дату подписания финансовой отчетности, в том числе с учетом Плана финансового оздоровления Санкт-Петербургского акционерного коммерческого банка «Таврический» (открытое акционерное общество).</w:t>
      </w:r>
    </w:p>
    <w:p w:rsidR="000C1725" w:rsidRPr="000C1725" w:rsidRDefault="000C1725" w:rsidP="000C1725">
      <w:pPr>
        <w:jc w:val="both"/>
        <w:rPr>
          <w:rFonts w:cs="Arial"/>
          <w:color w:val="000000"/>
          <w:sz w:val="20"/>
          <w:lang w:val="ru-RU"/>
        </w:rPr>
      </w:pPr>
    </w:p>
    <w:p w:rsidR="000C1725" w:rsidRPr="000C1725" w:rsidRDefault="000C1725" w:rsidP="000C1725">
      <w:pPr>
        <w:pStyle w:val="afe"/>
        <w:jc w:val="both"/>
        <w:rPr>
          <w:rFonts w:ascii="Arial" w:eastAsiaTheme="minorHAnsi" w:hAnsi="Arial" w:cs="Arial"/>
          <w:color w:val="000000"/>
          <w:sz w:val="20"/>
          <w:szCs w:val="20"/>
          <w:lang w:eastAsia="en-US"/>
        </w:rPr>
      </w:pPr>
      <w:r w:rsidRPr="000C1725">
        <w:rPr>
          <w:rFonts w:ascii="Arial" w:eastAsiaTheme="minorHAnsi" w:hAnsi="Arial" w:cs="Arial"/>
          <w:color w:val="000000"/>
          <w:sz w:val="20"/>
          <w:szCs w:val="20"/>
          <w:lang w:eastAsia="en-US"/>
        </w:rPr>
        <w:t>Должностным лицам Банка «Таврический» (ОАО) не известны иные действия лиц, осуществлявших руководство Банком ранее, которые могли бы привести к искажению бухгалтерской отчетности</w:t>
      </w:r>
      <w:r>
        <w:rPr>
          <w:rFonts w:ascii="Arial" w:eastAsiaTheme="minorHAnsi" w:hAnsi="Arial" w:cs="Arial"/>
          <w:color w:val="000000"/>
          <w:sz w:val="20"/>
          <w:szCs w:val="20"/>
          <w:lang w:eastAsia="en-US"/>
        </w:rPr>
        <w:t xml:space="preserve"> и</w:t>
      </w:r>
      <w:r w:rsidRPr="000C1725">
        <w:rPr>
          <w:rFonts w:ascii="Arial" w:eastAsiaTheme="minorHAnsi" w:hAnsi="Arial" w:cs="Arial"/>
          <w:color w:val="000000"/>
          <w:sz w:val="20"/>
          <w:szCs w:val="20"/>
          <w:lang w:eastAsia="en-US"/>
        </w:rPr>
        <w:t xml:space="preserve"> сведения о  которых не учтены при составлении </w:t>
      </w:r>
      <w:r>
        <w:rPr>
          <w:rFonts w:ascii="Arial" w:eastAsiaTheme="minorHAnsi" w:hAnsi="Arial" w:cs="Arial"/>
          <w:color w:val="000000"/>
          <w:sz w:val="20"/>
          <w:szCs w:val="20"/>
          <w:lang w:eastAsia="en-US"/>
        </w:rPr>
        <w:t xml:space="preserve">данной финансовой </w:t>
      </w:r>
      <w:r w:rsidRPr="000C1725">
        <w:rPr>
          <w:rFonts w:ascii="Arial" w:eastAsiaTheme="minorHAnsi" w:hAnsi="Arial" w:cs="Arial"/>
          <w:color w:val="000000"/>
          <w:sz w:val="20"/>
          <w:szCs w:val="20"/>
          <w:lang w:eastAsia="en-US"/>
        </w:rPr>
        <w:t xml:space="preserve">отчетности. </w:t>
      </w:r>
    </w:p>
    <w:p w:rsidR="000C1725" w:rsidRPr="000C1725" w:rsidRDefault="000C1725" w:rsidP="000C1725">
      <w:pPr>
        <w:pStyle w:val="afe"/>
        <w:jc w:val="both"/>
        <w:rPr>
          <w:rFonts w:ascii="Arial" w:eastAsiaTheme="minorHAnsi" w:hAnsi="Arial" w:cs="Arial"/>
          <w:color w:val="000000"/>
          <w:sz w:val="20"/>
          <w:szCs w:val="20"/>
          <w:lang w:eastAsia="en-US"/>
        </w:rPr>
      </w:pPr>
    </w:p>
    <w:p w:rsidR="000C1725" w:rsidRPr="000C1725" w:rsidRDefault="000C1725" w:rsidP="000C1725">
      <w:pPr>
        <w:pStyle w:val="afe"/>
        <w:jc w:val="both"/>
        <w:rPr>
          <w:rFonts w:ascii="Arial" w:hAnsi="Arial" w:cs="Arial"/>
          <w:color w:val="000000"/>
          <w:sz w:val="18"/>
          <w:szCs w:val="18"/>
        </w:rPr>
      </w:pPr>
      <w:r w:rsidRPr="000C1725">
        <w:rPr>
          <w:rFonts w:ascii="Arial" w:hAnsi="Arial" w:cs="Arial"/>
          <w:color w:val="000000"/>
          <w:sz w:val="20"/>
          <w:szCs w:val="20"/>
        </w:rPr>
        <w:t>Председатель Правления Банка «Таврический» (ОАО) Филипьев А.Н. приступил к исполнению должностных обязанностей 30 июня 2015 года.</w:t>
      </w:r>
    </w:p>
    <w:p w:rsidR="000C1725" w:rsidRPr="000C1725" w:rsidRDefault="000C1725" w:rsidP="000C1725">
      <w:pPr>
        <w:tabs>
          <w:tab w:val="left" w:pos="5387"/>
        </w:tabs>
        <w:rPr>
          <w:rFonts w:cs="Arial"/>
          <w:sz w:val="20"/>
          <w:lang w:val="ru-RU"/>
        </w:rPr>
      </w:pPr>
    </w:p>
    <w:p w:rsidR="000C1725" w:rsidRPr="000C1725" w:rsidRDefault="000C1725" w:rsidP="000C1725">
      <w:pPr>
        <w:tabs>
          <w:tab w:val="left" w:pos="5387"/>
        </w:tabs>
        <w:spacing w:line="228" w:lineRule="auto"/>
        <w:rPr>
          <w:rFonts w:cs="Arial"/>
          <w:color w:val="000000"/>
          <w:sz w:val="20"/>
          <w:lang w:val="ru-RU"/>
        </w:rPr>
      </w:pPr>
    </w:p>
    <w:p w:rsidR="000C1725" w:rsidRPr="000C1725" w:rsidRDefault="000C1725" w:rsidP="000C1725">
      <w:pPr>
        <w:tabs>
          <w:tab w:val="left" w:pos="5387"/>
        </w:tabs>
        <w:spacing w:line="228" w:lineRule="auto"/>
        <w:rPr>
          <w:rFonts w:cs="Arial"/>
          <w:sz w:val="20"/>
          <w:lang w:val="ru-RU"/>
        </w:rPr>
      </w:pPr>
      <w:r w:rsidRPr="000C1725">
        <w:rPr>
          <w:rFonts w:cs="Arial"/>
          <w:color w:val="000000"/>
          <w:sz w:val="20"/>
          <w:lang w:val="ru-RU"/>
        </w:rPr>
        <w:t>Подписано и разрешено к выпуску от имени Правления Банка.</w:t>
      </w:r>
    </w:p>
    <w:p w:rsidR="000C1725" w:rsidRDefault="000C1725" w:rsidP="000C1725">
      <w:pPr>
        <w:tabs>
          <w:tab w:val="left" w:pos="5387"/>
        </w:tabs>
        <w:rPr>
          <w:rFonts w:cs="Arial"/>
          <w:sz w:val="20"/>
          <w:lang w:val="ru-RU"/>
        </w:rPr>
      </w:pPr>
    </w:p>
    <w:p w:rsidR="00C83D75" w:rsidRDefault="00C83D75" w:rsidP="000C1725">
      <w:pPr>
        <w:tabs>
          <w:tab w:val="left" w:pos="5387"/>
        </w:tabs>
        <w:rPr>
          <w:rFonts w:cs="Arial"/>
          <w:sz w:val="20"/>
          <w:lang w:val="ru-RU"/>
        </w:rPr>
      </w:pPr>
    </w:p>
    <w:p w:rsidR="00C83D75" w:rsidRDefault="00C83D75" w:rsidP="000C1725">
      <w:pPr>
        <w:tabs>
          <w:tab w:val="left" w:pos="5387"/>
        </w:tabs>
        <w:rPr>
          <w:rFonts w:cs="Arial"/>
          <w:sz w:val="20"/>
          <w:lang w:val="ru-RU"/>
        </w:rPr>
      </w:pPr>
    </w:p>
    <w:p w:rsidR="00C83D75" w:rsidRPr="00746B32" w:rsidRDefault="00C83D75" w:rsidP="000C1725">
      <w:pPr>
        <w:tabs>
          <w:tab w:val="left" w:pos="5387"/>
        </w:tabs>
        <w:rPr>
          <w:rFonts w:cs="Arial"/>
          <w:sz w:val="20"/>
          <w:lang w:val="ru-RU"/>
        </w:rPr>
      </w:pPr>
    </w:p>
    <w:p w:rsidR="000C1725" w:rsidRPr="00746B32" w:rsidRDefault="000C1725" w:rsidP="000C1725">
      <w:pPr>
        <w:tabs>
          <w:tab w:val="left" w:pos="5387"/>
        </w:tabs>
        <w:rPr>
          <w:rFonts w:cs="Arial"/>
          <w:sz w:val="20"/>
          <w:lang w:val="ru-RU"/>
        </w:rPr>
      </w:pPr>
      <w:r w:rsidRPr="00746B32">
        <w:rPr>
          <w:rFonts w:cs="Arial"/>
          <w:sz w:val="20"/>
          <w:lang w:val="ru-RU"/>
        </w:rPr>
        <w:t>_______________________________</w:t>
      </w:r>
      <w:r w:rsidRPr="00746B32">
        <w:rPr>
          <w:rFonts w:cs="Arial"/>
          <w:sz w:val="20"/>
          <w:lang w:val="ru-RU"/>
        </w:rPr>
        <w:tab/>
        <w:t>________________________________</w:t>
      </w:r>
    </w:p>
    <w:p w:rsidR="000C1725" w:rsidRPr="00746B32" w:rsidRDefault="000C1725" w:rsidP="000C1725">
      <w:pPr>
        <w:tabs>
          <w:tab w:val="left" w:pos="5387"/>
        </w:tabs>
        <w:rPr>
          <w:rFonts w:cs="Arial"/>
          <w:sz w:val="20"/>
          <w:lang w:val="ru-RU"/>
        </w:rPr>
      </w:pPr>
      <w:r w:rsidRPr="00746B32">
        <w:rPr>
          <w:rFonts w:cs="Arial"/>
          <w:sz w:val="20"/>
          <w:lang w:val="ru-RU"/>
        </w:rPr>
        <w:t>Филипьев Александр Николаевич</w:t>
      </w:r>
      <w:r w:rsidRPr="00746B32">
        <w:rPr>
          <w:rFonts w:cs="Arial"/>
          <w:sz w:val="20"/>
          <w:lang w:val="ru-RU"/>
        </w:rPr>
        <w:tab/>
        <w:t>Ижмяков Николай Валентинович</w:t>
      </w:r>
    </w:p>
    <w:p w:rsidR="000C1725" w:rsidRPr="00746B32" w:rsidRDefault="000C1725" w:rsidP="000C1725">
      <w:pPr>
        <w:tabs>
          <w:tab w:val="left" w:pos="5387"/>
        </w:tabs>
        <w:ind w:left="5387" w:hanging="5387"/>
        <w:rPr>
          <w:rFonts w:cs="Arial"/>
          <w:sz w:val="20"/>
          <w:lang w:val="ru-RU"/>
        </w:rPr>
      </w:pPr>
      <w:r w:rsidRPr="00746B32">
        <w:rPr>
          <w:rFonts w:cs="Arial"/>
          <w:sz w:val="20"/>
          <w:lang w:val="ru-RU"/>
        </w:rPr>
        <w:t>Председатель Правления</w:t>
      </w:r>
      <w:r w:rsidRPr="00746B32">
        <w:rPr>
          <w:rFonts w:cs="Arial"/>
          <w:sz w:val="20"/>
          <w:lang w:val="ru-RU"/>
        </w:rPr>
        <w:tab/>
        <w:t>Главный бухгалтер</w:t>
      </w:r>
    </w:p>
    <w:p w:rsidR="000C1725" w:rsidRPr="00746B32" w:rsidRDefault="000C1725" w:rsidP="000C1725">
      <w:pPr>
        <w:tabs>
          <w:tab w:val="left" w:pos="5387"/>
        </w:tabs>
        <w:ind w:left="5387" w:hanging="5387"/>
        <w:rPr>
          <w:rFonts w:cs="Arial"/>
          <w:i/>
          <w:smallCaps/>
          <w:sz w:val="20"/>
          <w:lang w:val="ru-RU"/>
        </w:rPr>
      </w:pPr>
    </w:p>
    <w:p w:rsidR="000C1725" w:rsidRPr="00746B32" w:rsidRDefault="000C1725" w:rsidP="000C1725">
      <w:pPr>
        <w:pStyle w:val="Tabletext"/>
        <w:rPr>
          <w:rFonts w:cs="Arial"/>
          <w:sz w:val="20"/>
          <w:lang w:val="ru-RU"/>
        </w:rPr>
      </w:pPr>
    </w:p>
    <w:p w:rsidR="000C1725" w:rsidRPr="00746B32" w:rsidRDefault="000C1725" w:rsidP="000C1725">
      <w:pPr>
        <w:pStyle w:val="Tabletext"/>
        <w:rPr>
          <w:rFonts w:cs="Arial"/>
          <w:sz w:val="20"/>
          <w:lang w:val="ru-RU"/>
        </w:rPr>
      </w:pPr>
      <w:r w:rsidRPr="00746B32">
        <w:rPr>
          <w:rFonts w:cs="Arial"/>
          <w:sz w:val="20"/>
          <w:lang w:val="ru-RU"/>
        </w:rPr>
        <w:t>20 января 2016 года</w:t>
      </w:r>
    </w:p>
    <w:p w:rsidR="000C1725" w:rsidRPr="00963FD1" w:rsidRDefault="000C1725" w:rsidP="00746B32">
      <w:pPr>
        <w:pStyle w:val="ad"/>
        <w:rPr>
          <w:sz w:val="20"/>
          <w:lang w:val="ru-RU"/>
        </w:rPr>
      </w:pPr>
    </w:p>
    <w:sectPr w:rsidR="000C1725" w:rsidRPr="00963FD1" w:rsidSect="00E1603B">
      <w:footerReference w:type="default" r:id="rId28"/>
      <w:pgSz w:w="11907" w:h="16840" w:code="9"/>
      <w:pgMar w:top="1134" w:right="851" w:bottom="1134" w:left="1701" w:header="709" w:footer="709" w:gutter="0"/>
      <w:paperSrc w:other="15"/>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5A6" w:rsidRDefault="001375A6">
      <w:pPr>
        <w:rPr>
          <w:szCs w:val="24"/>
        </w:rPr>
      </w:pPr>
      <w:r>
        <w:rPr>
          <w:szCs w:val="24"/>
        </w:rPr>
        <w:separator/>
      </w:r>
    </w:p>
  </w:endnote>
  <w:endnote w:type="continuationSeparator" w:id="1">
    <w:p w:rsidR="001375A6" w:rsidRDefault="001375A6">
      <w:pPr>
        <w:rPr>
          <w:szCs w:val="24"/>
        </w:rPr>
      </w:pPr>
      <w:r>
        <w:rPr>
          <w:szCs w:val="24"/>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A54D11" w:rsidP="00B05CCB">
    <w:pPr>
      <w:pStyle w:val="a7"/>
      <w:framePr w:wrap="around" w:vAnchor="text" w:hAnchor="margin" w:xAlign="right" w:y="1"/>
      <w:rPr>
        <w:rStyle w:val="a6"/>
        <w:szCs w:val="24"/>
      </w:rPr>
    </w:pPr>
    <w:r>
      <w:rPr>
        <w:rStyle w:val="a6"/>
        <w:szCs w:val="24"/>
      </w:rPr>
      <w:fldChar w:fldCharType="begin"/>
    </w:r>
    <w:r w:rsidR="00262397">
      <w:rPr>
        <w:rStyle w:val="a6"/>
        <w:szCs w:val="24"/>
      </w:rPr>
      <w:instrText xml:space="preserve">PAGE  </w:instrText>
    </w:r>
    <w:r>
      <w:rPr>
        <w:rStyle w:val="a6"/>
        <w:szCs w:val="24"/>
      </w:rPr>
      <w:fldChar w:fldCharType="end"/>
    </w:r>
  </w:p>
  <w:p w:rsidR="00262397" w:rsidRDefault="00262397">
    <w:pPr>
      <w:pStyle w:val="a7"/>
      <w:ind w:right="360"/>
      <w:rPr>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pPr>
      <w:pStyle w:val="a7"/>
      <w:jc w:val="right"/>
      <w:rPr>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88" w:type="dxa"/>
      <w:tblLook w:val="0000"/>
    </w:tblPr>
    <w:tblGrid>
      <w:gridCol w:w="8755"/>
      <w:gridCol w:w="1433"/>
    </w:tblGrid>
    <w:tr w:rsidR="00262397">
      <w:tc>
        <w:tcPr>
          <w:tcW w:w="8755" w:type="dxa"/>
          <w:vAlign w:val="center"/>
        </w:tcPr>
        <w:p w:rsidR="00262397" w:rsidRPr="00757AFD" w:rsidRDefault="00262397" w:rsidP="00BD011F">
          <w:pPr>
            <w:pStyle w:val="a7"/>
            <w:rPr>
              <w:rStyle w:val="a6"/>
              <w:rFonts w:cs="Arial"/>
              <w:color w:val="000000"/>
              <w:szCs w:val="18"/>
              <w:lang w:val="ru-RU"/>
            </w:rPr>
          </w:pPr>
        </w:p>
        <w:p w:rsidR="00262397" w:rsidRPr="00757AFD" w:rsidRDefault="00262397" w:rsidP="00BD011F">
          <w:pPr>
            <w:pStyle w:val="a7"/>
            <w:rPr>
              <w:rStyle w:val="a6"/>
              <w:rFonts w:cs="Arial"/>
              <w:color w:val="000000"/>
              <w:szCs w:val="18"/>
              <w:lang w:val="ru-RU"/>
            </w:rPr>
          </w:pPr>
          <w:r w:rsidRPr="00757AFD">
            <w:rPr>
              <w:rStyle w:val="a6"/>
              <w:rFonts w:cs="Arial"/>
              <w:color w:val="000000"/>
              <w:szCs w:val="18"/>
              <w:lang w:val="ru-RU"/>
            </w:rPr>
            <w:t>© 201</w:t>
          </w:r>
          <w:r>
            <w:rPr>
              <w:rStyle w:val="a6"/>
              <w:rFonts w:cs="Arial"/>
              <w:color w:val="000000"/>
              <w:szCs w:val="18"/>
              <w:lang w:val="ru-RU"/>
            </w:rPr>
            <w:t>6</w:t>
          </w:r>
          <w:r w:rsidRPr="00757AFD">
            <w:rPr>
              <w:rStyle w:val="a6"/>
              <w:rFonts w:cs="Arial"/>
              <w:color w:val="000000"/>
              <w:szCs w:val="18"/>
              <w:lang w:val="ru-RU"/>
            </w:rPr>
            <w:t xml:space="preserve"> ООО «Росэкспертиза»</w:t>
          </w:r>
        </w:p>
        <w:p w:rsidR="00262397" w:rsidRPr="00757AFD" w:rsidRDefault="00262397" w:rsidP="00BD011F">
          <w:pPr>
            <w:pStyle w:val="a7"/>
            <w:rPr>
              <w:rStyle w:val="a6"/>
              <w:rFonts w:cs="Arial"/>
              <w:color w:val="000000"/>
              <w:szCs w:val="18"/>
              <w:lang w:val="ru-RU"/>
            </w:rPr>
          </w:pPr>
        </w:p>
      </w:tc>
      <w:tc>
        <w:tcPr>
          <w:tcW w:w="1433" w:type="dxa"/>
          <w:vAlign w:val="center"/>
        </w:tcPr>
        <w:p w:rsidR="00262397" w:rsidRPr="00757AFD" w:rsidRDefault="00262397" w:rsidP="00BD011F">
          <w:pPr>
            <w:pStyle w:val="a7"/>
            <w:rPr>
              <w:rFonts w:cs="Arial"/>
              <w:lang w:val="ru-RU"/>
            </w:rPr>
          </w:pPr>
        </w:p>
      </w:tc>
    </w:tr>
  </w:tbl>
  <w:p w:rsidR="00262397" w:rsidRPr="00492E63" w:rsidRDefault="00262397" w:rsidP="00BD011F">
    <w:pPr>
      <w:pStyle w:val="a7"/>
      <w:ind w:right="360"/>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497405"/>
      <w:docPartObj>
        <w:docPartGallery w:val="Page Numbers (Bottom of Page)"/>
        <w:docPartUnique/>
      </w:docPartObj>
    </w:sdtPr>
    <w:sdtContent>
      <w:p w:rsidR="00262397" w:rsidRPr="000865FB" w:rsidRDefault="00A54D11">
        <w:pPr>
          <w:pStyle w:val="a7"/>
          <w:jc w:val="right"/>
          <w:rPr>
            <w:lang w:val="ru-RU"/>
          </w:rPr>
        </w:pPr>
        <w:r>
          <w:fldChar w:fldCharType="begin"/>
        </w:r>
        <w:r w:rsidR="00262397">
          <w:instrText>PAGE</w:instrText>
        </w:r>
        <w:r w:rsidR="00262397" w:rsidRPr="006758E8">
          <w:rPr>
            <w:lang w:val="ru-RU"/>
          </w:rPr>
          <w:instrText xml:space="preserve">   \* </w:instrText>
        </w:r>
        <w:r w:rsidR="00262397">
          <w:instrText>MERGEFORMAT</w:instrText>
        </w:r>
        <w:r>
          <w:fldChar w:fldCharType="separate"/>
        </w:r>
        <w:r w:rsidR="0046554E" w:rsidRPr="0046554E">
          <w:rPr>
            <w:noProof/>
            <w:lang w:val="ru-RU"/>
          </w:rPr>
          <w:t>16</w:t>
        </w:r>
        <w:r>
          <w:fldChar w:fldCharType="end"/>
        </w:r>
      </w:p>
    </w:sdtContent>
  </w:sdt>
  <w:p w:rsidR="00262397" w:rsidRPr="007647CE" w:rsidRDefault="00262397" w:rsidP="007647CE">
    <w:pPr>
      <w:pBdr>
        <w:top w:val="single" w:sz="4" w:space="1" w:color="auto"/>
      </w:pBdr>
      <w:tabs>
        <w:tab w:val="right" w:pos="9356"/>
      </w:tabs>
      <w:rPr>
        <w:szCs w:val="18"/>
        <w:lang w:val="ru-RU"/>
      </w:rPr>
    </w:pPr>
    <w:r w:rsidRPr="005F4251">
      <w:rPr>
        <w:szCs w:val="18"/>
        <w:lang w:val="ru-RU"/>
      </w:rPr>
      <w:t xml:space="preserve">Примечания на страницах с </w:t>
    </w:r>
    <w:r w:rsidRPr="006758E8">
      <w:rPr>
        <w:szCs w:val="18"/>
        <w:lang w:val="ru-RU"/>
      </w:rPr>
      <w:t>1</w:t>
    </w:r>
    <w:r>
      <w:rPr>
        <w:szCs w:val="18"/>
        <w:lang w:val="ru-RU"/>
      </w:rPr>
      <w:t>7</w:t>
    </w:r>
    <w:r w:rsidRPr="005F4251">
      <w:rPr>
        <w:szCs w:val="18"/>
        <w:lang w:val="ru-RU"/>
      </w:rPr>
      <w:t xml:space="preserve"> по 9</w:t>
    </w:r>
    <w:r>
      <w:rPr>
        <w:szCs w:val="18"/>
        <w:lang w:val="ru-RU"/>
      </w:rPr>
      <w:t>9</w:t>
    </w:r>
    <w:r w:rsidRPr="005F4251">
      <w:rPr>
        <w:szCs w:val="18"/>
        <w:lang w:val="ru-RU"/>
      </w:rPr>
      <w:t xml:space="preserve"> составляют неотъемлемую часть данной финансовой отчетности.</w:t>
    </w:r>
    <w:r w:rsidRPr="005F4251">
      <w:rPr>
        <w:szCs w:val="18"/>
        <w:lang w:val="ru-RU"/>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A54D11">
    <w:pPr>
      <w:rPr>
        <w:sz w:val="2"/>
        <w:szCs w:val="2"/>
      </w:rPr>
    </w:pPr>
    <w:r w:rsidRPr="00A54D11">
      <w:rPr>
        <w:noProof/>
        <w:lang w:val="ru-RU"/>
      </w:rPr>
      <w:pict>
        <v:shapetype id="_x0000_t202" coordsize="21600,21600" o:spt="202" path="m,l,21600r21600,l21600,xe">
          <v:stroke joinstyle="miter"/>
          <v:path gradientshapeok="t" o:connecttype="rect"/>
        </v:shapetype>
        <v:shape id="Поле 10" o:spid="_x0000_s8197" type="#_x0000_t202" style="position:absolute;margin-left:437.5pt;margin-top:801pt;width:112.5pt;height:11.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" filled="f" stroked="f">
          <v:textbox style="mso-fit-shape-to-text:t" inset="0,0,0,0">
            <w:txbxContent>
              <w:p w:rsidR="00262397" w:rsidRDefault="00262397">
                <w:pPr>
                  <w:pStyle w:val="13"/>
                  <w:shd w:val="clear" w:color="auto" w:fill="auto"/>
                  <w:spacing w:line="240" w:lineRule="auto"/>
                  <w:jc w:val="left"/>
                  <w:rPr>
                    <w:rFonts w:cs="Arial Unicode MS"/>
                  </w:rPr>
                </w:pPr>
                <w:r>
                  <w:rPr>
                    <w:rStyle w:val="14"/>
                    <w:b w:val="0"/>
                    <w:bCs w:val="0"/>
                    <w:i/>
                    <w:iCs/>
                    <w:color w:val="000000"/>
                  </w:rPr>
                  <w:t>(продолжение следует)</w:t>
                </w:r>
              </w:p>
            </w:txbxContent>
          </v:textbox>
          <w10:wrap anchorx="page" anchory="page"/>
        </v:shape>
      </w:pict>
    </w:r>
    <w:r w:rsidRPr="00A54D11">
      <w:rPr>
        <w:noProof/>
        <w:lang w:val="ru-RU"/>
      </w:rPr>
      <w:pict>
        <v:shape id="Поле 9" o:spid="_x0000_s8196" type="#_x0000_t202" style="position:absolute;margin-left:534.45pt;margin-top:815.9pt;width:10.05pt;height:13.15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" filled="f" stroked="f">
          <v:textbox style="mso-fit-shape-to-text:t" inset="0,0,0,0">
            <w:txbxContent>
              <w:p w:rsidR="00262397" w:rsidRDefault="00A54D11">
                <w:pPr>
                  <w:pStyle w:val="13"/>
                  <w:shd w:val="clear" w:color="auto" w:fill="auto"/>
                  <w:spacing w:line="240" w:lineRule="auto"/>
                  <w:jc w:val="left"/>
                  <w:rPr>
                    <w:rFonts w:cs="Arial Unicode MS"/>
                  </w:rPr>
                </w:pPr>
                <w:r w:rsidRPr="00A54D11">
                  <w:fldChar w:fldCharType="begin"/>
                </w:r>
                <w:r w:rsidR="00262397">
                  <w:instrText xml:space="preserve"> PAGE \* MERGEFORMAT </w:instrText>
                </w:r>
                <w:r w:rsidRPr="00A54D11">
                  <w:fldChar w:fldCharType="separate"/>
                </w:r>
                <w:r w:rsidR="00262397" w:rsidRPr="00395D08">
                  <w:rPr>
                    <w:rStyle w:val="Sylfaen1"/>
                    <w:b/>
                    <w:bCs/>
                    <w:i w:val="0"/>
                    <w:iCs w:val="0"/>
                    <w:noProof/>
                    <w:color w:val="000000"/>
                  </w:rPr>
                  <w:t>56</w:t>
                </w:r>
                <w:r>
                  <w:rPr>
                    <w:rStyle w:val="Sylfaen1"/>
                    <w:b/>
                    <w:bCs/>
                    <w:i w:val="0"/>
                    <w:iCs w:val="0"/>
                    <w:noProof/>
                    <w:color w:val="000000"/>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Pr="00CC6210" w:rsidRDefault="00262397" w:rsidP="00CC6210">
    <w:pPr>
      <w:pBdr>
        <w:top w:val="single" w:sz="4" w:space="1" w:color="auto"/>
      </w:pBdr>
      <w:tabs>
        <w:tab w:val="right" w:pos="9356"/>
      </w:tabs>
      <w:rPr>
        <w:szCs w:val="18"/>
        <w:lang w:val="en-US"/>
      </w:rPr>
    </w:pPr>
  </w:p>
  <w:p w:rsidR="00262397" w:rsidRDefault="00A54D11">
    <w:pPr>
      <w:rPr>
        <w:sz w:val="2"/>
        <w:szCs w:val="2"/>
      </w:rPr>
    </w:pPr>
    <w:r w:rsidRPr="00A54D11">
      <w:rPr>
        <w:noProof/>
        <w:lang w:val="ru-RU"/>
      </w:rPr>
      <w:pict>
        <v:shapetype id="_x0000_t202" coordsize="21600,21600" o:spt="202" path="m,l,21600r21600,l21600,xe">
          <v:stroke joinstyle="miter"/>
          <v:path gradientshapeok="t" o:connecttype="rect"/>
        </v:shapetype>
        <v:shape id="Поле 8" o:spid="_x0000_s8195" type="#_x0000_t202" style="position:absolute;margin-left:437.5pt;margin-top:801pt;width:5.6pt;height:11.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" filled="f" stroked="f">
          <v:textbox style="mso-fit-shape-to-text:t" inset="0,0,0,0">
            <w:txbxContent>
              <w:p w:rsidR="00262397" w:rsidRDefault="00262397">
                <w:pPr>
                  <w:pStyle w:val="13"/>
                  <w:shd w:val="clear" w:color="auto" w:fill="auto"/>
                  <w:spacing w:line="240" w:lineRule="auto"/>
                  <w:jc w:val="left"/>
                  <w:rPr>
                    <w:rFonts w:cs="Arial Unicode MS"/>
                  </w:rPr>
                </w:pPr>
              </w:p>
            </w:txbxContent>
          </v:textbox>
          <w10:wrap anchorx="page" anchory="page"/>
        </v:shape>
      </w:pict>
    </w:r>
    <w:r w:rsidRPr="00A54D11">
      <w:rPr>
        <w:noProof/>
        <w:lang w:val="ru-RU"/>
      </w:rPr>
      <w:pict>
        <v:shape id="Поле 7" o:spid="_x0000_s8194" type="#_x0000_t202" style="position:absolute;margin-left:534.45pt;margin-top:815.9pt;width:11.15pt;height:11.5pt;z-index:-25164800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" filled="f" stroked="f">
          <v:textbox style="mso-fit-shape-to-text:t" inset="0,0,0,0">
            <w:txbxContent>
              <w:p w:rsidR="00262397" w:rsidRPr="00C91E32" w:rsidRDefault="00A54D11">
                <w:pPr>
                  <w:pStyle w:val="13"/>
                  <w:shd w:val="clear" w:color="auto" w:fill="auto"/>
                  <w:spacing w:line="240" w:lineRule="auto"/>
                  <w:jc w:val="left"/>
                  <w:rPr>
                    <w:b w:val="0"/>
                  </w:rPr>
                </w:pPr>
                <w:r w:rsidRPr="00A54D11">
                  <w:rPr>
                    <w:b w:val="0"/>
                  </w:rPr>
                  <w:fldChar w:fldCharType="begin"/>
                </w:r>
                <w:r w:rsidR="00262397" w:rsidRPr="00C91E32">
                  <w:rPr>
                    <w:b w:val="0"/>
                  </w:rPr>
                  <w:instrText xml:space="preserve"> PAGE \* MERGEFORMAT </w:instrText>
                </w:r>
                <w:r w:rsidRPr="00A54D11">
                  <w:rPr>
                    <w:b w:val="0"/>
                  </w:rPr>
                  <w:fldChar w:fldCharType="separate"/>
                </w:r>
                <w:r w:rsidR="0046554E" w:rsidRPr="0046554E">
                  <w:rPr>
                    <w:rStyle w:val="Sylfaen1"/>
                    <w:rFonts w:ascii="Arial" w:hAnsi="Arial" w:cs="Arial"/>
                    <w:bCs/>
                    <w:i w:val="0"/>
                    <w:iCs w:val="0"/>
                    <w:noProof/>
                    <w:color w:val="000000"/>
                  </w:rPr>
                  <w:t>89</w:t>
                </w:r>
                <w:r w:rsidRPr="00C91E32">
                  <w:rPr>
                    <w:rStyle w:val="Sylfaen1"/>
                    <w:rFonts w:ascii="Arial" w:hAnsi="Arial" w:cs="Arial"/>
                    <w:b/>
                    <w:bCs/>
                    <w:i w:val="0"/>
                    <w:iCs w:val="0"/>
                    <w:noProof/>
                    <w:color w:val="000000"/>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4005395"/>
      <w:docPartObj>
        <w:docPartGallery w:val="Page Numbers (Bottom of Page)"/>
        <w:docPartUnique/>
      </w:docPartObj>
    </w:sdtPr>
    <w:sdtContent>
      <w:p w:rsidR="00262397" w:rsidRDefault="00A54D11" w:rsidP="00CC6210">
        <w:pPr>
          <w:pStyle w:val="a7"/>
          <w:jc w:val="right"/>
        </w:pPr>
        <w:r w:rsidRPr="00A54D11">
          <w:fldChar w:fldCharType="begin"/>
        </w:r>
        <w:r w:rsidR="00262397">
          <w:instrText>PAGE   \* MERGEFORMAT</w:instrText>
        </w:r>
        <w:r w:rsidRPr="00A54D11">
          <w:fldChar w:fldCharType="separate"/>
        </w:r>
        <w:r w:rsidR="0046554E" w:rsidRPr="0046554E">
          <w:rPr>
            <w:noProof/>
            <w:lang w:val="ru-RU"/>
          </w:rPr>
          <w:t>86</w:t>
        </w:r>
        <w:r>
          <w:rPr>
            <w:noProof/>
            <w:lang w:val="ru-RU"/>
          </w:rPr>
          <w:fldChar w:fldCharType="end"/>
        </w:r>
      </w:p>
    </w:sdtContent>
  </w:sdt>
  <w:p w:rsidR="00262397" w:rsidRPr="00CC6210" w:rsidRDefault="00262397" w:rsidP="00CC6210">
    <w:pPr>
      <w:rPr>
        <w:sz w:val="2"/>
        <w:szCs w:val="2"/>
        <w:lang w:val="ru-RU"/>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Pr="00E1603B" w:rsidRDefault="00262397" w:rsidP="00E1603B">
    <w:pPr>
      <w:pStyle w:val="a7"/>
      <w:pBdr>
        <w:top w:val="single" w:sz="4" w:space="1" w:color="auto"/>
      </w:pBdr>
      <w:jc w:val="right"/>
      <w:rPr>
        <w:sz w:val="4"/>
        <w:szCs w:val="4"/>
      </w:rPr>
    </w:pPr>
  </w:p>
  <w:p w:rsidR="00262397" w:rsidRPr="00E1603B" w:rsidRDefault="00A54D11" w:rsidP="00E1603B">
    <w:pPr>
      <w:pStyle w:val="a7"/>
      <w:jc w:val="right"/>
    </w:pPr>
    <w:fldSimple w:instr=" PAGE   \* MERGEFORMAT ">
      <w:r w:rsidR="0046554E">
        <w:rPr>
          <w:noProof/>
        </w:rPr>
        <w:t>99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5A6" w:rsidRDefault="001375A6">
      <w:pPr>
        <w:rPr>
          <w:szCs w:val="24"/>
        </w:rPr>
      </w:pPr>
      <w:r>
        <w:rPr>
          <w:szCs w:val="24"/>
        </w:rPr>
        <w:separator/>
      </w:r>
    </w:p>
  </w:footnote>
  <w:footnote w:type="continuationSeparator" w:id="1">
    <w:p w:rsidR="001375A6" w:rsidRDefault="001375A6">
      <w:pPr>
        <w:rPr>
          <w:szCs w:val="24"/>
        </w:rPr>
      </w:pPr>
      <w:r>
        <w:rPr>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886C83">
    <w:pPr>
      <w:pStyle w:val="a4"/>
      <w:pBdr>
        <w:bottom w:val="none" w:sz="0" w:space="0" w:color="auto"/>
      </w:pBdr>
      <w:rPr>
        <w:szCs w:val="24"/>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7738A9">
    <w:pPr>
      <w:pStyle w:val="a4"/>
      <w:pBdr>
        <w:bottom w:val="none" w:sz="0" w:space="0" w:color="auto"/>
      </w:pBdr>
      <w:rPr>
        <w:sz w:val="20"/>
        <w:lang w:val="ru-RU"/>
      </w:rPr>
    </w:pPr>
  </w:p>
  <w:p w:rsidR="00262397" w:rsidRDefault="00262397" w:rsidP="007738A9">
    <w:pPr>
      <w:pStyle w:val="a4"/>
      <w:pBdr>
        <w:bottom w:val="none" w:sz="0" w:space="0" w:color="auto"/>
      </w:pBdr>
      <w:rPr>
        <w:sz w:val="20"/>
        <w:lang w:val="ru-RU"/>
      </w:rPr>
    </w:pPr>
  </w:p>
  <w:p w:rsidR="00262397" w:rsidRPr="00154F57" w:rsidRDefault="00262397" w:rsidP="007738A9">
    <w:pPr>
      <w:pStyle w:val="a4"/>
      <w:pBdr>
        <w:bottom w:val="none" w:sz="0" w:space="0" w:color="auto"/>
      </w:pBdr>
      <w:rPr>
        <w:sz w:val="20"/>
        <w:lang w:val="ru-RU"/>
      </w:rPr>
    </w:pPr>
  </w:p>
  <w:p w:rsidR="00262397" w:rsidRPr="004C2980" w:rsidRDefault="00262397" w:rsidP="007738A9">
    <w:pPr>
      <w:pStyle w:val="a4"/>
      <w:pBdr>
        <w:bottom w:val="none" w:sz="0" w:space="0" w:color="auto"/>
      </w:pBdr>
      <w:rPr>
        <w:b/>
        <w:i/>
        <w:sz w:val="20"/>
        <w:lang w:val="ru-RU"/>
      </w:rPr>
    </w:pPr>
    <w:r>
      <w:rPr>
        <w:b/>
        <w:i/>
        <w:sz w:val="20"/>
        <w:lang w:val="ru-RU"/>
      </w:rPr>
      <w:t>САНКТ-ПЕТЕРБУРГСКИЙ  АКЦИОНЕРНЫЙ КОММЕРЧЕСКИЙ БАНК «ТАВРИЧЕСКИЙ» (открытое акционерное общество)</w:t>
    </w:r>
  </w:p>
  <w:p w:rsidR="00262397" w:rsidRPr="004C2980" w:rsidRDefault="00262397" w:rsidP="007738A9">
    <w:pPr>
      <w:pStyle w:val="a4"/>
      <w:pBdr>
        <w:bottom w:val="none" w:sz="0" w:space="0" w:color="auto"/>
      </w:pBdr>
      <w:rPr>
        <w:b/>
        <w:i/>
        <w:sz w:val="20"/>
        <w:lang w:val="ru-RU"/>
      </w:rPr>
    </w:pPr>
    <w:r w:rsidRPr="004C2980">
      <w:rPr>
        <w:b/>
        <w:i/>
        <w:sz w:val="20"/>
        <w:lang w:val="ru-RU"/>
      </w:rPr>
      <w:t>Примечания к финансовой отчетности на 31 декабря 2014 года</w:t>
    </w:r>
  </w:p>
  <w:p w:rsidR="00262397" w:rsidRPr="004C2980" w:rsidRDefault="00262397" w:rsidP="007738A9">
    <w:pPr>
      <w:pStyle w:val="a4"/>
      <w:pBdr>
        <w:bottom w:val="single" w:sz="4" w:space="1" w:color="auto"/>
      </w:pBdr>
      <w:jc w:val="left"/>
      <w:rPr>
        <w:b/>
        <w:i/>
        <w:sz w:val="20"/>
      </w:rPr>
    </w:pPr>
    <w:r w:rsidRPr="004C2980">
      <w:rPr>
        <w:b/>
        <w:i/>
        <w:sz w:val="20"/>
      </w:rPr>
      <w:t>(в</w:t>
    </w:r>
    <w:r>
      <w:rPr>
        <w:b/>
        <w:i/>
        <w:sz w:val="20"/>
        <w:lang w:val="ru-RU"/>
      </w:rPr>
      <w:t xml:space="preserve"> </w:t>
    </w:r>
    <w:r w:rsidRPr="004C2980">
      <w:rPr>
        <w:b/>
        <w:i/>
        <w:sz w:val="20"/>
      </w:rPr>
      <w:t>тысячах</w:t>
    </w:r>
    <w:r>
      <w:rPr>
        <w:b/>
        <w:i/>
        <w:sz w:val="20"/>
        <w:lang w:val="ru-RU"/>
      </w:rPr>
      <w:t xml:space="preserve"> </w:t>
    </w:r>
    <w:r w:rsidRPr="004C2980">
      <w:rPr>
        <w:b/>
        <w:i/>
        <w:sz w:val="20"/>
      </w:rPr>
      <w:t>рублей)</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262397">
    <w:pPr>
      <w:pStyle w:val="Header1"/>
      <w:rPr>
        <w:szCs w:val="24"/>
        <w:lang w:val="ru-RU"/>
      </w:rPr>
    </w:pPr>
    <w:r>
      <w:rPr>
        <w:szCs w:val="24"/>
        <w:lang w:val="ru-RU"/>
      </w:rPr>
      <w:t>САНКТ-ПЕТЕРБУРГСКИЙ  АКЦИОНЕРНЫЙ КОММЕРЧЕСКИЙ БАНК «ТАВРИЧЕСКИЙ» (открытое акционерное общество)</w:t>
    </w:r>
  </w:p>
  <w:p w:rsidR="00262397" w:rsidRPr="002F7B62" w:rsidRDefault="00262397">
    <w:pPr>
      <w:pStyle w:val="Header1"/>
      <w:pBdr>
        <w:bottom w:val="single" w:sz="4" w:space="1" w:color="auto"/>
      </w:pBdr>
      <w:rPr>
        <w:bCs w:val="0"/>
        <w:sz w:val="4"/>
        <w:szCs w:val="4"/>
        <w:lang w:val="ru-RU"/>
      </w:rPr>
    </w:pPr>
  </w:p>
  <w:p w:rsidR="00262397" w:rsidRPr="002F7B62" w:rsidRDefault="00262397">
    <w:pPr>
      <w:rPr>
        <w:sz w:val="20"/>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BD011F">
    <w:pPr>
      <w:pStyle w:val="a4"/>
    </w:pPr>
    <w:r>
      <w:object w:dxaOrig="9448" w:dyaOrig="1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37.15pt" o:ole="">
          <v:imagedata r:id="rId1" o:title=""/>
        </v:shape>
        <o:OLEObject Type="Embed" ProgID="CorelDRAW.Graphic.13" ShapeID="_x0000_i1025" DrawAspect="Content" ObjectID="_1517314875" r:id="rId2"/>
      </w:object>
    </w:r>
  </w:p>
  <w:p w:rsidR="00262397" w:rsidRPr="00D96C7C" w:rsidRDefault="00262397" w:rsidP="00BD011F">
    <w:pPr>
      <w:pStyle w:val="a4"/>
      <w:rPr>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B454C2">
    <w:pPr>
      <w:pStyle w:val="Header1"/>
      <w:rPr>
        <w:szCs w:val="24"/>
        <w:lang w:val="ru-RU"/>
      </w:rPr>
    </w:pPr>
    <w:r>
      <w:rPr>
        <w:szCs w:val="24"/>
        <w:lang w:val="ru-RU"/>
      </w:rPr>
      <w:t>САНКТ-ПЕТЕРБУРГСКИЙ  АКЦИОНЕРНЫЙ КОММЕРЧЕСКИЙ БАНК «ТАВРИЧЕСКИЙ» (открытое акционерное общество)</w:t>
    </w:r>
  </w:p>
  <w:p w:rsidR="00262397" w:rsidRDefault="00262397" w:rsidP="002F7E4F">
    <w:pPr>
      <w:pStyle w:val="Header1"/>
      <w:rPr>
        <w:bCs w:val="0"/>
        <w:szCs w:val="24"/>
        <w:lang w:val="ru-RU"/>
      </w:rPr>
    </w:pPr>
    <w:r>
      <w:rPr>
        <w:bCs w:val="0"/>
        <w:szCs w:val="24"/>
        <w:lang w:val="ru-RU"/>
      </w:rPr>
      <w:t>Отчет о финансовом положении по состоянию на 31 декабря 2014 года</w:t>
    </w:r>
  </w:p>
  <w:p w:rsidR="00262397" w:rsidRPr="00512581" w:rsidRDefault="00262397" w:rsidP="002F7E4F">
    <w:pPr>
      <w:pStyle w:val="Header1"/>
      <w:rPr>
        <w:bCs w:val="0"/>
        <w:szCs w:val="24"/>
        <w:lang w:val="ru-RU"/>
      </w:rPr>
    </w:pPr>
    <w:r>
      <w:rPr>
        <w:bCs w:val="0"/>
        <w:szCs w:val="24"/>
        <w:lang w:val="ru-RU"/>
      </w:rPr>
      <w:t>(в тысячах рублей)</w:t>
    </w:r>
  </w:p>
  <w:p w:rsidR="00262397" w:rsidRPr="00137009" w:rsidRDefault="00262397" w:rsidP="00137009">
    <w:pPr>
      <w:pStyle w:val="Header2"/>
      <w:rPr>
        <w:sz w:val="4"/>
        <w:szCs w:val="4"/>
        <w:lang w:val="ru-RU"/>
      </w:rPr>
    </w:pPr>
  </w:p>
  <w:p w:rsidR="00262397" w:rsidRPr="00137009" w:rsidRDefault="00262397" w:rsidP="00137009">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jc w:val="left"/>
      <w:rPr>
        <w:b w:val="0"/>
        <w:sz w:val="20"/>
        <w:lang w:val="ru-RU"/>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B454C2">
    <w:pPr>
      <w:pStyle w:val="Header1"/>
      <w:rPr>
        <w:szCs w:val="24"/>
        <w:lang w:val="ru-RU"/>
      </w:rPr>
    </w:pPr>
    <w:r>
      <w:rPr>
        <w:szCs w:val="24"/>
        <w:lang w:val="ru-RU"/>
      </w:rPr>
      <w:t>САНКТ-ПЕТЕРБУРГСКИЙ  АКЦИОНЕРНЫЙ КОММЕРЧЕСКИЙ БАНК «ТАВРИЧЕСКИЙ» (открытое акционерное общество)</w:t>
    </w:r>
  </w:p>
  <w:p w:rsidR="00262397" w:rsidRDefault="00262397" w:rsidP="00B454C2">
    <w:pPr>
      <w:pStyle w:val="Header1"/>
      <w:rPr>
        <w:szCs w:val="24"/>
        <w:lang w:val="ru-RU"/>
      </w:rPr>
    </w:pPr>
    <w:r w:rsidRPr="00B454C2">
      <w:rPr>
        <w:szCs w:val="24"/>
        <w:lang w:val="ru-RU"/>
      </w:rPr>
      <w:t>Отчет о совокупном доходе за год, закончившийся 31 декабря 2014 года</w:t>
    </w:r>
  </w:p>
  <w:p w:rsidR="00262397" w:rsidRPr="00512581" w:rsidRDefault="00262397" w:rsidP="00B454C2">
    <w:pPr>
      <w:pStyle w:val="Header1"/>
      <w:rPr>
        <w:bCs w:val="0"/>
        <w:szCs w:val="24"/>
        <w:lang w:val="ru-RU"/>
      </w:rPr>
    </w:pPr>
    <w:r>
      <w:rPr>
        <w:bCs w:val="0"/>
        <w:szCs w:val="24"/>
        <w:lang w:val="ru-RU"/>
      </w:rPr>
      <w:t>(в тысячах рублей)</w:t>
    </w:r>
  </w:p>
  <w:p w:rsidR="00262397" w:rsidRPr="00137009" w:rsidRDefault="00262397" w:rsidP="00B454C2">
    <w:pPr>
      <w:pStyle w:val="Header2"/>
      <w:rPr>
        <w:sz w:val="4"/>
        <w:szCs w:val="4"/>
        <w:lang w:val="ru-RU"/>
      </w:rPr>
    </w:pPr>
  </w:p>
  <w:p w:rsidR="00262397" w:rsidRPr="00137009" w:rsidRDefault="00262397" w:rsidP="00B454C2">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jc w:val="left"/>
      <w:rPr>
        <w:b w:val="0"/>
        <w:sz w:val="20"/>
        <w:lang w:val="ru-RU"/>
      </w:rPr>
    </w:pPr>
  </w:p>
  <w:p w:rsidR="00262397" w:rsidRPr="00137009" w:rsidRDefault="00262397" w:rsidP="00137009">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jc w:val="left"/>
      <w:rPr>
        <w:b w:val="0"/>
        <w:sz w:val="20"/>
        <w:lang w:val="ru-RU"/>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B454C2">
    <w:pPr>
      <w:pStyle w:val="Header1"/>
      <w:rPr>
        <w:szCs w:val="24"/>
        <w:lang w:val="ru-RU"/>
      </w:rPr>
    </w:pPr>
    <w:r>
      <w:rPr>
        <w:szCs w:val="24"/>
        <w:lang w:val="ru-RU"/>
      </w:rPr>
      <w:t>САНКТ-ПЕТЕРБУРГСКИЙ  АКЦИОНЕРНЫЙ КОММЕРЧЕСКИЙ БАНК «ТАВРИЧЕСКИЙ» (открытое акционерное общество)</w:t>
    </w:r>
  </w:p>
  <w:p w:rsidR="00262397" w:rsidRDefault="00262397" w:rsidP="0019566C">
    <w:pPr>
      <w:pStyle w:val="Header1"/>
      <w:rPr>
        <w:bCs w:val="0"/>
        <w:szCs w:val="24"/>
        <w:lang w:val="ru-RU"/>
      </w:rPr>
    </w:pPr>
    <w:r w:rsidRPr="0019566C">
      <w:rPr>
        <w:bCs w:val="0"/>
        <w:szCs w:val="24"/>
        <w:lang w:val="ru-RU"/>
      </w:rPr>
      <w:t>Отчет о движении денежных средств</w:t>
    </w:r>
    <w:r>
      <w:rPr>
        <w:bCs w:val="0"/>
        <w:szCs w:val="24"/>
        <w:lang w:val="ru-RU"/>
      </w:rPr>
      <w:t xml:space="preserve"> за год, закончившийся 31 декабря 2014 года</w:t>
    </w:r>
  </w:p>
  <w:p w:rsidR="00262397" w:rsidRPr="00512581" w:rsidRDefault="00262397" w:rsidP="009D04A1">
    <w:pPr>
      <w:pStyle w:val="Header1"/>
      <w:rPr>
        <w:sz w:val="4"/>
        <w:szCs w:val="24"/>
        <w:lang w:val="ru-RU"/>
      </w:rPr>
    </w:pPr>
  </w:p>
  <w:p w:rsidR="00262397" w:rsidRPr="004C2980" w:rsidRDefault="00262397" w:rsidP="009D04A1">
    <w:pPr>
      <w:pStyle w:val="a4"/>
      <w:pBdr>
        <w:bottom w:val="single" w:sz="4" w:space="1" w:color="auto"/>
      </w:pBdr>
      <w:jc w:val="left"/>
      <w:rPr>
        <w:b/>
        <w:i/>
        <w:sz w:val="20"/>
      </w:rPr>
    </w:pPr>
    <w:r w:rsidRPr="004C2980">
      <w:rPr>
        <w:b/>
        <w:i/>
        <w:sz w:val="20"/>
      </w:rPr>
      <w:t>(в</w:t>
    </w:r>
    <w:r>
      <w:rPr>
        <w:b/>
        <w:i/>
        <w:sz w:val="20"/>
        <w:lang w:val="ru-RU"/>
      </w:rPr>
      <w:t xml:space="preserve"> </w:t>
    </w:r>
    <w:r w:rsidRPr="004C2980">
      <w:rPr>
        <w:b/>
        <w:i/>
        <w:sz w:val="20"/>
      </w:rPr>
      <w:t>тысячах</w:t>
    </w:r>
    <w:r>
      <w:rPr>
        <w:b/>
        <w:i/>
        <w:sz w:val="20"/>
        <w:lang w:val="ru-RU"/>
      </w:rPr>
      <w:t xml:space="preserve"> </w:t>
    </w:r>
    <w:r w:rsidRPr="004C2980">
      <w:rPr>
        <w:b/>
        <w:i/>
        <w:sz w:val="20"/>
      </w:rPr>
      <w:t>рублей)</w:t>
    </w:r>
  </w:p>
  <w:p w:rsidR="00262397" w:rsidRPr="00137009" w:rsidRDefault="00262397" w:rsidP="00137009">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jc w:val="left"/>
      <w:rPr>
        <w:b w:val="0"/>
        <w:sz w:val="20"/>
        <w:lang w:val="ru-RU"/>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262397" w:rsidP="00852A07">
    <w:pPr>
      <w:pStyle w:val="Header1"/>
      <w:rPr>
        <w:szCs w:val="24"/>
        <w:lang w:val="ru-RU"/>
      </w:rPr>
    </w:pPr>
    <w:r>
      <w:rPr>
        <w:szCs w:val="24"/>
        <w:lang w:val="ru-RU"/>
      </w:rPr>
      <w:t xml:space="preserve">САНКТ-ПЕТЕРБУРГСКИЙ  АКЦИОНЕРНЫЙ КОММЕРЧЕСКИЙ БАНК «ТАВРИЧЕСКИЙ» (открытое акционерное общество) </w:t>
    </w:r>
  </w:p>
  <w:p w:rsidR="00262397" w:rsidRDefault="00262397" w:rsidP="00154F57">
    <w:pPr>
      <w:pStyle w:val="Header1"/>
      <w:rPr>
        <w:bCs w:val="0"/>
        <w:szCs w:val="24"/>
        <w:lang w:val="ru-RU"/>
      </w:rPr>
    </w:pPr>
    <w:r>
      <w:rPr>
        <w:bCs w:val="0"/>
        <w:szCs w:val="24"/>
        <w:lang w:val="ru-RU"/>
      </w:rPr>
      <w:t>Отчет об изменениях в капитале за год, закончившийся 31 декабря 2014 года</w:t>
    </w:r>
  </w:p>
  <w:p w:rsidR="00262397" w:rsidRPr="004C2980" w:rsidRDefault="00262397" w:rsidP="009D04A1">
    <w:pPr>
      <w:pStyle w:val="a4"/>
      <w:pBdr>
        <w:bottom w:val="single" w:sz="4" w:space="1" w:color="auto"/>
      </w:pBdr>
      <w:jc w:val="left"/>
      <w:rPr>
        <w:b/>
        <w:i/>
        <w:sz w:val="20"/>
      </w:rPr>
    </w:pPr>
    <w:r w:rsidRPr="004C2980">
      <w:rPr>
        <w:b/>
        <w:i/>
        <w:sz w:val="20"/>
      </w:rPr>
      <w:t>(в</w:t>
    </w:r>
    <w:r>
      <w:rPr>
        <w:b/>
        <w:i/>
        <w:sz w:val="20"/>
        <w:lang w:val="ru-RU"/>
      </w:rPr>
      <w:t xml:space="preserve"> </w:t>
    </w:r>
    <w:r w:rsidRPr="004C2980">
      <w:rPr>
        <w:b/>
        <w:i/>
        <w:sz w:val="20"/>
      </w:rPr>
      <w:t>тысячах</w:t>
    </w:r>
    <w:r>
      <w:rPr>
        <w:b/>
        <w:i/>
        <w:sz w:val="20"/>
        <w:lang w:val="ru-RU"/>
      </w:rPr>
      <w:t xml:space="preserve"> </w:t>
    </w:r>
    <w:r w:rsidRPr="004C2980">
      <w:rPr>
        <w:b/>
        <w:i/>
        <w:sz w:val="20"/>
      </w:rPr>
      <w:t>рублей)</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Default="00A54D11">
    <w:pPr>
      <w:rPr>
        <w:sz w:val="2"/>
        <w:szCs w:val="2"/>
      </w:rPr>
    </w:pPr>
    <w:r w:rsidRPr="00A54D11">
      <w:rPr>
        <w:noProof/>
        <w:lang w:val="ru-RU"/>
      </w:rPr>
      <w:pict>
        <v:shapetype id="_x0000_t202" coordsize="21600,21600" o:spt="202" path="m,l,21600r21600,l21600,xe">
          <v:stroke joinstyle="miter"/>
          <v:path gradientshapeok="t" o:connecttype="rect"/>
        </v:shapetype>
        <v:shape id="Поле 17" o:spid="_x0000_s8200" type="#_x0000_t202" style="position:absolute;margin-left:144.2pt;margin-top:31.75pt;width:340.8pt;height:34.5pt;z-index:-251657216;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" filled="f" stroked="f">
          <v:textbox style="mso-fit-shape-to-text:t" inset="0,0,0,0">
            <w:txbxContent>
              <w:p w:rsidR="00262397" w:rsidRDefault="00262397">
                <w:pPr>
                  <w:pStyle w:val="13"/>
                  <w:shd w:val="clear" w:color="auto" w:fill="auto"/>
                  <w:spacing w:line="240" w:lineRule="auto"/>
                  <w:jc w:val="left"/>
                  <w:rPr>
                    <w:rFonts w:cs="Arial Unicode MS"/>
                  </w:rPr>
                </w:pPr>
                <w:r>
                  <w:rPr>
                    <w:rStyle w:val="aff4"/>
                    <w:b/>
                    <w:bCs/>
                    <w:i/>
                    <w:iCs/>
                    <w:color w:val="000000"/>
                  </w:rPr>
                  <w:t>Банк «Таврический» (ОАО)</w:t>
                </w:r>
              </w:p>
              <w:p w:rsidR="00262397" w:rsidRDefault="00262397">
                <w:pPr>
                  <w:pStyle w:val="13"/>
                  <w:shd w:val="clear" w:color="auto" w:fill="auto"/>
                  <w:spacing w:line="240" w:lineRule="auto"/>
                  <w:jc w:val="left"/>
                  <w:rPr>
                    <w:rFonts w:cs="Arial Unicode MS"/>
                  </w:rPr>
                </w:pPr>
                <w:r>
                  <w:rPr>
                    <w:rStyle w:val="aff4"/>
                    <w:b/>
                    <w:bCs/>
                    <w:i/>
                    <w:iCs/>
                    <w:color w:val="000000"/>
                  </w:rPr>
                  <w:t>Примечания к финансовой отчетности</w:t>
                </w:r>
                <w:r>
                  <w:rPr>
                    <w:rStyle w:val="28"/>
                    <w:b w:val="0"/>
                    <w:bCs w:val="0"/>
                    <w:i w:val="0"/>
                    <w:iCs w:val="0"/>
                    <w:color w:val="000000"/>
                  </w:rPr>
                  <w:t xml:space="preserve"> - </w:t>
                </w:r>
                <w:r>
                  <w:rPr>
                    <w:rStyle w:val="aff4"/>
                    <w:b/>
                    <w:bCs/>
                    <w:i/>
                    <w:iCs/>
                    <w:color w:val="000000"/>
                  </w:rPr>
                  <w:t>на 31 декабря 2013 года</w:t>
                </w:r>
              </w:p>
              <w:p w:rsidR="00262397" w:rsidRDefault="00262397">
                <w:pPr>
                  <w:pStyle w:val="13"/>
                  <w:shd w:val="clear" w:color="auto" w:fill="auto"/>
                  <w:tabs>
                    <w:tab w:val="right" w:pos="4426"/>
                    <w:tab w:val="left" w:pos="6816"/>
                  </w:tabs>
                  <w:spacing w:line="240" w:lineRule="auto"/>
                  <w:jc w:val="left"/>
                  <w:rPr>
                    <w:rFonts w:cs="Arial Unicode MS"/>
                  </w:rPr>
                </w:pPr>
                <w:r>
                  <w:rPr>
                    <w:rStyle w:val="28"/>
                    <w:rFonts w:cs="Arial Unicode MS"/>
                    <w:b w:val="0"/>
                    <w:bCs w:val="0"/>
                    <w:i w:val="0"/>
                    <w:iCs w:val="0"/>
                    <w:color w:val="000000"/>
                  </w:rPr>
                  <w:tab/>
                </w:r>
                <w:r>
                  <w:rPr>
                    <w:rStyle w:val="29"/>
                    <w:b/>
                    <w:bCs/>
                    <w:i/>
                    <w:iCs/>
                    <w:color w:val="000000"/>
                  </w:rPr>
                  <w:t>(в тысячах рублей)</w:t>
                </w:r>
                <w:r>
                  <w:rPr>
                    <w:rStyle w:val="28"/>
                    <w:rFonts w:cs="Arial Unicode MS"/>
                    <w:b w:val="0"/>
                    <w:bCs w:val="0"/>
                    <w:i w:val="0"/>
                    <w:iCs w:val="0"/>
                    <w:color w:val="000000"/>
                  </w:rPr>
                  <w:tab/>
                </w:r>
              </w:p>
            </w:txbxContent>
          </v:textbox>
          <w10:wrap anchorx="page" anchory="page"/>
        </v:shape>
      </w:pict>
    </w:r>
    <w:r w:rsidRPr="00A54D11">
      <w:rPr>
        <w:noProof/>
        <w:lang w:val="ru-RU"/>
      </w:rPr>
      <w:pict>
        <v:shape id="Поле 16" o:spid="_x0000_s8199" type="#_x0000_t202" style="position:absolute;margin-left:6in;margin-top:10.65pt;width:111.1pt;height:17.2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" filled="f" stroked="f">
          <v:textbox style="mso-fit-shape-to-text:t" inset="0,0,0,0">
            <w:txbxContent>
              <w:p w:rsidR="00262397" w:rsidRDefault="00262397">
                <w:pPr>
                  <w:pStyle w:val="13"/>
                  <w:shd w:val="clear" w:color="auto" w:fill="auto"/>
                  <w:spacing w:line="240" w:lineRule="auto"/>
                  <w:jc w:val="left"/>
                  <w:rPr>
                    <w:rFonts w:cs="Arial Unicode MS"/>
                  </w:rPr>
                </w:pPr>
                <w:r>
                  <w:rPr>
                    <w:rStyle w:val="15pt1"/>
                    <w:b w:val="0"/>
                    <w:bCs w:val="0"/>
                    <w:i w:val="0"/>
                    <w:iCs w:val="0"/>
                    <w:color w:val="000000"/>
                  </w:rPr>
                  <w:t>ТАВРИЧЕСКИЙ</w:t>
                </w:r>
              </w:p>
            </w:txbxContent>
          </v:textbox>
          <w10:wrap anchorx="page" anchory="page"/>
        </v:shape>
      </w:pict>
    </w:r>
    <w:r w:rsidRPr="00A54D11">
      <w:rPr>
        <w:noProof/>
        <w:lang w:val="ru-RU"/>
      </w:rPr>
      <w:pict>
        <v:shape id="Поле 15" o:spid="_x0000_s8198" type="#_x0000_t202" style="position:absolute;margin-left:484.55pt;margin-top:5.85pt;width:1.1pt;height:5.3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" filled="f" stroked="f">
          <v:textbox style="mso-fit-shape-to-text:t" inset="0,0,0,0">
            <w:txbxContent>
              <w:p w:rsidR="00262397" w:rsidRDefault="00262397">
                <w:pPr>
                  <w:pStyle w:val="13"/>
                  <w:shd w:val="clear" w:color="auto" w:fill="auto"/>
                  <w:spacing w:line="240" w:lineRule="auto"/>
                  <w:jc w:val="left"/>
                  <w:rPr>
                    <w:rFonts w:cs="Arial Unicode MS"/>
                  </w:rPr>
                </w:pPr>
                <w:r>
                  <w:rPr>
                    <w:rStyle w:val="SegoeUI"/>
                    <w:b w:val="0"/>
                    <w:bCs w:val="0"/>
                    <w:i w:val="0"/>
                    <w:iCs w:val="0"/>
                    <w:color w:val="000000"/>
                  </w:rPr>
                  <w:t>I</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397" w:rsidRPr="00154F57" w:rsidRDefault="00262397" w:rsidP="004C2980">
    <w:pPr>
      <w:pStyle w:val="a4"/>
      <w:pBdr>
        <w:bottom w:val="none" w:sz="0" w:space="0" w:color="auto"/>
      </w:pBdr>
      <w:rPr>
        <w:sz w:val="20"/>
        <w:lang w:val="ru-RU"/>
      </w:rPr>
    </w:pPr>
  </w:p>
  <w:p w:rsidR="00262397" w:rsidRPr="004C2980" w:rsidRDefault="00262397" w:rsidP="004C2980">
    <w:pPr>
      <w:pStyle w:val="a4"/>
      <w:pBdr>
        <w:bottom w:val="none" w:sz="0" w:space="0" w:color="auto"/>
      </w:pBdr>
      <w:rPr>
        <w:b/>
        <w:i/>
        <w:sz w:val="20"/>
        <w:lang w:val="ru-RU"/>
      </w:rPr>
    </w:pPr>
    <w:r>
      <w:rPr>
        <w:b/>
        <w:i/>
        <w:sz w:val="20"/>
        <w:lang w:val="ru-RU"/>
      </w:rPr>
      <w:t>САНКТ-ПЕТЕРБУРГСКИЙ АКЦИОНЕРНЫЙ КОММЕРЧЕСКИЙ БАНК «ТАВРИЧЕСКИЙ» (открытое акционерное общество)</w:t>
    </w:r>
  </w:p>
  <w:p w:rsidR="00262397" w:rsidRPr="004C2980" w:rsidRDefault="00262397" w:rsidP="004C2980">
    <w:pPr>
      <w:pStyle w:val="a4"/>
      <w:pBdr>
        <w:bottom w:val="none" w:sz="0" w:space="0" w:color="auto"/>
      </w:pBdr>
      <w:rPr>
        <w:b/>
        <w:i/>
        <w:sz w:val="20"/>
        <w:lang w:val="ru-RU"/>
      </w:rPr>
    </w:pPr>
    <w:r w:rsidRPr="004C2980">
      <w:rPr>
        <w:b/>
        <w:i/>
        <w:sz w:val="20"/>
        <w:lang w:val="ru-RU"/>
      </w:rPr>
      <w:t>Примечания к финансовой отчетности на 31 декабря 2014 года</w:t>
    </w:r>
  </w:p>
  <w:p w:rsidR="00262397" w:rsidRPr="004C2980" w:rsidRDefault="00262397" w:rsidP="004C2980">
    <w:pPr>
      <w:pStyle w:val="a4"/>
      <w:pBdr>
        <w:bottom w:val="none" w:sz="0" w:space="0" w:color="auto"/>
      </w:pBdr>
      <w:jc w:val="left"/>
      <w:rPr>
        <w:b/>
        <w:i/>
        <w:sz w:val="20"/>
      </w:rPr>
    </w:pPr>
    <w:r w:rsidRPr="004C2980">
      <w:rPr>
        <w:b/>
        <w:i/>
        <w:sz w:val="20"/>
      </w:rPr>
      <w:t>(в</w:t>
    </w:r>
    <w:r>
      <w:rPr>
        <w:b/>
        <w:i/>
        <w:sz w:val="20"/>
        <w:lang w:val="ru-RU"/>
      </w:rPr>
      <w:t xml:space="preserve"> </w:t>
    </w:r>
    <w:r w:rsidRPr="004C2980">
      <w:rPr>
        <w:b/>
        <w:i/>
        <w:sz w:val="20"/>
      </w:rPr>
      <w:t>тысячах</w:t>
    </w:r>
    <w:r>
      <w:rPr>
        <w:b/>
        <w:i/>
        <w:sz w:val="20"/>
        <w:lang w:val="ru-RU"/>
      </w:rPr>
      <w:t xml:space="preserve"> </w:t>
    </w:r>
    <w:r w:rsidRPr="004C2980">
      <w:rPr>
        <w:b/>
        <w:i/>
        <w:sz w:val="20"/>
      </w:rPr>
      <w:t>рублей)</w:t>
    </w:r>
  </w:p>
  <w:p w:rsidR="00262397" w:rsidRPr="00512581" w:rsidRDefault="00262397" w:rsidP="00137009">
    <w:pPr>
      <w:pStyle w:val="Header2"/>
      <w:rPr>
        <w:sz w:val="4"/>
        <w:szCs w:val="24"/>
        <w:lang w:val="ru-RU"/>
      </w:rPr>
    </w:pPr>
  </w:p>
  <w:p w:rsidR="00262397" w:rsidRPr="00E1603B" w:rsidRDefault="00262397" w:rsidP="00137009">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jc w:val="left"/>
      <w:rPr>
        <w:b w:val="0"/>
        <w:sz w:val="20"/>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F11C553C"/>
    <w:lvl w:ilvl="0">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1">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2">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3">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4">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5">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6">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7">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lvl w:ilvl="8">
      <w:start w:val="1"/>
      <w:numFmt w:val="decimal"/>
      <w:lvlText w:val="%1."/>
      <w:lvlJc w:val="left"/>
      <w:pPr>
        <w:ind w:left="0" w:firstLine="0"/>
      </w:pPr>
      <w:rPr>
        <w:rFonts w:ascii="Arial" w:hAnsi="Arial" w:cs="Arial"/>
        <w:b/>
        <w:bCs/>
        <w:i w:val="0"/>
        <w:iCs w:val="0"/>
        <w:smallCaps w:val="0"/>
        <w:strike w:val="0"/>
        <w:dstrike w:val="0"/>
        <w:color w:val="000000"/>
        <w:spacing w:val="0"/>
        <w:w w:val="100"/>
        <w:position w:val="0"/>
        <w:sz w:val="18"/>
        <w:szCs w:val="18"/>
        <w:u w:val="none"/>
        <w:effect w:val="none"/>
      </w:rPr>
    </w:lvl>
  </w:abstractNum>
  <w:abstractNum w:abstractNumId="1">
    <w:nsid w:val="0000001B"/>
    <w:multiLevelType w:val="multilevel"/>
    <w:tmpl w:val="0000001A"/>
    <w:lvl w:ilvl="0">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2">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3">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4">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5">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6">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7">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8">
      <w:start w:val="27"/>
      <w:numFmt w:val="decimal"/>
      <w:lvlText w:val="%1."/>
      <w:lvlJc w:val="left"/>
      <w:rPr>
        <w:rFonts w:ascii="Arial" w:hAnsi="Arial" w:cs="Arial"/>
        <w:b/>
        <w:bCs/>
        <w:i w:val="0"/>
        <w:iCs w:val="0"/>
        <w:smallCaps w:val="0"/>
        <w:strike w:val="0"/>
        <w:color w:val="000000"/>
        <w:spacing w:val="0"/>
        <w:w w:val="100"/>
        <w:position w:val="0"/>
        <w:sz w:val="18"/>
        <w:szCs w:val="18"/>
        <w:u w:val="none"/>
      </w:rPr>
    </w:lvl>
  </w:abstractNum>
  <w:abstractNum w:abstractNumId="2">
    <w:nsid w:val="0000001D"/>
    <w:multiLevelType w:val="multilevel"/>
    <w:tmpl w:val="0000001C"/>
    <w:lvl w:ilvl="0">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1">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2">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3">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4">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5">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6">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7">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8">
      <w:start w:val="1"/>
      <w:numFmt w:val="bullet"/>
      <w:lvlText w:val="•"/>
      <w:lvlJc w:val="left"/>
      <w:rPr>
        <w:rFonts w:ascii="Arial" w:hAnsi="Arial" w:cs="Arial"/>
        <w:b/>
        <w:bCs/>
        <w:i w:val="0"/>
        <w:iCs w:val="0"/>
        <w:smallCaps w:val="0"/>
        <w:strike w:val="0"/>
        <w:color w:val="000000"/>
        <w:spacing w:val="0"/>
        <w:w w:val="100"/>
        <w:position w:val="0"/>
        <w:sz w:val="18"/>
        <w:szCs w:val="18"/>
        <w:u w:val="none"/>
      </w:rPr>
    </w:lvl>
  </w:abstractNum>
  <w:abstractNum w:abstractNumId="3">
    <w:nsid w:val="0000001F"/>
    <w:multiLevelType w:val="multilevel"/>
    <w:tmpl w:val="0000001E"/>
    <w:lvl w:ilvl="0">
      <w:start w:val="2"/>
      <w:numFmt w:val="lowerLetter"/>
      <w:lvlText w:val="(%1)"/>
      <w:lvlJc w:val="left"/>
      <w:rPr>
        <w:rFonts w:ascii="Arial" w:hAnsi="Arial" w:cs="Arial"/>
        <w:b/>
        <w:bCs/>
        <w:i/>
        <w:iCs/>
        <w:smallCaps w:val="0"/>
        <w:strike w:val="0"/>
        <w:color w:val="000000"/>
        <w:spacing w:val="0"/>
        <w:w w:val="100"/>
        <w:position w:val="0"/>
        <w:sz w:val="20"/>
        <w:szCs w:val="20"/>
        <w:u w:val="none"/>
      </w:rPr>
    </w:lvl>
    <w:lvl w:ilvl="1">
      <w:start w:val="2"/>
      <w:numFmt w:val="lowerLetter"/>
      <w:lvlText w:val="(%1)"/>
      <w:lvlJc w:val="left"/>
      <w:rPr>
        <w:rFonts w:ascii="Arial" w:hAnsi="Arial" w:cs="Arial"/>
        <w:b/>
        <w:bCs/>
        <w:i/>
        <w:iCs/>
        <w:smallCaps w:val="0"/>
        <w:strike w:val="0"/>
        <w:color w:val="000000"/>
        <w:spacing w:val="0"/>
        <w:w w:val="100"/>
        <w:position w:val="0"/>
        <w:sz w:val="20"/>
        <w:szCs w:val="20"/>
        <w:u w:val="none"/>
      </w:rPr>
    </w:lvl>
    <w:lvl w:ilvl="2">
      <w:start w:val="2"/>
      <w:numFmt w:val="lowerLetter"/>
      <w:lvlText w:val="(%1)"/>
      <w:lvlJc w:val="left"/>
      <w:rPr>
        <w:rFonts w:ascii="Arial" w:hAnsi="Arial" w:cs="Arial"/>
        <w:b/>
        <w:bCs/>
        <w:i/>
        <w:iCs/>
        <w:smallCaps w:val="0"/>
        <w:strike w:val="0"/>
        <w:color w:val="000000"/>
        <w:spacing w:val="0"/>
        <w:w w:val="100"/>
        <w:position w:val="0"/>
        <w:sz w:val="20"/>
        <w:szCs w:val="20"/>
        <w:u w:val="none"/>
      </w:rPr>
    </w:lvl>
    <w:lvl w:ilvl="3">
      <w:start w:val="2"/>
      <w:numFmt w:val="lowerLetter"/>
      <w:lvlText w:val="(%1)"/>
      <w:lvlJc w:val="left"/>
      <w:rPr>
        <w:rFonts w:ascii="Arial" w:hAnsi="Arial" w:cs="Arial"/>
        <w:b/>
        <w:bCs/>
        <w:i/>
        <w:iCs/>
        <w:smallCaps w:val="0"/>
        <w:strike w:val="0"/>
        <w:color w:val="000000"/>
        <w:spacing w:val="0"/>
        <w:w w:val="100"/>
        <w:position w:val="0"/>
        <w:sz w:val="20"/>
        <w:szCs w:val="20"/>
        <w:u w:val="none"/>
      </w:rPr>
    </w:lvl>
    <w:lvl w:ilvl="4">
      <w:start w:val="2"/>
      <w:numFmt w:val="lowerLetter"/>
      <w:lvlText w:val="(%1)"/>
      <w:lvlJc w:val="left"/>
      <w:rPr>
        <w:rFonts w:ascii="Arial" w:hAnsi="Arial" w:cs="Arial"/>
        <w:b/>
        <w:bCs/>
        <w:i/>
        <w:iCs/>
        <w:smallCaps w:val="0"/>
        <w:strike w:val="0"/>
        <w:color w:val="000000"/>
        <w:spacing w:val="0"/>
        <w:w w:val="100"/>
        <w:position w:val="0"/>
        <w:sz w:val="20"/>
        <w:szCs w:val="20"/>
        <w:u w:val="none"/>
      </w:rPr>
    </w:lvl>
    <w:lvl w:ilvl="5">
      <w:start w:val="2"/>
      <w:numFmt w:val="lowerLetter"/>
      <w:lvlText w:val="(%1)"/>
      <w:lvlJc w:val="left"/>
      <w:rPr>
        <w:rFonts w:ascii="Arial" w:hAnsi="Arial" w:cs="Arial"/>
        <w:b/>
        <w:bCs/>
        <w:i/>
        <w:iCs/>
        <w:smallCaps w:val="0"/>
        <w:strike w:val="0"/>
        <w:color w:val="000000"/>
        <w:spacing w:val="0"/>
        <w:w w:val="100"/>
        <w:position w:val="0"/>
        <w:sz w:val="20"/>
        <w:szCs w:val="20"/>
        <w:u w:val="none"/>
      </w:rPr>
    </w:lvl>
    <w:lvl w:ilvl="6">
      <w:start w:val="2"/>
      <w:numFmt w:val="lowerLetter"/>
      <w:lvlText w:val="(%1)"/>
      <w:lvlJc w:val="left"/>
      <w:rPr>
        <w:rFonts w:ascii="Arial" w:hAnsi="Arial" w:cs="Arial"/>
        <w:b/>
        <w:bCs/>
        <w:i/>
        <w:iCs/>
        <w:smallCaps w:val="0"/>
        <w:strike w:val="0"/>
        <w:color w:val="000000"/>
        <w:spacing w:val="0"/>
        <w:w w:val="100"/>
        <w:position w:val="0"/>
        <w:sz w:val="20"/>
        <w:szCs w:val="20"/>
        <w:u w:val="none"/>
      </w:rPr>
    </w:lvl>
    <w:lvl w:ilvl="7">
      <w:start w:val="2"/>
      <w:numFmt w:val="lowerLetter"/>
      <w:lvlText w:val="(%1)"/>
      <w:lvlJc w:val="left"/>
      <w:rPr>
        <w:rFonts w:ascii="Arial" w:hAnsi="Arial" w:cs="Arial"/>
        <w:b/>
        <w:bCs/>
        <w:i/>
        <w:iCs/>
        <w:smallCaps w:val="0"/>
        <w:strike w:val="0"/>
        <w:color w:val="000000"/>
        <w:spacing w:val="0"/>
        <w:w w:val="100"/>
        <w:position w:val="0"/>
        <w:sz w:val="20"/>
        <w:szCs w:val="20"/>
        <w:u w:val="none"/>
      </w:rPr>
    </w:lvl>
    <w:lvl w:ilvl="8">
      <w:start w:val="2"/>
      <w:numFmt w:val="lowerLetter"/>
      <w:lvlText w:val="(%1)"/>
      <w:lvlJc w:val="left"/>
      <w:rPr>
        <w:rFonts w:ascii="Arial" w:hAnsi="Arial" w:cs="Arial"/>
        <w:b/>
        <w:bCs/>
        <w:i/>
        <w:iCs/>
        <w:smallCaps w:val="0"/>
        <w:strike w:val="0"/>
        <w:color w:val="000000"/>
        <w:spacing w:val="0"/>
        <w:w w:val="100"/>
        <w:position w:val="0"/>
        <w:sz w:val="20"/>
        <w:szCs w:val="20"/>
        <w:u w:val="none"/>
      </w:rPr>
    </w:lvl>
  </w:abstractNum>
  <w:abstractNum w:abstractNumId="4">
    <w:nsid w:val="00000021"/>
    <w:multiLevelType w:val="multilevel"/>
    <w:tmpl w:val="00000020"/>
    <w:lvl w:ilvl="0">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2">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3">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4">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5">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6">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7">
      <w:start w:val="30"/>
      <w:numFmt w:val="decimal"/>
      <w:lvlText w:val="%1."/>
      <w:lvlJc w:val="left"/>
      <w:rPr>
        <w:rFonts w:ascii="Arial" w:hAnsi="Arial" w:cs="Arial"/>
        <w:b/>
        <w:bCs/>
        <w:i w:val="0"/>
        <w:iCs w:val="0"/>
        <w:smallCaps w:val="0"/>
        <w:strike w:val="0"/>
        <w:color w:val="000000"/>
        <w:spacing w:val="0"/>
        <w:w w:val="100"/>
        <w:position w:val="0"/>
        <w:sz w:val="18"/>
        <w:szCs w:val="18"/>
        <w:u w:val="none"/>
      </w:rPr>
    </w:lvl>
    <w:lvl w:ilvl="8">
      <w:start w:val="30"/>
      <w:numFmt w:val="decimal"/>
      <w:lvlText w:val="%1."/>
      <w:lvlJc w:val="left"/>
      <w:rPr>
        <w:rFonts w:ascii="Arial" w:hAnsi="Arial" w:cs="Arial"/>
        <w:b/>
        <w:bCs/>
        <w:i w:val="0"/>
        <w:iCs w:val="0"/>
        <w:smallCaps w:val="0"/>
        <w:strike w:val="0"/>
        <w:color w:val="000000"/>
        <w:spacing w:val="0"/>
        <w:w w:val="100"/>
        <w:position w:val="0"/>
        <w:sz w:val="18"/>
        <w:szCs w:val="18"/>
        <w:u w:val="none"/>
      </w:rPr>
    </w:lvl>
  </w:abstractNum>
  <w:abstractNum w:abstractNumId="5">
    <w:nsid w:val="00000023"/>
    <w:multiLevelType w:val="multilevel"/>
    <w:tmpl w:val="00000022"/>
    <w:lvl w:ilvl="0">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1">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2">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3">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4">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5">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6">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7">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lvl w:ilvl="8">
      <w:start w:val="1"/>
      <w:numFmt w:val="lowerRoman"/>
      <w:lvlText w:val="%1."/>
      <w:lvlJc w:val="left"/>
      <w:rPr>
        <w:rFonts w:ascii="Arial" w:hAnsi="Arial" w:cs="Arial"/>
        <w:b w:val="0"/>
        <w:bCs w:val="0"/>
        <w:i/>
        <w:iCs/>
        <w:smallCaps w:val="0"/>
        <w:strike w:val="0"/>
        <w:color w:val="000000"/>
        <w:spacing w:val="0"/>
        <w:w w:val="100"/>
        <w:position w:val="0"/>
        <w:sz w:val="19"/>
        <w:szCs w:val="19"/>
        <w:u w:val="none"/>
      </w:rPr>
    </w:lvl>
  </w:abstractNum>
  <w:abstractNum w:abstractNumId="6">
    <w:nsid w:val="00000025"/>
    <w:multiLevelType w:val="multilevel"/>
    <w:tmpl w:val="00000024"/>
    <w:lvl w:ilvl="0">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1">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2">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3">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4">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5">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6">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7">
      <w:start w:val="1"/>
      <w:numFmt w:val="bullet"/>
      <w:lvlText w:val="■"/>
      <w:lvlJc w:val="left"/>
      <w:rPr>
        <w:rFonts w:ascii="Arial" w:hAnsi="Arial" w:cs="Arial"/>
        <w:b/>
        <w:bCs/>
        <w:i w:val="0"/>
        <w:iCs w:val="0"/>
        <w:smallCaps w:val="0"/>
        <w:strike w:val="0"/>
        <w:color w:val="000000"/>
        <w:spacing w:val="0"/>
        <w:w w:val="100"/>
        <w:position w:val="0"/>
        <w:sz w:val="18"/>
        <w:szCs w:val="18"/>
        <w:u w:val="none"/>
      </w:rPr>
    </w:lvl>
    <w:lvl w:ilvl="8">
      <w:start w:val="1"/>
      <w:numFmt w:val="bullet"/>
      <w:lvlText w:val="■"/>
      <w:lvlJc w:val="left"/>
      <w:rPr>
        <w:rFonts w:ascii="Arial" w:hAnsi="Arial" w:cs="Arial"/>
        <w:b/>
        <w:bCs/>
        <w:i w:val="0"/>
        <w:iCs w:val="0"/>
        <w:smallCaps w:val="0"/>
        <w:strike w:val="0"/>
        <w:color w:val="000000"/>
        <w:spacing w:val="0"/>
        <w:w w:val="100"/>
        <w:position w:val="0"/>
        <w:sz w:val="18"/>
        <w:szCs w:val="18"/>
        <w:u w:val="none"/>
      </w:rPr>
    </w:lvl>
  </w:abstractNum>
  <w:abstractNum w:abstractNumId="7">
    <w:nsid w:val="00000026"/>
    <w:multiLevelType w:val="singleLevel"/>
    <w:tmpl w:val="00000026"/>
    <w:name w:val="WW8Num44"/>
    <w:lvl w:ilvl="0">
      <w:start w:val="1"/>
      <w:numFmt w:val="bullet"/>
      <w:lvlText w:val=""/>
      <w:lvlJc w:val="left"/>
      <w:pPr>
        <w:tabs>
          <w:tab w:val="num" w:pos="0"/>
        </w:tabs>
        <w:ind w:left="720" w:hanging="360"/>
      </w:pPr>
      <w:rPr>
        <w:rFonts w:ascii="Symbol" w:hAnsi="Symbol" w:cs="Symbol" w:hint="default"/>
        <w:color w:val="auto"/>
        <w:sz w:val="24"/>
        <w:szCs w:val="24"/>
      </w:rPr>
    </w:lvl>
  </w:abstractNum>
  <w:abstractNum w:abstractNumId="8">
    <w:nsid w:val="00000027"/>
    <w:multiLevelType w:val="multilevel"/>
    <w:tmpl w:val="00000026"/>
    <w:lvl w:ilvl="0">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2">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3">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4">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5">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6">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7">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lvl w:ilvl="8">
      <w:start w:val="1"/>
      <w:numFmt w:val="lowerRoman"/>
      <w:lvlText w:val="(%1)"/>
      <w:lvlJc w:val="left"/>
      <w:rPr>
        <w:rFonts w:ascii="Arial" w:hAnsi="Arial" w:cs="Arial"/>
        <w:b/>
        <w:bCs/>
        <w:i w:val="0"/>
        <w:iCs w:val="0"/>
        <w:smallCaps w:val="0"/>
        <w:strike w:val="0"/>
        <w:color w:val="000000"/>
        <w:spacing w:val="0"/>
        <w:w w:val="100"/>
        <w:position w:val="0"/>
        <w:sz w:val="18"/>
        <w:szCs w:val="18"/>
        <w:u w:val="none"/>
      </w:rPr>
    </w:lvl>
  </w:abstractNum>
  <w:abstractNum w:abstractNumId="9">
    <w:nsid w:val="00000029"/>
    <w:multiLevelType w:val="multilevel"/>
    <w:tmpl w:val="00000028"/>
    <w:lvl w:ilvl="0">
      <w:start w:val="1"/>
      <w:numFmt w:val="bullet"/>
      <w:lvlText w:val="■"/>
      <w:lvlJc w:val="left"/>
      <w:rPr>
        <w:rFonts w:ascii="Arial" w:hAnsi="Arial"/>
        <w:b/>
        <w:i w:val="0"/>
        <w:smallCaps w:val="0"/>
        <w:strike w:val="0"/>
        <w:color w:val="000000"/>
        <w:spacing w:val="0"/>
        <w:w w:val="100"/>
        <w:position w:val="0"/>
        <w:sz w:val="18"/>
        <w:u w:val="none"/>
      </w:rPr>
    </w:lvl>
    <w:lvl w:ilvl="1">
      <w:start w:val="1"/>
      <w:numFmt w:val="bullet"/>
      <w:lvlText w:val="■"/>
      <w:lvlJc w:val="left"/>
      <w:rPr>
        <w:rFonts w:ascii="Arial" w:hAnsi="Arial"/>
        <w:b/>
        <w:i w:val="0"/>
        <w:smallCaps w:val="0"/>
        <w:strike w:val="0"/>
        <w:color w:val="000000"/>
        <w:spacing w:val="0"/>
        <w:w w:val="100"/>
        <w:position w:val="0"/>
        <w:sz w:val="18"/>
        <w:u w:val="none"/>
      </w:rPr>
    </w:lvl>
    <w:lvl w:ilvl="2">
      <w:start w:val="1"/>
      <w:numFmt w:val="bullet"/>
      <w:lvlText w:val="■"/>
      <w:lvlJc w:val="left"/>
      <w:rPr>
        <w:rFonts w:ascii="Arial" w:hAnsi="Arial"/>
        <w:b/>
        <w:i w:val="0"/>
        <w:smallCaps w:val="0"/>
        <w:strike w:val="0"/>
        <w:color w:val="000000"/>
        <w:spacing w:val="0"/>
        <w:w w:val="100"/>
        <w:position w:val="0"/>
        <w:sz w:val="18"/>
        <w:u w:val="none"/>
      </w:rPr>
    </w:lvl>
    <w:lvl w:ilvl="3">
      <w:start w:val="1"/>
      <w:numFmt w:val="bullet"/>
      <w:lvlText w:val="■"/>
      <w:lvlJc w:val="left"/>
      <w:rPr>
        <w:rFonts w:ascii="Arial" w:hAnsi="Arial"/>
        <w:b/>
        <w:i w:val="0"/>
        <w:smallCaps w:val="0"/>
        <w:strike w:val="0"/>
        <w:color w:val="000000"/>
        <w:spacing w:val="0"/>
        <w:w w:val="100"/>
        <w:position w:val="0"/>
        <w:sz w:val="18"/>
        <w:u w:val="none"/>
      </w:rPr>
    </w:lvl>
    <w:lvl w:ilvl="4">
      <w:start w:val="1"/>
      <w:numFmt w:val="bullet"/>
      <w:lvlText w:val="■"/>
      <w:lvlJc w:val="left"/>
      <w:rPr>
        <w:rFonts w:ascii="Arial" w:hAnsi="Arial"/>
        <w:b/>
        <w:i w:val="0"/>
        <w:smallCaps w:val="0"/>
        <w:strike w:val="0"/>
        <w:color w:val="000000"/>
        <w:spacing w:val="0"/>
        <w:w w:val="100"/>
        <w:position w:val="0"/>
        <w:sz w:val="18"/>
        <w:u w:val="none"/>
      </w:rPr>
    </w:lvl>
    <w:lvl w:ilvl="5">
      <w:start w:val="1"/>
      <w:numFmt w:val="bullet"/>
      <w:lvlText w:val="■"/>
      <w:lvlJc w:val="left"/>
      <w:rPr>
        <w:rFonts w:ascii="Arial" w:hAnsi="Arial"/>
        <w:b/>
        <w:i w:val="0"/>
        <w:smallCaps w:val="0"/>
        <w:strike w:val="0"/>
        <w:color w:val="000000"/>
        <w:spacing w:val="0"/>
        <w:w w:val="100"/>
        <w:position w:val="0"/>
        <w:sz w:val="18"/>
        <w:u w:val="none"/>
      </w:rPr>
    </w:lvl>
    <w:lvl w:ilvl="6">
      <w:start w:val="1"/>
      <w:numFmt w:val="bullet"/>
      <w:lvlText w:val="■"/>
      <w:lvlJc w:val="left"/>
      <w:rPr>
        <w:rFonts w:ascii="Arial" w:hAnsi="Arial"/>
        <w:b/>
        <w:i w:val="0"/>
        <w:smallCaps w:val="0"/>
        <w:strike w:val="0"/>
        <w:color w:val="000000"/>
        <w:spacing w:val="0"/>
        <w:w w:val="100"/>
        <w:position w:val="0"/>
        <w:sz w:val="18"/>
        <w:u w:val="none"/>
      </w:rPr>
    </w:lvl>
    <w:lvl w:ilvl="7">
      <w:start w:val="1"/>
      <w:numFmt w:val="bullet"/>
      <w:lvlText w:val="■"/>
      <w:lvlJc w:val="left"/>
      <w:rPr>
        <w:rFonts w:ascii="Arial" w:hAnsi="Arial"/>
        <w:b/>
        <w:i w:val="0"/>
        <w:smallCaps w:val="0"/>
        <w:strike w:val="0"/>
        <w:color w:val="000000"/>
        <w:spacing w:val="0"/>
        <w:w w:val="100"/>
        <w:position w:val="0"/>
        <w:sz w:val="18"/>
        <w:u w:val="none"/>
      </w:rPr>
    </w:lvl>
    <w:lvl w:ilvl="8">
      <w:start w:val="1"/>
      <w:numFmt w:val="bullet"/>
      <w:lvlText w:val="■"/>
      <w:lvlJc w:val="left"/>
      <w:rPr>
        <w:rFonts w:ascii="Arial" w:hAnsi="Arial"/>
        <w:b/>
        <w:i w:val="0"/>
        <w:smallCaps w:val="0"/>
        <w:strike w:val="0"/>
        <w:color w:val="000000"/>
        <w:spacing w:val="0"/>
        <w:w w:val="100"/>
        <w:position w:val="0"/>
        <w:sz w:val="18"/>
        <w:u w:val="none"/>
      </w:rPr>
    </w:lvl>
  </w:abstractNum>
  <w:abstractNum w:abstractNumId="10">
    <w:nsid w:val="03172AB8"/>
    <w:multiLevelType w:val="hybridMultilevel"/>
    <w:tmpl w:val="F4FC0F6E"/>
    <w:lvl w:ilvl="0" w:tplc="645EF454">
      <w:start w:val="1"/>
      <w:numFmt w:val="bullet"/>
      <w:lvlText w:val=""/>
      <w:lvlJc w:val="left"/>
      <w:pPr>
        <w:ind w:left="720" w:hanging="360"/>
      </w:pPr>
      <w:rPr>
        <w:rFonts w:ascii="Symbol" w:hAnsi="Symbol" w:hint="default"/>
      </w:rPr>
    </w:lvl>
    <w:lvl w:ilvl="1" w:tplc="45786828">
      <w:start w:val="1"/>
      <w:numFmt w:val="bullet"/>
      <w:lvlText w:val=""/>
      <w:lvlJc w:val="left"/>
      <w:pPr>
        <w:ind w:left="1440" w:hanging="360"/>
      </w:pPr>
      <w:rPr>
        <w:rFonts w:ascii="Symbol" w:hAnsi="Symbol" w:hint="default"/>
        <w:sz w:val="20"/>
        <w:szCs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984408E"/>
    <w:multiLevelType w:val="multilevel"/>
    <w:tmpl w:val="EE3860A0"/>
    <w:name w:val="PwCListNumbers1"/>
    <w:styleLink w:val="PwCListNumbers1"/>
    <w:lvl w:ilvl="0">
      <w:start w:val="1"/>
      <w:numFmt w:val="decimal"/>
      <w:pStyle w:val="a"/>
      <w:lvlText w:val="%1."/>
      <w:lvlJc w:val="left"/>
      <w:pPr>
        <w:tabs>
          <w:tab w:val="num" w:pos="567"/>
        </w:tabs>
        <w:ind w:left="567" w:hanging="567"/>
      </w:pPr>
      <w:rPr>
        <w:rFonts w:hint="default"/>
      </w:rPr>
    </w:lvl>
    <w:lvl w:ilvl="1">
      <w:start w:val="1"/>
      <w:numFmt w:val="lowerLetter"/>
      <w:pStyle w:val="2"/>
      <w:lvlText w:val="%2."/>
      <w:lvlJc w:val="left"/>
      <w:pPr>
        <w:tabs>
          <w:tab w:val="num" w:pos="1134"/>
        </w:tabs>
        <w:ind w:left="1134" w:hanging="567"/>
      </w:pPr>
      <w:rPr>
        <w:rFonts w:hint="default"/>
      </w:rPr>
    </w:lvl>
    <w:lvl w:ilvl="2">
      <w:start w:val="1"/>
      <w:numFmt w:val="lowerRoman"/>
      <w:pStyle w:val="3"/>
      <w:lvlText w:val="%3."/>
      <w:lvlJc w:val="left"/>
      <w:pPr>
        <w:tabs>
          <w:tab w:val="num" w:pos="1701"/>
        </w:tabs>
        <w:ind w:left="1701" w:hanging="567"/>
      </w:pPr>
      <w:rPr>
        <w:rFonts w:hint="default"/>
      </w:rPr>
    </w:lvl>
    <w:lvl w:ilvl="3">
      <w:start w:val="1"/>
      <w:numFmt w:val="decimal"/>
      <w:pStyle w:val="4"/>
      <w:lvlText w:val="%4."/>
      <w:lvlJc w:val="left"/>
      <w:pPr>
        <w:tabs>
          <w:tab w:val="num" w:pos="2268"/>
        </w:tabs>
        <w:ind w:left="2268" w:hanging="567"/>
      </w:pPr>
      <w:rPr>
        <w:rFonts w:hint="default"/>
      </w:rPr>
    </w:lvl>
    <w:lvl w:ilvl="4">
      <w:start w:val="1"/>
      <w:numFmt w:val="lowerLetter"/>
      <w:pStyle w:val="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nsid w:val="14C74C21"/>
    <w:multiLevelType w:val="hybridMultilevel"/>
    <w:tmpl w:val="1B527440"/>
    <w:lvl w:ilvl="0" w:tplc="4162B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5E52D9C"/>
    <w:multiLevelType w:val="singleLevel"/>
    <w:tmpl w:val="D25E0B12"/>
    <w:lvl w:ilvl="0">
      <w:start w:val="1"/>
      <w:numFmt w:val="decimal"/>
      <w:pStyle w:val="Report"/>
      <w:lvlText w:val="%1"/>
      <w:lvlJc w:val="left"/>
      <w:pPr>
        <w:tabs>
          <w:tab w:val="num" w:pos="-4"/>
        </w:tabs>
        <w:ind w:left="-4" w:hanging="705"/>
      </w:pPr>
      <w:rPr>
        <w:rFonts w:cs="Times New Roman"/>
        <w:b w:val="0"/>
        <w:i w:val="0"/>
        <w:color w:val="000000"/>
      </w:rPr>
    </w:lvl>
  </w:abstractNum>
  <w:abstractNum w:abstractNumId="14">
    <w:nsid w:val="165E4F91"/>
    <w:multiLevelType w:val="hybridMultilevel"/>
    <w:tmpl w:val="7C42551A"/>
    <w:lvl w:ilvl="0" w:tplc="5576EC9C">
      <w:start w:val="1"/>
      <w:numFmt w:val="lowerRoman"/>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9F710E"/>
    <w:multiLevelType w:val="hybridMultilevel"/>
    <w:tmpl w:val="AB30E42E"/>
    <w:lvl w:ilvl="0" w:tplc="3840811E">
      <w:start w:val="1"/>
      <w:numFmt w:val="bullet"/>
      <w:pStyle w:val="bullet"/>
      <w:lvlText w:val=""/>
      <w:lvlJc w:val="left"/>
      <w:pPr>
        <w:tabs>
          <w:tab w:val="num" w:pos="360"/>
        </w:tabs>
        <w:ind w:left="284" w:hanging="284"/>
      </w:pPr>
      <w:rPr>
        <w:rFonts w:ascii="Symbol" w:hAnsi="Symbol" w:hint="default"/>
      </w:rPr>
    </w:lvl>
    <w:lvl w:ilvl="1" w:tplc="BCCA4C86">
      <w:start w:val="1"/>
      <w:numFmt w:val="bullet"/>
      <w:lvlText w:val="o"/>
      <w:lvlJc w:val="left"/>
      <w:pPr>
        <w:tabs>
          <w:tab w:val="num" w:pos="1440"/>
        </w:tabs>
        <w:ind w:left="1440" w:hanging="360"/>
      </w:pPr>
      <w:rPr>
        <w:rFonts w:ascii="Courier" w:hAnsi="Courier" w:hint="default"/>
      </w:rPr>
    </w:lvl>
    <w:lvl w:ilvl="2" w:tplc="3AAEB1B6" w:tentative="1">
      <w:start w:val="1"/>
      <w:numFmt w:val="bullet"/>
      <w:lvlText w:val=""/>
      <w:lvlJc w:val="left"/>
      <w:pPr>
        <w:tabs>
          <w:tab w:val="num" w:pos="2160"/>
        </w:tabs>
        <w:ind w:left="2160" w:hanging="360"/>
      </w:pPr>
      <w:rPr>
        <w:rFonts w:ascii="Symbol" w:hAnsi="Symbol" w:hint="default"/>
      </w:rPr>
    </w:lvl>
    <w:lvl w:ilvl="3" w:tplc="FF5641B0" w:tentative="1">
      <w:start w:val="1"/>
      <w:numFmt w:val="bullet"/>
      <w:lvlText w:val=""/>
      <w:lvlJc w:val="left"/>
      <w:pPr>
        <w:tabs>
          <w:tab w:val="num" w:pos="2880"/>
        </w:tabs>
        <w:ind w:left="2880" w:hanging="360"/>
      </w:pPr>
      <w:rPr>
        <w:rFonts w:ascii="Symbol" w:hAnsi="Symbol" w:hint="default"/>
      </w:rPr>
    </w:lvl>
    <w:lvl w:ilvl="4" w:tplc="77986AC4" w:tentative="1">
      <w:start w:val="1"/>
      <w:numFmt w:val="bullet"/>
      <w:lvlText w:val="o"/>
      <w:lvlJc w:val="left"/>
      <w:pPr>
        <w:tabs>
          <w:tab w:val="num" w:pos="3600"/>
        </w:tabs>
        <w:ind w:left="3600" w:hanging="360"/>
      </w:pPr>
      <w:rPr>
        <w:rFonts w:ascii="Courier" w:hAnsi="Courier" w:hint="default"/>
      </w:rPr>
    </w:lvl>
    <w:lvl w:ilvl="5" w:tplc="59FA4D94" w:tentative="1">
      <w:start w:val="1"/>
      <w:numFmt w:val="bullet"/>
      <w:lvlText w:val=""/>
      <w:lvlJc w:val="left"/>
      <w:pPr>
        <w:tabs>
          <w:tab w:val="num" w:pos="4320"/>
        </w:tabs>
        <w:ind w:left="4320" w:hanging="360"/>
      </w:pPr>
      <w:rPr>
        <w:rFonts w:ascii="Symbol" w:hAnsi="Symbol" w:hint="default"/>
      </w:rPr>
    </w:lvl>
    <w:lvl w:ilvl="6" w:tplc="AAE0BEBE" w:tentative="1">
      <w:start w:val="1"/>
      <w:numFmt w:val="bullet"/>
      <w:lvlText w:val=""/>
      <w:lvlJc w:val="left"/>
      <w:pPr>
        <w:tabs>
          <w:tab w:val="num" w:pos="5040"/>
        </w:tabs>
        <w:ind w:left="5040" w:hanging="360"/>
      </w:pPr>
      <w:rPr>
        <w:rFonts w:ascii="Symbol" w:hAnsi="Symbol" w:hint="default"/>
      </w:rPr>
    </w:lvl>
    <w:lvl w:ilvl="7" w:tplc="F66E7DF8" w:tentative="1">
      <w:start w:val="1"/>
      <w:numFmt w:val="bullet"/>
      <w:lvlText w:val="o"/>
      <w:lvlJc w:val="left"/>
      <w:pPr>
        <w:tabs>
          <w:tab w:val="num" w:pos="5760"/>
        </w:tabs>
        <w:ind w:left="5760" w:hanging="360"/>
      </w:pPr>
      <w:rPr>
        <w:rFonts w:ascii="Courier" w:hAnsi="Courier" w:hint="default"/>
      </w:rPr>
    </w:lvl>
    <w:lvl w:ilvl="8" w:tplc="063A5386" w:tentative="1">
      <w:start w:val="1"/>
      <w:numFmt w:val="bullet"/>
      <w:lvlText w:val=""/>
      <w:lvlJc w:val="left"/>
      <w:pPr>
        <w:tabs>
          <w:tab w:val="num" w:pos="6480"/>
        </w:tabs>
        <w:ind w:left="6480" w:hanging="360"/>
      </w:pPr>
      <w:rPr>
        <w:rFonts w:ascii="Symbol" w:hAnsi="Symbol" w:hint="default"/>
      </w:rPr>
    </w:lvl>
  </w:abstractNum>
  <w:abstractNum w:abstractNumId="16">
    <w:nsid w:val="22E85187"/>
    <w:multiLevelType w:val="hybridMultilevel"/>
    <w:tmpl w:val="F0440318"/>
    <w:lvl w:ilvl="0" w:tplc="645EF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B62A2A"/>
    <w:multiLevelType w:val="hybridMultilevel"/>
    <w:tmpl w:val="374A687A"/>
    <w:lvl w:ilvl="0" w:tplc="8202250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5E06F3"/>
    <w:multiLevelType w:val="singleLevel"/>
    <w:tmpl w:val="17BE56BC"/>
    <w:lvl w:ilvl="0">
      <w:start w:val="1"/>
      <w:numFmt w:val="bullet"/>
      <w:pStyle w:val="Bullet0"/>
      <w:lvlText w:val=""/>
      <w:lvlJc w:val="left"/>
      <w:pPr>
        <w:tabs>
          <w:tab w:val="num" w:pos="360"/>
        </w:tabs>
        <w:ind w:left="360" w:hanging="360"/>
      </w:pPr>
      <w:rPr>
        <w:rFonts w:ascii="Symbol" w:hAnsi="Symbol" w:hint="default"/>
      </w:rPr>
    </w:lvl>
  </w:abstractNum>
  <w:abstractNum w:abstractNumId="19">
    <w:nsid w:val="30847F9C"/>
    <w:multiLevelType w:val="hybridMultilevel"/>
    <w:tmpl w:val="AEF6B64C"/>
    <w:lvl w:ilvl="0" w:tplc="645EF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0B2570"/>
    <w:multiLevelType w:val="hybridMultilevel"/>
    <w:tmpl w:val="FF22686E"/>
    <w:lvl w:ilvl="0" w:tplc="8202250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1569EF"/>
    <w:multiLevelType w:val="hybridMultilevel"/>
    <w:tmpl w:val="8E4EC2DA"/>
    <w:lvl w:ilvl="0" w:tplc="645EF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A70CF4"/>
    <w:multiLevelType w:val="multilevel"/>
    <w:tmpl w:val="BAF859CA"/>
    <w:lvl w:ilvl="0">
      <w:start w:val="1"/>
      <w:numFmt w:val="bullet"/>
      <w:pStyle w:val="ABC-BulletsinNotes"/>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927"/>
        </w:tabs>
        <w:ind w:left="851" w:hanging="284"/>
      </w:pPr>
      <w:rPr>
        <w:rFonts w:ascii="Times New Roman" w:hAnsi="Times New Roman" w:hint="default"/>
        <w:b w:val="0"/>
        <w:i w:val="0"/>
        <w:caps w:val="0"/>
        <w:strike w:val="0"/>
        <w:dstrike w:val="0"/>
        <w:vanish w:val="0"/>
        <w:color w:val="auto"/>
        <w:sz w:val="20"/>
        <w:vertAlign w:val="baseline"/>
      </w:rPr>
    </w:lvl>
    <w:lvl w:ilvl="2">
      <w:start w:val="1"/>
      <w:numFmt w:val="decimal"/>
      <w:lvlText w:val="%1.%2.%3"/>
      <w:lvlJc w:val="left"/>
      <w:pPr>
        <w:tabs>
          <w:tab w:val="num" w:pos="720"/>
        </w:tabs>
        <w:ind w:left="720" w:hanging="720"/>
      </w:pPr>
      <w:rPr>
        <w:rFonts w:ascii="Arial" w:hAnsi="Arial" w:cs="Times New Roman" w:hint="default"/>
        <w:color w:val="000000"/>
      </w:rPr>
    </w:lvl>
    <w:lvl w:ilvl="3">
      <w:start w:val="1"/>
      <w:numFmt w:val="decimal"/>
      <w:lvlText w:val="%1.%2.%3.%4"/>
      <w:lvlJc w:val="left"/>
      <w:pPr>
        <w:tabs>
          <w:tab w:val="num" w:pos="720"/>
        </w:tabs>
        <w:ind w:left="720" w:hanging="720"/>
      </w:pPr>
      <w:rPr>
        <w:rFonts w:ascii="Arial" w:hAnsi="Arial" w:cs="Times New Roman" w:hint="default"/>
        <w:color w:val="000000"/>
      </w:rPr>
    </w:lvl>
    <w:lvl w:ilvl="4">
      <w:start w:val="1"/>
      <w:numFmt w:val="decimal"/>
      <w:lvlText w:val="%1.%2.%3.%4.%5"/>
      <w:lvlJc w:val="left"/>
      <w:pPr>
        <w:tabs>
          <w:tab w:val="num" w:pos="720"/>
        </w:tabs>
        <w:ind w:left="720" w:hanging="720"/>
      </w:pPr>
      <w:rPr>
        <w:rFonts w:ascii="Arial" w:hAnsi="Arial" w:cs="Times New Roman" w:hint="default"/>
        <w:color w:val="000000"/>
      </w:rPr>
    </w:lvl>
    <w:lvl w:ilvl="5">
      <w:start w:val="1"/>
      <w:numFmt w:val="decimal"/>
      <w:lvlText w:val="%1.%2.%3.%4.%5.%6"/>
      <w:lvlJc w:val="left"/>
      <w:pPr>
        <w:tabs>
          <w:tab w:val="num" w:pos="1080"/>
        </w:tabs>
        <w:ind w:left="1080" w:hanging="1080"/>
      </w:pPr>
      <w:rPr>
        <w:rFonts w:ascii="Arial" w:hAnsi="Arial" w:cs="Times New Roman" w:hint="default"/>
        <w:color w:val="000000"/>
      </w:rPr>
    </w:lvl>
    <w:lvl w:ilvl="6">
      <w:start w:val="1"/>
      <w:numFmt w:val="decimal"/>
      <w:lvlText w:val="%1.%2.%3.%4.%5.%6.%7"/>
      <w:lvlJc w:val="left"/>
      <w:pPr>
        <w:tabs>
          <w:tab w:val="num" w:pos="1080"/>
        </w:tabs>
        <w:ind w:left="1080" w:hanging="1080"/>
      </w:pPr>
      <w:rPr>
        <w:rFonts w:ascii="Arial" w:hAnsi="Arial" w:cs="Times New Roman" w:hint="default"/>
        <w:color w:val="000000"/>
      </w:rPr>
    </w:lvl>
    <w:lvl w:ilvl="7">
      <w:start w:val="1"/>
      <w:numFmt w:val="decimal"/>
      <w:lvlText w:val="%1.%2.%3.%4.%5.%6.%7.%8"/>
      <w:lvlJc w:val="left"/>
      <w:pPr>
        <w:tabs>
          <w:tab w:val="num" w:pos="1440"/>
        </w:tabs>
        <w:ind w:left="1440" w:hanging="1440"/>
      </w:pPr>
      <w:rPr>
        <w:rFonts w:ascii="Arial" w:hAnsi="Arial" w:cs="Times New Roman" w:hint="default"/>
        <w:color w:val="000000"/>
      </w:rPr>
    </w:lvl>
    <w:lvl w:ilvl="8">
      <w:start w:val="1"/>
      <w:numFmt w:val="decimal"/>
      <w:lvlText w:val="%1.%2.%3.%4.%5.%6.%7.%8.%9"/>
      <w:lvlJc w:val="left"/>
      <w:pPr>
        <w:tabs>
          <w:tab w:val="num" w:pos="1440"/>
        </w:tabs>
        <w:ind w:left="1440" w:hanging="1440"/>
      </w:pPr>
      <w:rPr>
        <w:rFonts w:ascii="Arial" w:hAnsi="Arial" w:cs="Times New Roman" w:hint="default"/>
        <w:color w:val="000000"/>
      </w:rPr>
    </w:lvl>
  </w:abstractNum>
  <w:abstractNum w:abstractNumId="23">
    <w:nsid w:val="3A57486E"/>
    <w:multiLevelType w:val="multilevel"/>
    <w:tmpl w:val="EE3860A0"/>
    <w:name w:val="PwCListNumbers12"/>
    <w:numStyleLink w:val="PwCListNumbers1"/>
  </w:abstractNum>
  <w:abstractNum w:abstractNumId="24">
    <w:nsid w:val="3B9F1319"/>
    <w:multiLevelType w:val="hybridMultilevel"/>
    <w:tmpl w:val="B6F20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0A0FF2"/>
    <w:multiLevelType w:val="hybridMultilevel"/>
    <w:tmpl w:val="F33E28AE"/>
    <w:lvl w:ilvl="0" w:tplc="8F1CD072">
      <w:start w:val="1"/>
      <w:numFmt w:val="bullet"/>
      <w:pStyle w:val="Bullet1"/>
      <w:lvlText w:val=""/>
      <w:lvlJc w:val="left"/>
      <w:pPr>
        <w:tabs>
          <w:tab w:val="num" w:pos="1033"/>
        </w:tabs>
        <w:ind w:left="1033" w:hanging="992"/>
      </w:pPr>
      <w:rPr>
        <w:rFonts w:ascii="Symbol" w:hAnsi="Symbol" w:hint="default"/>
      </w:rPr>
    </w:lvl>
    <w:lvl w:ilvl="1" w:tplc="58AE6368" w:tentative="1">
      <w:start w:val="1"/>
      <w:numFmt w:val="bullet"/>
      <w:lvlText w:val="o"/>
      <w:lvlJc w:val="left"/>
      <w:pPr>
        <w:tabs>
          <w:tab w:val="num" w:pos="1481"/>
        </w:tabs>
        <w:ind w:left="1481" w:hanging="360"/>
      </w:pPr>
      <w:rPr>
        <w:rFonts w:ascii="Courier New" w:hAnsi="Courier New" w:hint="default"/>
      </w:rPr>
    </w:lvl>
    <w:lvl w:ilvl="2" w:tplc="09D6BE90" w:tentative="1">
      <w:start w:val="1"/>
      <w:numFmt w:val="bullet"/>
      <w:lvlText w:val=""/>
      <w:lvlJc w:val="left"/>
      <w:pPr>
        <w:tabs>
          <w:tab w:val="num" w:pos="2201"/>
        </w:tabs>
        <w:ind w:left="2201" w:hanging="360"/>
      </w:pPr>
      <w:rPr>
        <w:rFonts w:ascii="Wingdings" w:hAnsi="Wingdings" w:hint="default"/>
      </w:rPr>
    </w:lvl>
    <w:lvl w:ilvl="3" w:tplc="1D824EFE" w:tentative="1">
      <w:start w:val="1"/>
      <w:numFmt w:val="bullet"/>
      <w:lvlText w:val=""/>
      <w:lvlJc w:val="left"/>
      <w:pPr>
        <w:tabs>
          <w:tab w:val="num" w:pos="2921"/>
        </w:tabs>
        <w:ind w:left="2921" w:hanging="360"/>
      </w:pPr>
      <w:rPr>
        <w:rFonts w:ascii="Symbol" w:hAnsi="Symbol" w:hint="default"/>
      </w:rPr>
    </w:lvl>
    <w:lvl w:ilvl="4" w:tplc="D7EACCCE" w:tentative="1">
      <w:start w:val="1"/>
      <w:numFmt w:val="bullet"/>
      <w:lvlText w:val="o"/>
      <w:lvlJc w:val="left"/>
      <w:pPr>
        <w:tabs>
          <w:tab w:val="num" w:pos="3641"/>
        </w:tabs>
        <w:ind w:left="3641" w:hanging="360"/>
      </w:pPr>
      <w:rPr>
        <w:rFonts w:ascii="Courier New" w:hAnsi="Courier New" w:hint="default"/>
      </w:rPr>
    </w:lvl>
    <w:lvl w:ilvl="5" w:tplc="7628738A" w:tentative="1">
      <w:start w:val="1"/>
      <w:numFmt w:val="bullet"/>
      <w:lvlText w:val=""/>
      <w:lvlJc w:val="left"/>
      <w:pPr>
        <w:tabs>
          <w:tab w:val="num" w:pos="4361"/>
        </w:tabs>
        <w:ind w:left="4361" w:hanging="360"/>
      </w:pPr>
      <w:rPr>
        <w:rFonts w:ascii="Wingdings" w:hAnsi="Wingdings" w:hint="default"/>
      </w:rPr>
    </w:lvl>
    <w:lvl w:ilvl="6" w:tplc="00BA1AF2" w:tentative="1">
      <w:start w:val="1"/>
      <w:numFmt w:val="bullet"/>
      <w:lvlText w:val=""/>
      <w:lvlJc w:val="left"/>
      <w:pPr>
        <w:tabs>
          <w:tab w:val="num" w:pos="5081"/>
        </w:tabs>
        <w:ind w:left="5081" w:hanging="360"/>
      </w:pPr>
      <w:rPr>
        <w:rFonts w:ascii="Symbol" w:hAnsi="Symbol" w:hint="default"/>
      </w:rPr>
    </w:lvl>
    <w:lvl w:ilvl="7" w:tplc="1FFC77DE" w:tentative="1">
      <w:start w:val="1"/>
      <w:numFmt w:val="bullet"/>
      <w:lvlText w:val="o"/>
      <w:lvlJc w:val="left"/>
      <w:pPr>
        <w:tabs>
          <w:tab w:val="num" w:pos="5801"/>
        </w:tabs>
        <w:ind w:left="5801" w:hanging="360"/>
      </w:pPr>
      <w:rPr>
        <w:rFonts w:ascii="Courier New" w:hAnsi="Courier New" w:hint="default"/>
      </w:rPr>
    </w:lvl>
    <w:lvl w:ilvl="8" w:tplc="DD5468CA" w:tentative="1">
      <w:start w:val="1"/>
      <w:numFmt w:val="bullet"/>
      <w:lvlText w:val=""/>
      <w:lvlJc w:val="left"/>
      <w:pPr>
        <w:tabs>
          <w:tab w:val="num" w:pos="6521"/>
        </w:tabs>
        <w:ind w:left="6521" w:hanging="360"/>
      </w:pPr>
      <w:rPr>
        <w:rFonts w:ascii="Wingdings" w:hAnsi="Wingdings" w:hint="default"/>
      </w:rPr>
    </w:lvl>
  </w:abstractNum>
  <w:abstractNum w:abstractNumId="26">
    <w:nsid w:val="3F0E3982"/>
    <w:multiLevelType w:val="hybridMultilevel"/>
    <w:tmpl w:val="CBAE85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982E67"/>
    <w:multiLevelType w:val="hybridMultilevel"/>
    <w:tmpl w:val="D9B0F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450BDC"/>
    <w:multiLevelType w:val="hybridMultilevel"/>
    <w:tmpl w:val="EEBEAFB0"/>
    <w:lvl w:ilvl="0" w:tplc="676AD69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C22C98"/>
    <w:multiLevelType w:val="hybridMultilevel"/>
    <w:tmpl w:val="D55A5F8A"/>
    <w:lvl w:ilvl="0" w:tplc="645EF4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B1063D"/>
    <w:multiLevelType w:val="hybridMultilevel"/>
    <w:tmpl w:val="A3BC0142"/>
    <w:lvl w:ilvl="0" w:tplc="04190001">
      <w:start w:val="1"/>
      <w:numFmt w:val="bullet"/>
      <w:lvlText w:val=""/>
      <w:lvlJc w:val="left"/>
      <w:pPr>
        <w:ind w:left="720" w:hanging="360"/>
      </w:pPr>
      <w:rPr>
        <w:rFonts w:ascii="Symbol" w:hAnsi="Symbol" w:hint="default"/>
      </w:rPr>
    </w:lvl>
    <w:lvl w:ilvl="1" w:tplc="9D9E5EBC">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6560EE"/>
    <w:multiLevelType w:val="singleLevel"/>
    <w:tmpl w:val="1668F6C4"/>
    <w:lvl w:ilvl="0">
      <w:start w:val="1"/>
      <w:numFmt w:val="bullet"/>
      <w:lvlText w:val=""/>
      <w:lvlJc w:val="left"/>
      <w:pPr>
        <w:tabs>
          <w:tab w:val="num" w:pos="360"/>
        </w:tabs>
        <w:ind w:left="360" w:hanging="360"/>
      </w:pPr>
      <w:rPr>
        <w:rFonts w:ascii="Symbol" w:hAnsi="Symbol" w:hint="default"/>
      </w:rPr>
    </w:lvl>
  </w:abstractNum>
  <w:abstractNum w:abstractNumId="32">
    <w:nsid w:val="69BC2001"/>
    <w:multiLevelType w:val="singleLevel"/>
    <w:tmpl w:val="A3D25F18"/>
    <w:lvl w:ilvl="0">
      <w:start w:val="1"/>
      <w:numFmt w:val="bullet"/>
      <w:pStyle w:val="Reportbullets"/>
      <w:lvlText w:val=""/>
      <w:lvlJc w:val="left"/>
      <w:pPr>
        <w:tabs>
          <w:tab w:val="num" w:pos="360"/>
        </w:tabs>
        <w:ind w:left="360" w:hanging="360"/>
      </w:pPr>
      <w:rPr>
        <w:rFonts w:ascii="Symbol" w:hAnsi="Symbol" w:hint="default"/>
      </w:rPr>
    </w:lvl>
  </w:abstractNum>
  <w:abstractNum w:abstractNumId="33">
    <w:nsid w:val="6EAB5333"/>
    <w:multiLevelType w:val="multilevel"/>
    <w:tmpl w:val="7C6E09E6"/>
    <w:lvl w:ilvl="0">
      <w:start w:val="1"/>
      <w:numFmt w:val="decimal"/>
      <w:pStyle w:val="1"/>
      <w:lvlText w:val="%1"/>
      <w:lvlJc w:val="left"/>
      <w:pPr>
        <w:tabs>
          <w:tab w:val="num" w:pos="567"/>
        </w:tabs>
        <w:ind w:left="567" w:hanging="567"/>
      </w:pPr>
      <w:rPr>
        <w:rFonts w:ascii="Arial" w:hAnsi="Arial" w:cs="Arial" w:hint="default"/>
        <w:b/>
        <w:i w:val="0"/>
        <w:caps w:val="0"/>
        <w:strike w:val="0"/>
        <w:dstrike w:val="0"/>
        <w:vanish w:val="0"/>
        <w:color w:val="auto"/>
        <w:sz w:val="20"/>
        <w:vertAlign w:val="baseline"/>
        <w:lang w:val="en-US"/>
      </w:rPr>
    </w:lvl>
    <w:lvl w:ilvl="1">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2">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3">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4">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5">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6">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7">
      <w:start w:val="27"/>
      <w:numFmt w:val="decimal"/>
      <w:lvlText w:val="%1."/>
      <w:lvlJc w:val="left"/>
      <w:rPr>
        <w:rFonts w:ascii="Arial" w:hAnsi="Arial" w:cs="Arial"/>
        <w:b/>
        <w:bCs/>
        <w:i w:val="0"/>
        <w:iCs w:val="0"/>
        <w:smallCaps w:val="0"/>
        <w:strike w:val="0"/>
        <w:color w:val="000000"/>
        <w:spacing w:val="0"/>
        <w:w w:val="100"/>
        <w:position w:val="0"/>
        <w:sz w:val="18"/>
        <w:szCs w:val="18"/>
        <w:u w:val="none"/>
      </w:rPr>
    </w:lvl>
    <w:lvl w:ilvl="8">
      <w:start w:val="27"/>
      <w:numFmt w:val="decimal"/>
      <w:lvlText w:val="%1."/>
      <w:lvlJc w:val="left"/>
      <w:rPr>
        <w:rFonts w:ascii="Arial" w:hAnsi="Arial" w:cs="Arial"/>
        <w:b/>
        <w:bCs/>
        <w:i w:val="0"/>
        <w:iCs w:val="0"/>
        <w:smallCaps w:val="0"/>
        <w:strike w:val="0"/>
        <w:color w:val="000000"/>
        <w:spacing w:val="0"/>
        <w:w w:val="100"/>
        <w:position w:val="0"/>
        <w:sz w:val="18"/>
        <w:szCs w:val="18"/>
        <w:u w:val="none"/>
      </w:rPr>
    </w:lvl>
  </w:abstractNum>
  <w:abstractNum w:abstractNumId="34">
    <w:nsid w:val="747C08D1"/>
    <w:multiLevelType w:val="hybridMultilevel"/>
    <w:tmpl w:val="7DD02C4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5">
    <w:nsid w:val="754C37C8"/>
    <w:multiLevelType w:val="singleLevel"/>
    <w:tmpl w:val="545A76BA"/>
    <w:lvl w:ilvl="0">
      <w:start w:val="1"/>
      <w:numFmt w:val="decimal"/>
      <w:pStyle w:val="ABCNotes"/>
      <w:lvlText w:val="%1"/>
      <w:lvlJc w:val="left"/>
      <w:pPr>
        <w:tabs>
          <w:tab w:val="num" w:pos="360"/>
        </w:tabs>
        <w:ind w:left="360" w:hanging="360"/>
      </w:pPr>
      <w:rPr>
        <w:rFonts w:cs="Times New Roman"/>
      </w:rPr>
    </w:lvl>
  </w:abstractNum>
  <w:num w:numId="1">
    <w:abstractNumId w:val="35"/>
  </w:num>
  <w:num w:numId="2">
    <w:abstractNumId w:val="18"/>
  </w:num>
  <w:num w:numId="3">
    <w:abstractNumId w:val="33"/>
  </w:num>
  <w:num w:numId="4">
    <w:abstractNumId w:val="32"/>
  </w:num>
  <w:num w:numId="5">
    <w:abstractNumId w:val="13"/>
  </w:num>
  <w:num w:numId="6">
    <w:abstractNumId w:val="25"/>
  </w:num>
  <w:num w:numId="7">
    <w:abstractNumId w:val="15"/>
  </w:num>
  <w:num w:numId="8">
    <w:abstractNumId w:val="22"/>
  </w:num>
  <w:num w:numId="9">
    <w:abstractNumId w:val="33"/>
  </w:num>
  <w:num w:numId="10">
    <w:abstractNumId w:val="14"/>
  </w:num>
  <w:num w:numId="11">
    <w:abstractNumId w:val="26"/>
  </w:num>
  <w:num w:numId="12">
    <w:abstractNumId w:val="11"/>
  </w:num>
  <w:num w:numId="13">
    <w:abstractNumId w:val="23"/>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6"/>
  </w:num>
  <w:num w:numId="17">
    <w:abstractNumId w:val="29"/>
  </w:num>
  <w:num w:numId="18">
    <w:abstractNumId w:val="21"/>
  </w:num>
  <w:num w:numId="19">
    <w:abstractNumId w:val="28"/>
  </w:num>
  <w:num w:numId="20">
    <w:abstractNumId w:val="10"/>
  </w:num>
  <w:num w:numId="21">
    <w:abstractNumId w:val="19"/>
  </w:num>
  <w:num w:numId="22">
    <w:abstractNumId w:val="2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7"/>
  </w:num>
  <w:num w:numId="26">
    <w:abstractNumId w:val="6"/>
  </w:num>
  <w:num w:numId="27">
    <w:abstractNumId w:val="12"/>
  </w:num>
  <w:num w:numId="28">
    <w:abstractNumId w:val="1"/>
  </w:num>
  <w:num w:numId="29">
    <w:abstractNumId w:val="8"/>
  </w:num>
  <w:num w:numId="30">
    <w:abstractNumId w:val="9"/>
  </w:num>
  <w:num w:numId="31">
    <w:abstractNumId w:val="24"/>
  </w:num>
  <w:num w:numId="32">
    <w:abstractNumId w:val="33"/>
  </w:num>
  <w:num w:numId="33">
    <w:abstractNumId w:val="2"/>
  </w:num>
  <w:num w:numId="34">
    <w:abstractNumId w:val="3"/>
  </w:num>
  <w:num w:numId="35">
    <w:abstractNumId w:val="4"/>
  </w:num>
  <w:num w:numId="36">
    <w:abstractNumId w:val="5"/>
  </w:num>
  <w:num w:numId="37">
    <w:abstractNumId w:val="7"/>
  </w:num>
  <w:num w:numId="38">
    <w:abstractNumId w:val="31"/>
  </w:num>
  <w:num w:numId="39">
    <w:abstractNumId w:val="3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6"/>
  <w:displayBackgroundShape/>
  <w:embedSystemFonts/>
  <w:stylePaneFormatFilter w:val="3F01"/>
  <w:defaultTabStop w:val="720"/>
  <w:drawingGridHorizontalSpacing w:val="90"/>
  <w:displayHorizontalDrawingGridEvery w:val="0"/>
  <w:displayVerticalDrawingGridEvery w:val="0"/>
  <w:noPunctuationKerning/>
  <w:characterSpacingControl w:val="doNotCompress"/>
  <w:hdrShapeDefaults>
    <o:shapedefaults v:ext="edit" spidmax="34818"/>
    <o:shapelayout v:ext="edit">
      <o:idmap v:ext="edit" data="8"/>
    </o:shapelayout>
  </w:hdrShapeDefaults>
  <w:footnotePr>
    <w:footnote w:id="0"/>
    <w:footnote w:id="1"/>
  </w:footnotePr>
  <w:endnotePr>
    <w:endnote w:id="0"/>
    <w:endnote w:id="1"/>
  </w:endnotePr>
  <w:compat>
    <w:doNotExpandShiftReturn/>
  </w:compat>
  <w:rsids>
    <w:rsidRoot w:val="003F5746"/>
    <w:rsid w:val="000005C0"/>
    <w:rsid w:val="0000082A"/>
    <w:rsid w:val="000009B3"/>
    <w:rsid w:val="00000B89"/>
    <w:rsid w:val="00000C3F"/>
    <w:rsid w:val="00001263"/>
    <w:rsid w:val="00001766"/>
    <w:rsid w:val="00001E41"/>
    <w:rsid w:val="00002698"/>
    <w:rsid w:val="00002889"/>
    <w:rsid w:val="0000298B"/>
    <w:rsid w:val="00002ABE"/>
    <w:rsid w:val="00002B9C"/>
    <w:rsid w:val="00002E43"/>
    <w:rsid w:val="00002E69"/>
    <w:rsid w:val="00002ECE"/>
    <w:rsid w:val="0000330B"/>
    <w:rsid w:val="0000355F"/>
    <w:rsid w:val="00003567"/>
    <w:rsid w:val="0000362D"/>
    <w:rsid w:val="0000384E"/>
    <w:rsid w:val="00003A85"/>
    <w:rsid w:val="00003B96"/>
    <w:rsid w:val="00003EC0"/>
    <w:rsid w:val="000040E0"/>
    <w:rsid w:val="000041FC"/>
    <w:rsid w:val="00004964"/>
    <w:rsid w:val="00004C5D"/>
    <w:rsid w:val="00004C6E"/>
    <w:rsid w:val="00004EDF"/>
    <w:rsid w:val="00005440"/>
    <w:rsid w:val="0000559E"/>
    <w:rsid w:val="00005B8C"/>
    <w:rsid w:val="00005C29"/>
    <w:rsid w:val="00005D8C"/>
    <w:rsid w:val="00005FEF"/>
    <w:rsid w:val="00006089"/>
    <w:rsid w:val="0000608E"/>
    <w:rsid w:val="0000622F"/>
    <w:rsid w:val="00006392"/>
    <w:rsid w:val="00006701"/>
    <w:rsid w:val="00006798"/>
    <w:rsid w:val="000069DD"/>
    <w:rsid w:val="000069E7"/>
    <w:rsid w:val="00006BFD"/>
    <w:rsid w:val="00006DD9"/>
    <w:rsid w:val="000070EE"/>
    <w:rsid w:val="00007440"/>
    <w:rsid w:val="0000761B"/>
    <w:rsid w:val="00007C20"/>
    <w:rsid w:val="00007E26"/>
    <w:rsid w:val="0001007C"/>
    <w:rsid w:val="000101FD"/>
    <w:rsid w:val="00010281"/>
    <w:rsid w:val="000102F1"/>
    <w:rsid w:val="000103F2"/>
    <w:rsid w:val="000104DB"/>
    <w:rsid w:val="00010999"/>
    <w:rsid w:val="000109D5"/>
    <w:rsid w:val="00010A9C"/>
    <w:rsid w:val="00010AEC"/>
    <w:rsid w:val="00010D85"/>
    <w:rsid w:val="00010F10"/>
    <w:rsid w:val="00010FC0"/>
    <w:rsid w:val="00010FCE"/>
    <w:rsid w:val="0001102F"/>
    <w:rsid w:val="000114EB"/>
    <w:rsid w:val="0001150D"/>
    <w:rsid w:val="00011669"/>
    <w:rsid w:val="000116DA"/>
    <w:rsid w:val="000120F3"/>
    <w:rsid w:val="000123F5"/>
    <w:rsid w:val="00012C4E"/>
    <w:rsid w:val="000130B0"/>
    <w:rsid w:val="00013109"/>
    <w:rsid w:val="00013328"/>
    <w:rsid w:val="00013370"/>
    <w:rsid w:val="000133BA"/>
    <w:rsid w:val="000137FE"/>
    <w:rsid w:val="00013A26"/>
    <w:rsid w:val="00013AE8"/>
    <w:rsid w:val="00013DB4"/>
    <w:rsid w:val="000142C3"/>
    <w:rsid w:val="00014A54"/>
    <w:rsid w:val="00014A8B"/>
    <w:rsid w:val="00014E4A"/>
    <w:rsid w:val="00015184"/>
    <w:rsid w:val="00015256"/>
    <w:rsid w:val="00015274"/>
    <w:rsid w:val="000153EB"/>
    <w:rsid w:val="00015599"/>
    <w:rsid w:val="00015653"/>
    <w:rsid w:val="000156A8"/>
    <w:rsid w:val="000158A1"/>
    <w:rsid w:val="00015A32"/>
    <w:rsid w:val="00015D46"/>
    <w:rsid w:val="00016561"/>
    <w:rsid w:val="00016830"/>
    <w:rsid w:val="0001684B"/>
    <w:rsid w:val="00016998"/>
    <w:rsid w:val="00016BCB"/>
    <w:rsid w:val="00016D24"/>
    <w:rsid w:val="00016D5A"/>
    <w:rsid w:val="00016D9B"/>
    <w:rsid w:val="0001701F"/>
    <w:rsid w:val="000172A8"/>
    <w:rsid w:val="000172B3"/>
    <w:rsid w:val="00017741"/>
    <w:rsid w:val="00017C9B"/>
    <w:rsid w:val="00017D0E"/>
    <w:rsid w:val="00017D38"/>
    <w:rsid w:val="0002007D"/>
    <w:rsid w:val="00020951"/>
    <w:rsid w:val="00020959"/>
    <w:rsid w:val="000209A1"/>
    <w:rsid w:val="000209C1"/>
    <w:rsid w:val="000209E7"/>
    <w:rsid w:val="000214D6"/>
    <w:rsid w:val="000214F5"/>
    <w:rsid w:val="0002178A"/>
    <w:rsid w:val="00021D7F"/>
    <w:rsid w:val="00021D88"/>
    <w:rsid w:val="00021F60"/>
    <w:rsid w:val="00021FDA"/>
    <w:rsid w:val="00022184"/>
    <w:rsid w:val="000221B4"/>
    <w:rsid w:val="0002236A"/>
    <w:rsid w:val="000224F5"/>
    <w:rsid w:val="000225FA"/>
    <w:rsid w:val="000226B6"/>
    <w:rsid w:val="00022B7E"/>
    <w:rsid w:val="000238D0"/>
    <w:rsid w:val="00023B67"/>
    <w:rsid w:val="00023D01"/>
    <w:rsid w:val="00023FBD"/>
    <w:rsid w:val="000240EC"/>
    <w:rsid w:val="00024102"/>
    <w:rsid w:val="00024123"/>
    <w:rsid w:val="00024378"/>
    <w:rsid w:val="00025985"/>
    <w:rsid w:val="00025B50"/>
    <w:rsid w:val="00025B55"/>
    <w:rsid w:val="00025BFF"/>
    <w:rsid w:val="00025C77"/>
    <w:rsid w:val="00025DC8"/>
    <w:rsid w:val="000264D2"/>
    <w:rsid w:val="00026ADE"/>
    <w:rsid w:val="00026B7E"/>
    <w:rsid w:val="00026D1A"/>
    <w:rsid w:val="00026DA9"/>
    <w:rsid w:val="00026FDB"/>
    <w:rsid w:val="00026FF2"/>
    <w:rsid w:val="000272B5"/>
    <w:rsid w:val="00027315"/>
    <w:rsid w:val="000274BC"/>
    <w:rsid w:val="000275E8"/>
    <w:rsid w:val="000275E9"/>
    <w:rsid w:val="00027772"/>
    <w:rsid w:val="00027BBB"/>
    <w:rsid w:val="00027E6D"/>
    <w:rsid w:val="00027FD4"/>
    <w:rsid w:val="0003006A"/>
    <w:rsid w:val="00030145"/>
    <w:rsid w:val="00030153"/>
    <w:rsid w:val="000304C0"/>
    <w:rsid w:val="0003050C"/>
    <w:rsid w:val="00030927"/>
    <w:rsid w:val="00030934"/>
    <w:rsid w:val="00030954"/>
    <w:rsid w:val="00030AFD"/>
    <w:rsid w:val="00030EF4"/>
    <w:rsid w:val="00030F83"/>
    <w:rsid w:val="00030FEB"/>
    <w:rsid w:val="0003136B"/>
    <w:rsid w:val="0003139A"/>
    <w:rsid w:val="00031545"/>
    <w:rsid w:val="00031BA3"/>
    <w:rsid w:val="00031CD2"/>
    <w:rsid w:val="00031F13"/>
    <w:rsid w:val="00031F3E"/>
    <w:rsid w:val="00031FC1"/>
    <w:rsid w:val="0003210F"/>
    <w:rsid w:val="00032237"/>
    <w:rsid w:val="000323C0"/>
    <w:rsid w:val="0003240F"/>
    <w:rsid w:val="0003255D"/>
    <w:rsid w:val="00032B66"/>
    <w:rsid w:val="00032C55"/>
    <w:rsid w:val="00032D09"/>
    <w:rsid w:val="00032FAC"/>
    <w:rsid w:val="000331F8"/>
    <w:rsid w:val="00033211"/>
    <w:rsid w:val="000334AA"/>
    <w:rsid w:val="000338E8"/>
    <w:rsid w:val="00033CDF"/>
    <w:rsid w:val="00034227"/>
    <w:rsid w:val="00034407"/>
    <w:rsid w:val="00034AAA"/>
    <w:rsid w:val="00034BA4"/>
    <w:rsid w:val="00034DEB"/>
    <w:rsid w:val="00034FC7"/>
    <w:rsid w:val="00035039"/>
    <w:rsid w:val="00035173"/>
    <w:rsid w:val="00035621"/>
    <w:rsid w:val="00035AA4"/>
    <w:rsid w:val="00035F25"/>
    <w:rsid w:val="00035F8F"/>
    <w:rsid w:val="000362A8"/>
    <w:rsid w:val="00036342"/>
    <w:rsid w:val="00036543"/>
    <w:rsid w:val="00036548"/>
    <w:rsid w:val="0003656C"/>
    <w:rsid w:val="000366D0"/>
    <w:rsid w:val="000368DB"/>
    <w:rsid w:val="00036AB0"/>
    <w:rsid w:val="00036BCE"/>
    <w:rsid w:val="00037015"/>
    <w:rsid w:val="0003769B"/>
    <w:rsid w:val="00037753"/>
    <w:rsid w:val="00037874"/>
    <w:rsid w:val="00037B53"/>
    <w:rsid w:val="00037EB7"/>
    <w:rsid w:val="00037F2B"/>
    <w:rsid w:val="000402CA"/>
    <w:rsid w:val="000404D3"/>
    <w:rsid w:val="00040569"/>
    <w:rsid w:val="00040A1B"/>
    <w:rsid w:val="00040B53"/>
    <w:rsid w:val="0004138D"/>
    <w:rsid w:val="000415EE"/>
    <w:rsid w:val="0004168A"/>
    <w:rsid w:val="00041873"/>
    <w:rsid w:val="00041983"/>
    <w:rsid w:val="00041A55"/>
    <w:rsid w:val="00041A9C"/>
    <w:rsid w:val="00041C04"/>
    <w:rsid w:val="0004202B"/>
    <w:rsid w:val="0004246D"/>
    <w:rsid w:val="000425A9"/>
    <w:rsid w:val="000425D7"/>
    <w:rsid w:val="00042841"/>
    <w:rsid w:val="00042A33"/>
    <w:rsid w:val="00042D45"/>
    <w:rsid w:val="000430E3"/>
    <w:rsid w:val="0004315C"/>
    <w:rsid w:val="0004349D"/>
    <w:rsid w:val="000439AD"/>
    <w:rsid w:val="00043BC3"/>
    <w:rsid w:val="00043C5D"/>
    <w:rsid w:val="00043DE1"/>
    <w:rsid w:val="000441C9"/>
    <w:rsid w:val="00044289"/>
    <w:rsid w:val="00044306"/>
    <w:rsid w:val="000448AF"/>
    <w:rsid w:val="00044F68"/>
    <w:rsid w:val="00044F85"/>
    <w:rsid w:val="000453B0"/>
    <w:rsid w:val="00045459"/>
    <w:rsid w:val="00045677"/>
    <w:rsid w:val="0004574A"/>
    <w:rsid w:val="00045BF5"/>
    <w:rsid w:val="00045C18"/>
    <w:rsid w:val="00045FB9"/>
    <w:rsid w:val="000461EA"/>
    <w:rsid w:val="00046705"/>
    <w:rsid w:val="00046794"/>
    <w:rsid w:val="00046C6F"/>
    <w:rsid w:val="00046D1B"/>
    <w:rsid w:val="00047000"/>
    <w:rsid w:val="00047526"/>
    <w:rsid w:val="00047582"/>
    <w:rsid w:val="00047626"/>
    <w:rsid w:val="000476CE"/>
    <w:rsid w:val="00047735"/>
    <w:rsid w:val="00047B5C"/>
    <w:rsid w:val="00047C3F"/>
    <w:rsid w:val="000500C1"/>
    <w:rsid w:val="00050259"/>
    <w:rsid w:val="00050551"/>
    <w:rsid w:val="000506A0"/>
    <w:rsid w:val="000506A4"/>
    <w:rsid w:val="000507D1"/>
    <w:rsid w:val="00050947"/>
    <w:rsid w:val="00050C50"/>
    <w:rsid w:val="00050D34"/>
    <w:rsid w:val="00050E16"/>
    <w:rsid w:val="000512F7"/>
    <w:rsid w:val="0005135C"/>
    <w:rsid w:val="00051495"/>
    <w:rsid w:val="00051659"/>
    <w:rsid w:val="0005168E"/>
    <w:rsid w:val="0005184F"/>
    <w:rsid w:val="00051BF4"/>
    <w:rsid w:val="00051C3C"/>
    <w:rsid w:val="00052267"/>
    <w:rsid w:val="00052887"/>
    <w:rsid w:val="00052A1E"/>
    <w:rsid w:val="00052AC2"/>
    <w:rsid w:val="00052AD8"/>
    <w:rsid w:val="00052B79"/>
    <w:rsid w:val="00052BAC"/>
    <w:rsid w:val="00052C5B"/>
    <w:rsid w:val="00052CF5"/>
    <w:rsid w:val="00052DD8"/>
    <w:rsid w:val="00052F08"/>
    <w:rsid w:val="00052FD4"/>
    <w:rsid w:val="00053098"/>
    <w:rsid w:val="000532BC"/>
    <w:rsid w:val="00053905"/>
    <w:rsid w:val="00053D66"/>
    <w:rsid w:val="00053D75"/>
    <w:rsid w:val="0005433F"/>
    <w:rsid w:val="000544EF"/>
    <w:rsid w:val="0005477E"/>
    <w:rsid w:val="0005484F"/>
    <w:rsid w:val="000549E4"/>
    <w:rsid w:val="00054D7C"/>
    <w:rsid w:val="00055267"/>
    <w:rsid w:val="00055C7D"/>
    <w:rsid w:val="00055D15"/>
    <w:rsid w:val="00055FDF"/>
    <w:rsid w:val="000562E4"/>
    <w:rsid w:val="00056398"/>
    <w:rsid w:val="00056BFF"/>
    <w:rsid w:val="00056D0B"/>
    <w:rsid w:val="00056D57"/>
    <w:rsid w:val="00056D6C"/>
    <w:rsid w:val="00056F61"/>
    <w:rsid w:val="00057651"/>
    <w:rsid w:val="00057C79"/>
    <w:rsid w:val="00057D4D"/>
    <w:rsid w:val="00057EB1"/>
    <w:rsid w:val="00057FAF"/>
    <w:rsid w:val="0006009D"/>
    <w:rsid w:val="000602B3"/>
    <w:rsid w:val="000604B4"/>
    <w:rsid w:val="000605A2"/>
    <w:rsid w:val="00060A19"/>
    <w:rsid w:val="00060AE1"/>
    <w:rsid w:val="00060BB5"/>
    <w:rsid w:val="00060D4D"/>
    <w:rsid w:val="00060D99"/>
    <w:rsid w:val="00060E6E"/>
    <w:rsid w:val="00060E9B"/>
    <w:rsid w:val="00061200"/>
    <w:rsid w:val="00061305"/>
    <w:rsid w:val="0006162B"/>
    <w:rsid w:val="00061CD3"/>
    <w:rsid w:val="000620DC"/>
    <w:rsid w:val="0006224C"/>
    <w:rsid w:val="000622C7"/>
    <w:rsid w:val="00062670"/>
    <w:rsid w:val="00062AE1"/>
    <w:rsid w:val="00062AF5"/>
    <w:rsid w:val="00062E4F"/>
    <w:rsid w:val="00063032"/>
    <w:rsid w:val="000638B8"/>
    <w:rsid w:val="000638FE"/>
    <w:rsid w:val="000639FC"/>
    <w:rsid w:val="00063CA3"/>
    <w:rsid w:val="00063D02"/>
    <w:rsid w:val="00063D72"/>
    <w:rsid w:val="00063FB4"/>
    <w:rsid w:val="0006418A"/>
    <w:rsid w:val="000641E3"/>
    <w:rsid w:val="000642D0"/>
    <w:rsid w:val="0006442C"/>
    <w:rsid w:val="00064679"/>
    <w:rsid w:val="000649C1"/>
    <w:rsid w:val="00064EB5"/>
    <w:rsid w:val="00065092"/>
    <w:rsid w:val="0006512E"/>
    <w:rsid w:val="0006521B"/>
    <w:rsid w:val="0006561E"/>
    <w:rsid w:val="00065888"/>
    <w:rsid w:val="00065A56"/>
    <w:rsid w:val="00065B85"/>
    <w:rsid w:val="00066016"/>
    <w:rsid w:val="000660AD"/>
    <w:rsid w:val="000664B5"/>
    <w:rsid w:val="00066C10"/>
    <w:rsid w:val="00066E2D"/>
    <w:rsid w:val="00067029"/>
    <w:rsid w:val="00067088"/>
    <w:rsid w:val="00067367"/>
    <w:rsid w:val="0006756D"/>
    <w:rsid w:val="000679EC"/>
    <w:rsid w:val="00067B96"/>
    <w:rsid w:val="0007003B"/>
    <w:rsid w:val="000702AF"/>
    <w:rsid w:val="000703C8"/>
    <w:rsid w:val="00070632"/>
    <w:rsid w:val="00070715"/>
    <w:rsid w:val="00070778"/>
    <w:rsid w:val="00070A07"/>
    <w:rsid w:val="00070ABE"/>
    <w:rsid w:val="00070CF7"/>
    <w:rsid w:val="00070E84"/>
    <w:rsid w:val="00070F53"/>
    <w:rsid w:val="00070FB0"/>
    <w:rsid w:val="00070FCA"/>
    <w:rsid w:val="00070FFF"/>
    <w:rsid w:val="00071159"/>
    <w:rsid w:val="000713E6"/>
    <w:rsid w:val="0007142B"/>
    <w:rsid w:val="00071816"/>
    <w:rsid w:val="0007198F"/>
    <w:rsid w:val="00071BC4"/>
    <w:rsid w:val="00072274"/>
    <w:rsid w:val="000724C0"/>
    <w:rsid w:val="00072797"/>
    <w:rsid w:val="00072979"/>
    <w:rsid w:val="00072A29"/>
    <w:rsid w:val="00072E2F"/>
    <w:rsid w:val="00072F23"/>
    <w:rsid w:val="00073157"/>
    <w:rsid w:val="00073178"/>
    <w:rsid w:val="00073315"/>
    <w:rsid w:val="000733F5"/>
    <w:rsid w:val="00073454"/>
    <w:rsid w:val="0007352D"/>
    <w:rsid w:val="00073BEC"/>
    <w:rsid w:val="00073CD1"/>
    <w:rsid w:val="00073DB2"/>
    <w:rsid w:val="00073EBA"/>
    <w:rsid w:val="0007402B"/>
    <w:rsid w:val="0007412B"/>
    <w:rsid w:val="00074E26"/>
    <w:rsid w:val="00074E37"/>
    <w:rsid w:val="00075042"/>
    <w:rsid w:val="00075067"/>
    <w:rsid w:val="000750A7"/>
    <w:rsid w:val="00075410"/>
    <w:rsid w:val="00075523"/>
    <w:rsid w:val="00075569"/>
    <w:rsid w:val="000757EB"/>
    <w:rsid w:val="00075BC5"/>
    <w:rsid w:val="00075CDD"/>
    <w:rsid w:val="00075EA1"/>
    <w:rsid w:val="00075FEC"/>
    <w:rsid w:val="000763B8"/>
    <w:rsid w:val="00076464"/>
    <w:rsid w:val="000765FA"/>
    <w:rsid w:val="0007661F"/>
    <w:rsid w:val="00076A3B"/>
    <w:rsid w:val="00076CC3"/>
    <w:rsid w:val="00076EF2"/>
    <w:rsid w:val="00077096"/>
    <w:rsid w:val="00077108"/>
    <w:rsid w:val="00077341"/>
    <w:rsid w:val="000774DA"/>
    <w:rsid w:val="0007764A"/>
    <w:rsid w:val="000776D9"/>
    <w:rsid w:val="000778DB"/>
    <w:rsid w:val="00077B9C"/>
    <w:rsid w:val="00077C7C"/>
    <w:rsid w:val="00080046"/>
    <w:rsid w:val="00080173"/>
    <w:rsid w:val="00080246"/>
    <w:rsid w:val="000802AA"/>
    <w:rsid w:val="000802F1"/>
    <w:rsid w:val="00080481"/>
    <w:rsid w:val="00080561"/>
    <w:rsid w:val="00080634"/>
    <w:rsid w:val="00080642"/>
    <w:rsid w:val="000808E8"/>
    <w:rsid w:val="0008098E"/>
    <w:rsid w:val="00080D04"/>
    <w:rsid w:val="00080D58"/>
    <w:rsid w:val="00080E9D"/>
    <w:rsid w:val="0008114D"/>
    <w:rsid w:val="00081440"/>
    <w:rsid w:val="00081632"/>
    <w:rsid w:val="00081708"/>
    <w:rsid w:val="0008196C"/>
    <w:rsid w:val="00081C65"/>
    <w:rsid w:val="00081CCD"/>
    <w:rsid w:val="00081F38"/>
    <w:rsid w:val="0008236E"/>
    <w:rsid w:val="000823A9"/>
    <w:rsid w:val="00082437"/>
    <w:rsid w:val="00082A3B"/>
    <w:rsid w:val="0008320B"/>
    <w:rsid w:val="0008349B"/>
    <w:rsid w:val="00083533"/>
    <w:rsid w:val="000835A5"/>
    <w:rsid w:val="000837A8"/>
    <w:rsid w:val="00083A9C"/>
    <w:rsid w:val="00083CEB"/>
    <w:rsid w:val="00083DEC"/>
    <w:rsid w:val="00083F01"/>
    <w:rsid w:val="0008412E"/>
    <w:rsid w:val="00084900"/>
    <w:rsid w:val="00084CF3"/>
    <w:rsid w:val="00084D18"/>
    <w:rsid w:val="00084D7B"/>
    <w:rsid w:val="00084DDD"/>
    <w:rsid w:val="00084E04"/>
    <w:rsid w:val="00084E3A"/>
    <w:rsid w:val="00084E42"/>
    <w:rsid w:val="00085006"/>
    <w:rsid w:val="00085129"/>
    <w:rsid w:val="00085325"/>
    <w:rsid w:val="00085C56"/>
    <w:rsid w:val="00085D2C"/>
    <w:rsid w:val="0008610A"/>
    <w:rsid w:val="00086536"/>
    <w:rsid w:val="000865FB"/>
    <w:rsid w:val="00086969"/>
    <w:rsid w:val="00086A44"/>
    <w:rsid w:val="00087020"/>
    <w:rsid w:val="00087030"/>
    <w:rsid w:val="00087121"/>
    <w:rsid w:val="00087138"/>
    <w:rsid w:val="000871D5"/>
    <w:rsid w:val="000872DD"/>
    <w:rsid w:val="00087B61"/>
    <w:rsid w:val="00087D03"/>
    <w:rsid w:val="00090054"/>
    <w:rsid w:val="00090095"/>
    <w:rsid w:val="000900DD"/>
    <w:rsid w:val="00090457"/>
    <w:rsid w:val="00090481"/>
    <w:rsid w:val="000907E6"/>
    <w:rsid w:val="00090904"/>
    <w:rsid w:val="00090B17"/>
    <w:rsid w:val="00090BAC"/>
    <w:rsid w:val="00090C24"/>
    <w:rsid w:val="00090D35"/>
    <w:rsid w:val="00091134"/>
    <w:rsid w:val="00091168"/>
    <w:rsid w:val="00091173"/>
    <w:rsid w:val="0009119B"/>
    <w:rsid w:val="00091243"/>
    <w:rsid w:val="000912E7"/>
    <w:rsid w:val="0009184F"/>
    <w:rsid w:val="00091904"/>
    <w:rsid w:val="00091B1F"/>
    <w:rsid w:val="00091C6D"/>
    <w:rsid w:val="00091D55"/>
    <w:rsid w:val="00092026"/>
    <w:rsid w:val="000920F0"/>
    <w:rsid w:val="000921FA"/>
    <w:rsid w:val="00092EB0"/>
    <w:rsid w:val="00092FBA"/>
    <w:rsid w:val="000930D0"/>
    <w:rsid w:val="00093574"/>
    <w:rsid w:val="00094013"/>
    <w:rsid w:val="000941CD"/>
    <w:rsid w:val="000943B7"/>
    <w:rsid w:val="00094943"/>
    <w:rsid w:val="00094EB3"/>
    <w:rsid w:val="00094F68"/>
    <w:rsid w:val="00094F70"/>
    <w:rsid w:val="0009503E"/>
    <w:rsid w:val="00095550"/>
    <w:rsid w:val="000955DC"/>
    <w:rsid w:val="0009571E"/>
    <w:rsid w:val="00095E54"/>
    <w:rsid w:val="00095E6A"/>
    <w:rsid w:val="0009607F"/>
    <w:rsid w:val="00096322"/>
    <w:rsid w:val="000966A8"/>
    <w:rsid w:val="000966E7"/>
    <w:rsid w:val="00096723"/>
    <w:rsid w:val="00096781"/>
    <w:rsid w:val="00096793"/>
    <w:rsid w:val="00096A85"/>
    <w:rsid w:val="00096B49"/>
    <w:rsid w:val="00096BE4"/>
    <w:rsid w:val="00096E1B"/>
    <w:rsid w:val="000971CD"/>
    <w:rsid w:val="0009724E"/>
    <w:rsid w:val="00097324"/>
    <w:rsid w:val="00097557"/>
    <w:rsid w:val="000975B5"/>
    <w:rsid w:val="00097747"/>
    <w:rsid w:val="000978C6"/>
    <w:rsid w:val="0009790A"/>
    <w:rsid w:val="00097929"/>
    <w:rsid w:val="00097940"/>
    <w:rsid w:val="00097C3F"/>
    <w:rsid w:val="000A0053"/>
    <w:rsid w:val="000A00F6"/>
    <w:rsid w:val="000A01A6"/>
    <w:rsid w:val="000A035F"/>
    <w:rsid w:val="000A0740"/>
    <w:rsid w:val="000A07DA"/>
    <w:rsid w:val="000A09D7"/>
    <w:rsid w:val="000A0BD2"/>
    <w:rsid w:val="000A0D3F"/>
    <w:rsid w:val="000A0F68"/>
    <w:rsid w:val="000A19CC"/>
    <w:rsid w:val="000A21A9"/>
    <w:rsid w:val="000A270F"/>
    <w:rsid w:val="000A274E"/>
    <w:rsid w:val="000A29DA"/>
    <w:rsid w:val="000A2BF8"/>
    <w:rsid w:val="000A300F"/>
    <w:rsid w:val="000A36C5"/>
    <w:rsid w:val="000A374F"/>
    <w:rsid w:val="000A3B86"/>
    <w:rsid w:val="000A3BBB"/>
    <w:rsid w:val="000A3CBB"/>
    <w:rsid w:val="000A3DC9"/>
    <w:rsid w:val="000A3E3E"/>
    <w:rsid w:val="000A3FD2"/>
    <w:rsid w:val="000A4246"/>
    <w:rsid w:val="000A437F"/>
    <w:rsid w:val="000A455B"/>
    <w:rsid w:val="000A4594"/>
    <w:rsid w:val="000A459D"/>
    <w:rsid w:val="000A4708"/>
    <w:rsid w:val="000A491D"/>
    <w:rsid w:val="000A4DE8"/>
    <w:rsid w:val="000A4E09"/>
    <w:rsid w:val="000A51E3"/>
    <w:rsid w:val="000A52BA"/>
    <w:rsid w:val="000A52CC"/>
    <w:rsid w:val="000A5931"/>
    <w:rsid w:val="000A5B36"/>
    <w:rsid w:val="000A5C8A"/>
    <w:rsid w:val="000A5CDC"/>
    <w:rsid w:val="000A5D7F"/>
    <w:rsid w:val="000A63CB"/>
    <w:rsid w:val="000A6851"/>
    <w:rsid w:val="000A724E"/>
    <w:rsid w:val="000A739D"/>
    <w:rsid w:val="000A73EE"/>
    <w:rsid w:val="000A742A"/>
    <w:rsid w:val="000A74ED"/>
    <w:rsid w:val="000A7623"/>
    <w:rsid w:val="000A765A"/>
    <w:rsid w:val="000A7791"/>
    <w:rsid w:val="000A7B30"/>
    <w:rsid w:val="000A7C97"/>
    <w:rsid w:val="000A7D7D"/>
    <w:rsid w:val="000A7E86"/>
    <w:rsid w:val="000A7FC6"/>
    <w:rsid w:val="000B0034"/>
    <w:rsid w:val="000B007C"/>
    <w:rsid w:val="000B0561"/>
    <w:rsid w:val="000B057E"/>
    <w:rsid w:val="000B0B35"/>
    <w:rsid w:val="000B11AC"/>
    <w:rsid w:val="000B1235"/>
    <w:rsid w:val="000B1253"/>
    <w:rsid w:val="000B13A8"/>
    <w:rsid w:val="000B13EF"/>
    <w:rsid w:val="000B1425"/>
    <w:rsid w:val="000B1953"/>
    <w:rsid w:val="000B19A8"/>
    <w:rsid w:val="000B1AB6"/>
    <w:rsid w:val="000B1F2D"/>
    <w:rsid w:val="000B1FFF"/>
    <w:rsid w:val="000B21D0"/>
    <w:rsid w:val="000B24CF"/>
    <w:rsid w:val="000B267F"/>
    <w:rsid w:val="000B2774"/>
    <w:rsid w:val="000B289A"/>
    <w:rsid w:val="000B2925"/>
    <w:rsid w:val="000B2C47"/>
    <w:rsid w:val="000B2EE3"/>
    <w:rsid w:val="000B362B"/>
    <w:rsid w:val="000B36E6"/>
    <w:rsid w:val="000B39E9"/>
    <w:rsid w:val="000B3AD6"/>
    <w:rsid w:val="000B3D3A"/>
    <w:rsid w:val="000B45EA"/>
    <w:rsid w:val="000B4714"/>
    <w:rsid w:val="000B48C6"/>
    <w:rsid w:val="000B494F"/>
    <w:rsid w:val="000B49E6"/>
    <w:rsid w:val="000B51C5"/>
    <w:rsid w:val="000B52CA"/>
    <w:rsid w:val="000B5389"/>
    <w:rsid w:val="000B5617"/>
    <w:rsid w:val="000B5728"/>
    <w:rsid w:val="000B5886"/>
    <w:rsid w:val="000B5BA6"/>
    <w:rsid w:val="000B5C42"/>
    <w:rsid w:val="000B5CF1"/>
    <w:rsid w:val="000B5EEE"/>
    <w:rsid w:val="000B6C23"/>
    <w:rsid w:val="000B6E6A"/>
    <w:rsid w:val="000B6F86"/>
    <w:rsid w:val="000B73A3"/>
    <w:rsid w:val="000B79E6"/>
    <w:rsid w:val="000B7B0A"/>
    <w:rsid w:val="000B7B31"/>
    <w:rsid w:val="000B7FCD"/>
    <w:rsid w:val="000C0099"/>
    <w:rsid w:val="000C00CA"/>
    <w:rsid w:val="000C020C"/>
    <w:rsid w:val="000C021C"/>
    <w:rsid w:val="000C0435"/>
    <w:rsid w:val="000C046A"/>
    <w:rsid w:val="000C0711"/>
    <w:rsid w:val="000C0808"/>
    <w:rsid w:val="000C0852"/>
    <w:rsid w:val="000C0CCC"/>
    <w:rsid w:val="000C0D06"/>
    <w:rsid w:val="000C0E2A"/>
    <w:rsid w:val="000C0FCF"/>
    <w:rsid w:val="000C10A4"/>
    <w:rsid w:val="000C11C9"/>
    <w:rsid w:val="000C1449"/>
    <w:rsid w:val="000C1725"/>
    <w:rsid w:val="000C1A77"/>
    <w:rsid w:val="000C1EEF"/>
    <w:rsid w:val="000C217D"/>
    <w:rsid w:val="000C22EB"/>
    <w:rsid w:val="000C2429"/>
    <w:rsid w:val="000C24F5"/>
    <w:rsid w:val="000C26D2"/>
    <w:rsid w:val="000C2759"/>
    <w:rsid w:val="000C27B9"/>
    <w:rsid w:val="000C2922"/>
    <w:rsid w:val="000C2957"/>
    <w:rsid w:val="000C2EB2"/>
    <w:rsid w:val="000C2EEF"/>
    <w:rsid w:val="000C3031"/>
    <w:rsid w:val="000C3034"/>
    <w:rsid w:val="000C32D7"/>
    <w:rsid w:val="000C3688"/>
    <w:rsid w:val="000C38E3"/>
    <w:rsid w:val="000C3994"/>
    <w:rsid w:val="000C3BBB"/>
    <w:rsid w:val="000C3D86"/>
    <w:rsid w:val="000C4063"/>
    <w:rsid w:val="000C4209"/>
    <w:rsid w:val="000C444E"/>
    <w:rsid w:val="000C4520"/>
    <w:rsid w:val="000C4582"/>
    <w:rsid w:val="000C46F8"/>
    <w:rsid w:val="000C477D"/>
    <w:rsid w:val="000C48BB"/>
    <w:rsid w:val="000C4943"/>
    <w:rsid w:val="000C4A28"/>
    <w:rsid w:val="000C4E42"/>
    <w:rsid w:val="000C5494"/>
    <w:rsid w:val="000C55E4"/>
    <w:rsid w:val="000C5697"/>
    <w:rsid w:val="000C56EE"/>
    <w:rsid w:val="000C5865"/>
    <w:rsid w:val="000C5C56"/>
    <w:rsid w:val="000C5D59"/>
    <w:rsid w:val="000C6610"/>
    <w:rsid w:val="000C6E03"/>
    <w:rsid w:val="000C70B7"/>
    <w:rsid w:val="000C71C1"/>
    <w:rsid w:val="000C7495"/>
    <w:rsid w:val="000C7730"/>
    <w:rsid w:val="000C7782"/>
    <w:rsid w:val="000C79F8"/>
    <w:rsid w:val="000C7CB3"/>
    <w:rsid w:val="000C7F63"/>
    <w:rsid w:val="000D0018"/>
    <w:rsid w:val="000D0062"/>
    <w:rsid w:val="000D0453"/>
    <w:rsid w:val="000D0479"/>
    <w:rsid w:val="000D0551"/>
    <w:rsid w:val="000D0583"/>
    <w:rsid w:val="000D0644"/>
    <w:rsid w:val="000D066F"/>
    <w:rsid w:val="000D0FAD"/>
    <w:rsid w:val="000D14E5"/>
    <w:rsid w:val="000D1B2D"/>
    <w:rsid w:val="000D1E57"/>
    <w:rsid w:val="000D294D"/>
    <w:rsid w:val="000D2CBC"/>
    <w:rsid w:val="000D2DEA"/>
    <w:rsid w:val="000D2E59"/>
    <w:rsid w:val="000D30A0"/>
    <w:rsid w:val="000D3259"/>
    <w:rsid w:val="000D343E"/>
    <w:rsid w:val="000D34DC"/>
    <w:rsid w:val="000D3CC4"/>
    <w:rsid w:val="000D3DCF"/>
    <w:rsid w:val="000D41FE"/>
    <w:rsid w:val="000D459E"/>
    <w:rsid w:val="000D473B"/>
    <w:rsid w:val="000D4818"/>
    <w:rsid w:val="000D497D"/>
    <w:rsid w:val="000D4A3B"/>
    <w:rsid w:val="000D4A47"/>
    <w:rsid w:val="000D4D96"/>
    <w:rsid w:val="000D5067"/>
    <w:rsid w:val="000D527F"/>
    <w:rsid w:val="000D5313"/>
    <w:rsid w:val="000D5DBF"/>
    <w:rsid w:val="000D5FFD"/>
    <w:rsid w:val="000D6112"/>
    <w:rsid w:val="000D65AE"/>
    <w:rsid w:val="000D6864"/>
    <w:rsid w:val="000D6CDD"/>
    <w:rsid w:val="000D6D69"/>
    <w:rsid w:val="000D6F1A"/>
    <w:rsid w:val="000D7568"/>
    <w:rsid w:val="000D7BD9"/>
    <w:rsid w:val="000D7FDB"/>
    <w:rsid w:val="000E0125"/>
    <w:rsid w:val="000E06E7"/>
    <w:rsid w:val="000E0730"/>
    <w:rsid w:val="000E083D"/>
    <w:rsid w:val="000E0BF9"/>
    <w:rsid w:val="000E0C2C"/>
    <w:rsid w:val="000E0FC5"/>
    <w:rsid w:val="000E12DA"/>
    <w:rsid w:val="000E1452"/>
    <w:rsid w:val="000E17B6"/>
    <w:rsid w:val="000E1A4C"/>
    <w:rsid w:val="000E1B34"/>
    <w:rsid w:val="000E1CDE"/>
    <w:rsid w:val="000E1D2F"/>
    <w:rsid w:val="000E1D77"/>
    <w:rsid w:val="000E1F89"/>
    <w:rsid w:val="000E1FA1"/>
    <w:rsid w:val="000E20D1"/>
    <w:rsid w:val="000E216F"/>
    <w:rsid w:val="000E230A"/>
    <w:rsid w:val="000E2324"/>
    <w:rsid w:val="000E23BD"/>
    <w:rsid w:val="000E2463"/>
    <w:rsid w:val="000E247B"/>
    <w:rsid w:val="000E270A"/>
    <w:rsid w:val="000E2A9A"/>
    <w:rsid w:val="000E2AC5"/>
    <w:rsid w:val="000E2C2F"/>
    <w:rsid w:val="000E2D1D"/>
    <w:rsid w:val="000E2F75"/>
    <w:rsid w:val="000E308B"/>
    <w:rsid w:val="000E30E4"/>
    <w:rsid w:val="000E31E2"/>
    <w:rsid w:val="000E3A94"/>
    <w:rsid w:val="000E3D81"/>
    <w:rsid w:val="000E3F80"/>
    <w:rsid w:val="000E4006"/>
    <w:rsid w:val="000E41E0"/>
    <w:rsid w:val="000E49B8"/>
    <w:rsid w:val="000E4E5C"/>
    <w:rsid w:val="000E5280"/>
    <w:rsid w:val="000E5387"/>
    <w:rsid w:val="000E567B"/>
    <w:rsid w:val="000E57A8"/>
    <w:rsid w:val="000E5915"/>
    <w:rsid w:val="000E5999"/>
    <w:rsid w:val="000E5B5A"/>
    <w:rsid w:val="000E677D"/>
    <w:rsid w:val="000E6D68"/>
    <w:rsid w:val="000E6E2C"/>
    <w:rsid w:val="000E6F44"/>
    <w:rsid w:val="000E7110"/>
    <w:rsid w:val="000E7288"/>
    <w:rsid w:val="000E72DF"/>
    <w:rsid w:val="000E7D33"/>
    <w:rsid w:val="000E7DE2"/>
    <w:rsid w:val="000E7F8F"/>
    <w:rsid w:val="000F00AC"/>
    <w:rsid w:val="000F00DC"/>
    <w:rsid w:val="000F03EA"/>
    <w:rsid w:val="000F0527"/>
    <w:rsid w:val="000F08C0"/>
    <w:rsid w:val="000F0A0D"/>
    <w:rsid w:val="000F0B0A"/>
    <w:rsid w:val="000F0F84"/>
    <w:rsid w:val="000F1147"/>
    <w:rsid w:val="000F1D03"/>
    <w:rsid w:val="000F1DBA"/>
    <w:rsid w:val="000F1F77"/>
    <w:rsid w:val="000F25BD"/>
    <w:rsid w:val="000F310D"/>
    <w:rsid w:val="000F3963"/>
    <w:rsid w:val="000F3DB1"/>
    <w:rsid w:val="000F406A"/>
    <w:rsid w:val="000F439D"/>
    <w:rsid w:val="000F43B6"/>
    <w:rsid w:val="000F43ED"/>
    <w:rsid w:val="000F45C3"/>
    <w:rsid w:val="000F4C15"/>
    <w:rsid w:val="000F4F94"/>
    <w:rsid w:val="000F53E4"/>
    <w:rsid w:val="000F553A"/>
    <w:rsid w:val="000F5AEB"/>
    <w:rsid w:val="000F5B65"/>
    <w:rsid w:val="000F5F06"/>
    <w:rsid w:val="000F5F0E"/>
    <w:rsid w:val="000F5F5A"/>
    <w:rsid w:val="000F6268"/>
    <w:rsid w:val="000F6402"/>
    <w:rsid w:val="000F6B2D"/>
    <w:rsid w:val="000F6F17"/>
    <w:rsid w:val="000F782C"/>
    <w:rsid w:val="000F78FF"/>
    <w:rsid w:val="000F79A9"/>
    <w:rsid w:val="000F7B3E"/>
    <w:rsid w:val="000F7CFA"/>
    <w:rsid w:val="001000D3"/>
    <w:rsid w:val="00100459"/>
    <w:rsid w:val="001005BF"/>
    <w:rsid w:val="00100638"/>
    <w:rsid w:val="00100691"/>
    <w:rsid w:val="001007C7"/>
    <w:rsid w:val="00100912"/>
    <w:rsid w:val="00100B16"/>
    <w:rsid w:val="00100C00"/>
    <w:rsid w:val="00100EC7"/>
    <w:rsid w:val="001015A2"/>
    <w:rsid w:val="001015CB"/>
    <w:rsid w:val="0010167F"/>
    <w:rsid w:val="00101A38"/>
    <w:rsid w:val="00101C2E"/>
    <w:rsid w:val="00101CF1"/>
    <w:rsid w:val="00101D0A"/>
    <w:rsid w:val="001022F0"/>
    <w:rsid w:val="001026D2"/>
    <w:rsid w:val="001029C0"/>
    <w:rsid w:val="001029E0"/>
    <w:rsid w:val="00102A94"/>
    <w:rsid w:val="0010327D"/>
    <w:rsid w:val="001032AC"/>
    <w:rsid w:val="00103F4A"/>
    <w:rsid w:val="001045C9"/>
    <w:rsid w:val="00105A1F"/>
    <w:rsid w:val="00105C09"/>
    <w:rsid w:val="0010605E"/>
    <w:rsid w:val="00106063"/>
    <w:rsid w:val="0010664F"/>
    <w:rsid w:val="001069A3"/>
    <w:rsid w:val="001069AA"/>
    <w:rsid w:val="00106A27"/>
    <w:rsid w:val="00106D76"/>
    <w:rsid w:val="00106DE8"/>
    <w:rsid w:val="001070DD"/>
    <w:rsid w:val="00107641"/>
    <w:rsid w:val="001076CB"/>
    <w:rsid w:val="00107703"/>
    <w:rsid w:val="00107AC3"/>
    <w:rsid w:val="00107B12"/>
    <w:rsid w:val="00107ECD"/>
    <w:rsid w:val="00107FC8"/>
    <w:rsid w:val="00110120"/>
    <w:rsid w:val="00110333"/>
    <w:rsid w:val="0011034F"/>
    <w:rsid w:val="0011083C"/>
    <w:rsid w:val="00110B48"/>
    <w:rsid w:val="00110D1B"/>
    <w:rsid w:val="00111354"/>
    <w:rsid w:val="001115F5"/>
    <w:rsid w:val="00111A81"/>
    <w:rsid w:val="00111B29"/>
    <w:rsid w:val="00111C50"/>
    <w:rsid w:val="00111CB8"/>
    <w:rsid w:val="001120E1"/>
    <w:rsid w:val="001125AD"/>
    <w:rsid w:val="0011283A"/>
    <w:rsid w:val="00112A9B"/>
    <w:rsid w:val="00112B18"/>
    <w:rsid w:val="00112BBC"/>
    <w:rsid w:val="00112D45"/>
    <w:rsid w:val="00112FB5"/>
    <w:rsid w:val="00112FC2"/>
    <w:rsid w:val="0011321B"/>
    <w:rsid w:val="00113659"/>
    <w:rsid w:val="00113711"/>
    <w:rsid w:val="00113B2D"/>
    <w:rsid w:val="00113BE6"/>
    <w:rsid w:val="00113DA5"/>
    <w:rsid w:val="00113F76"/>
    <w:rsid w:val="0011409A"/>
    <w:rsid w:val="00114228"/>
    <w:rsid w:val="00114467"/>
    <w:rsid w:val="0011447B"/>
    <w:rsid w:val="0011452D"/>
    <w:rsid w:val="001147A5"/>
    <w:rsid w:val="00114AF5"/>
    <w:rsid w:val="00114B69"/>
    <w:rsid w:val="00115367"/>
    <w:rsid w:val="00115436"/>
    <w:rsid w:val="001157E6"/>
    <w:rsid w:val="00115859"/>
    <w:rsid w:val="001158C5"/>
    <w:rsid w:val="00115F65"/>
    <w:rsid w:val="00115F91"/>
    <w:rsid w:val="001168B1"/>
    <w:rsid w:val="00116AC9"/>
    <w:rsid w:val="00116CBB"/>
    <w:rsid w:val="00116E3C"/>
    <w:rsid w:val="00116F1A"/>
    <w:rsid w:val="00116F40"/>
    <w:rsid w:val="001170AF"/>
    <w:rsid w:val="00117504"/>
    <w:rsid w:val="00117B2E"/>
    <w:rsid w:val="00117E7A"/>
    <w:rsid w:val="0012009B"/>
    <w:rsid w:val="0012039B"/>
    <w:rsid w:val="001204C6"/>
    <w:rsid w:val="00120647"/>
    <w:rsid w:val="00120AEE"/>
    <w:rsid w:val="00120F9F"/>
    <w:rsid w:val="00120FB2"/>
    <w:rsid w:val="001212A9"/>
    <w:rsid w:val="00121355"/>
    <w:rsid w:val="001213EC"/>
    <w:rsid w:val="0012158A"/>
    <w:rsid w:val="001217C9"/>
    <w:rsid w:val="0012192F"/>
    <w:rsid w:val="00121C40"/>
    <w:rsid w:val="00121C63"/>
    <w:rsid w:val="00122063"/>
    <w:rsid w:val="001221CB"/>
    <w:rsid w:val="001221D5"/>
    <w:rsid w:val="001223E0"/>
    <w:rsid w:val="0012251C"/>
    <w:rsid w:val="00122559"/>
    <w:rsid w:val="00122687"/>
    <w:rsid w:val="0012287C"/>
    <w:rsid w:val="001228D0"/>
    <w:rsid w:val="00122925"/>
    <w:rsid w:val="00122E75"/>
    <w:rsid w:val="00122EB8"/>
    <w:rsid w:val="00123103"/>
    <w:rsid w:val="00123123"/>
    <w:rsid w:val="00123250"/>
    <w:rsid w:val="00123933"/>
    <w:rsid w:val="00123943"/>
    <w:rsid w:val="00123B06"/>
    <w:rsid w:val="00124448"/>
    <w:rsid w:val="001246ED"/>
    <w:rsid w:val="001246FF"/>
    <w:rsid w:val="00124C90"/>
    <w:rsid w:val="00124F63"/>
    <w:rsid w:val="00125110"/>
    <w:rsid w:val="00125177"/>
    <w:rsid w:val="00125358"/>
    <w:rsid w:val="0012581B"/>
    <w:rsid w:val="001258CC"/>
    <w:rsid w:val="00125A10"/>
    <w:rsid w:val="00125D53"/>
    <w:rsid w:val="00125E65"/>
    <w:rsid w:val="00125F9E"/>
    <w:rsid w:val="00125FA4"/>
    <w:rsid w:val="0012601F"/>
    <w:rsid w:val="00126113"/>
    <w:rsid w:val="0012670C"/>
    <w:rsid w:val="0012680D"/>
    <w:rsid w:val="00126B78"/>
    <w:rsid w:val="00126C3B"/>
    <w:rsid w:val="00126E78"/>
    <w:rsid w:val="0012706F"/>
    <w:rsid w:val="001273B0"/>
    <w:rsid w:val="00127599"/>
    <w:rsid w:val="0012791C"/>
    <w:rsid w:val="00127CDE"/>
    <w:rsid w:val="00127F73"/>
    <w:rsid w:val="0013008D"/>
    <w:rsid w:val="0013013A"/>
    <w:rsid w:val="0013013D"/>
    <w:rsid w:val="00130292"/>
    <w:rsid w:val="001307DD"/>
    <w:rsid w:val="00130B2B"/>
    <w:rsid w:val="00130C9B"/>
    <w:rsid w:val="00130CD1"/>
    <w:rsid w:val="00130D42"/>
    <w:rsid w:val="001310AF"/>
    <w:rsid w:val="0013120A"/>
    <w:rsid w:val="0013136D"/>
    <w:rsid w:val="00131655"/>
    <w:rsid w:val="00131E46"/>
    <w:rsid w:val="00131E58"/>
    <w:rsid w:val="00132208"/>
    <w:rsid w:val="001322F7"/>
    <w:rsid w:val="001323B0"/>
    <w:rsid w:val="00132405"/>
    <w:rsid w:val="001329D4"/>
    <w:rsid w:val="001329D6"/>
    <w:rsid w:val="00132B1D"/>
    <w:rsid w:val="00132C76"/>
    <w:rsid w:val="0013337C"/>
    <w:rsid w:val="0013382E"/>
    <w:rsid w:val="00133863"/>
    <w:rsid w:val="0013391C"/>
    <w:rsid w:val="00133927"/>
    <w:rsid w:val="0013392C"/>
    <w:rsid w:val="00133B57"/>
    <w:rsid w:val="00133C4A"/>
    <w:rsid w:val="00133CFC"/>
    <w:rsid w:val="00133E89"/>
    <w:rsid w:val="00133FBB"/>
    <w:rsid w:val="00134135"/>
    <w:rsid w:val="00134498"/>
    <w:rsid w:val="00134827"/>
    <w:rsid w:val="00134855"/>
    <w:rsid w:val="001348A4"/>
    <w:rsid w:val="00134B0C"/>
    <w:rsid w:val="00134E1E"/>
    <w:rsid w:val="00134F8D"/>
    <w:rsid w:val="001350C5"/>
    <w:rsid w:val="001354B9"/>
    <w:rsid w:val="00135552"/>
    <w:rsid w:val="001355AD"/>
    <w:rsid w:val="00135669"/>
    <w:rsid w:val="00135815"/>
    <w:rsid w:val="00135B69"/>
    <w:rsid w:val="00136010"/>
    <w:rsid w:val="001361CE"/>
    <w:rsid w:val="0013632D"/>
    <w:rsid w:val="001369F7"/>
    <w:rsid w:val="00136AAC"/>
    <w:rsid w:val="00136BEB"/>
    <w:rsid w:val="00136E83"/>
    <w:rsid w:val="00136FB5"/>
    <w:rsid w:val="00137009"/>
    <w:rsid w:val="00137304"/>
    <w:rsid w:val="00137470"/>
    <w:rsid w:val="001375A6"/>
    <w:rsid w:val="001376A5"/>
    <w:rsid w:val="001379E5"/>
    <w:rsid w:val="00137BFE"/>
    <w:rsid w:val="00140052"/>
    <w:rsid w:val="0014007E"/>
    <w:rsid w:val="001402B4"/>
    <w:rsid w:val="00140387"/>
    <w:rsid w:val="00140929"/>
    <w:rsid w:val="00140A99"/>
    <w:rsid w:val="00140D5F"/>
    <w:rsid w:val="00141421"/>
    <w:rsid w:val="001419BE"/>
    <w:rsid w:val="00141AB0"/>
    <w:rsid w:val="00141C03"/>
    <w:rsid w:val="00141DDA"/>
    <w:rsid w:val="001420B3"/>
    <w:rsid w:val="0014210B"/>
    <w:rsid w:val="00142199"/>
    <w:rsid w:val="001421D7"/>
    <w:rsid w:val="001427DC"/>
    <w:rsid w:val="00142944"/>
    <w:rsid w:val="00142AC2"/>
    <w:rsid w:val="00142E77"/>
    <w:rsid w:val="0014329C"/>
    <w:rsid w:val="0014343F"/>
    <w:rsid w:val="001434FC"/>
    <w:rsid w:val="0014367B"/>
    <w:rsid w:val="00143A17"/>
    <w:rsid w:val="00143A4E"/>
    <w:rsid w:val="00143B34"/>
    <w:rsid w:val="00143BB0"/>
    <w:rsid w:val="00143D9F"/>
    <w:rsid w:val="00143F79"/>
    <w:rsid w:val="00144438"/>
    <w:rsid w:val="001445D7"/>
    <w:rsid w:val="001447FE"/>
    <w:rsid w:val="001448CF"/>
    <w:rsid w:val="00144905"/>
    <w:rsid w:val="00144A83"/>
    <w:rsid w:val="00144DDA"/>
    <w:rsid w:val="001450AA"/>
    <w:rsid w:val="00145D6A"/>
    <w:rsid w:val="00145F20"/>
    <w:rsid w:val="00146071"/>
    <w:rsid w:val="001461C4"/>
    <w:rsid w:val="0014627F"/>
    <w:rsid w:val="0014651A"/>
    <w:rsid w:val="0014665A"/>
    <w:rsid w:val="00146B56"/>
    <w:rsid w:val="00146E05"/>
    <w:rsid w:val="00146F0C"/>
    <w:rsid w:val="00146F6D"/>
    <w:rsid w:val="00147046"/>
    <w:rsid w:val="0014706C"/>
    <w:rsid w:val="00147315"/>
    <w:rsid w:val="00147342"/>
    <w:rsid w:val="0014745A"/>
    <w:rsid w:val="0014748A"/>
    <w:rsid w:val="00147562"/>
    <w:rsid w:val="00147709"/>
    <w:rsid w:val="00147A65"/>
    <w:rsid w:val="00147ACA"/>
    <w:rsid w:val="00147B6E"/>
    <w:rsid w:val="00147C14"/>
    <w:rsid w:val="00147C73"/>
    <w:rsid w:val="00147D62"/>
    <w:rsid w:val="00147EEB"/>
    <w:rsid w:val="00147F45"/>
    <w:rsid w:val="00147FF5"/>
    <w:rsid w:val="0015030B"/>
    <w:rsid w:val="0015069B"/>
    <w:rsid w:val="00150ADA"/>
    <w:rsid w:val="00150D46"/>
    <w:rsid w:val="00151152"/>
    <w:rsid w:val="001517DA"/>
    <w:rsid w:val="0015188D"/>
    <w:rsid w:val="00151A96"/>
    <w:rsid w:val="00151C4F"/>
    <w:rsid w:val="00151C74"/>
    <w:rsid w:val="00151CCA"/>
    <w:rsid w:val="00151D33"/>
    <w:rsid w:val="00151DAA"/>
    <w:rsid w:val="00151EA8"/>
    <w:rsid w:val="00151EEA"/>
    <w:rsid w:val="00152102"/>
    <w:rsid w:val="0015222A"/>
    <w:rsid w:val="0015244E"/>
    <w:rsid w:val="00152725"/>
    <w:rsid w:val="001527D8"/>
    <w:rsid w:val="00152B74"/>
    <w:rsid w:val="00152BFF"/>
    <w:rsid w:val="00152D59"/>
    <w:rsid w:val="00152E4A"/>
    <w:rsid w:val="00153325"/>
    <w:rsid w:val="0015344A"/>
    <w:rsid w:val="001534D8"/>
    <w:rsid w:val="00153540"/>
    <w:rsid w:val="0015358B"/>
    <w:rsid w:val="001539B5"/>
    <w:rsid w:val="001541E2"/>
    <w:rsid w:val="00154532"/>
    <w:rsid w:val="00154BA7"/>
    <w:rsid w:val="00154D32"/>
    <w:rsid w:val="00154E89"/>
    <w:rsid w:val="00154F57"/>
    <w:rsid w:val="00155275"/>
    <w:rsid w:val="001553A0"/>
    <w:rsid w:val="00155813"/>
    <w:rsid w:val="00155976"/>
    <w:rsid w:val="00155A53"/>
    <w:rsid w:val="00155D71"/>
    <w:rsid w:val="00155E56"/>
    <w:rsid w:val="00155FC3"/>
    <w:rsid w:val="001562F0"/>
    <w:rsid w:val="001566C2"/>
    <w:rsid w:val="00156803"/>
    <w:rsid w:val="00156901"/>
    <w:rsid w:val="0015691E"/>
    <w:rsid w:val="0015694C"/>
    <w:rsid w:val="001569E8"/>
    <w:rsid w:val="0015730F"/>
    <w:rsid w:val="001573D6"/>
    <w:rsid w:val="001576EC"/>
    <w:rsid w:val="00157940"/>
    <w:rsid w:val="001579AB"/>
    <w:rsid w:val="00157DDA"/>
    <w:rsid w:val="00157E63"/>
    <w:rsid w:val="00157E67"/>
    <w:rsid w:val="001602D9"/>
    <w:rsid w:val="00160AE3"/>
    <w:rsid w:val="00160B1F"/>
    <w:rsid w:val="00160C63"/>
    <w:rsid w:val="001614DB"/>
    <w:rsid w:val="001616A1"/>
    <w:rsid w:val="00161992"/>
    <w:rsid w:val="001619A7"/>
    <w:rsid w:val="00161A76"/>
    <w:rsid w:val="00161B49"/>
    <w:rsid w:val="00161DDB"/>
    <w:rsid w:val="00161E2B"/>
    <w:rsid w:val="0016266B"/>
    <w:rsid w:val="001627D0"/>
    <w:rsid w:val="00162B91"/>
    <w:rsid w:val="00163102"/>
    <w:rsid w:val="00163139"/>
    <w:rsid w:val="00163496"/>
    <w:rsid w:val="001634DB"/>
    <w:rsid w:val="00163706"/>
    <w:rsid w:val="00163D04"/>
    <w:rsid w:val="0016426B"/>
    <w:rsid w:val="001642B9"/>
    <w:rsid w:val="001645AF"/>
    <w:rsid w:val="00164F41"/>
    <w:rsid w:val="0016515B"/>
    <w:rsid w:val="00165245"/>
    <w:rsid w:val="00165278"/>
    <w:rsid w:val="001654A9"/>
    <w:rsid w:val="001655CA"/>
    <w:rsid w:val="001656FC"/>
    <w:rsid w:val="00165765"/>
    <w:rsid w:val="001658C0"/>
    <w:rsid w:val="00165CE3"/>
    <w:rsid w:val="00165D07"/>
    <w:rsid w:val="00165E5A"/>
    <w:rsid w:val="0016609C"/>
    <w:rsid w:val="00166353"/>
    <w:rsid w:val="00166819"/>
    <w:rsid w:val="00166913"/>
    <w:rsid w:val="00166B5C"/>
    <w:rsid w:val="00166F1A"/>
    <w:rsid w:val="0016724C"/>
    <w:rsid w:val="001672F8"/>
    <w:rsid w:val="001674A2"/>
    <w:rsid w:val="00167D85"/>
    <w:rsid w:val="00167F1F"/>
    <w:rsid w:val="001701A9"/>
    <w:rsid w:val="001706B8"/>
    <w:rsid w:val="00170C16"/>
    <w:rsid w:val="00170FF7"/>
    <w:rsid w:val="0017112E"/>
    <w:rsid w:val="00171368"/>
    <w:rsid w:val="00171708"/>
    <w:rsid w:val="001718CD"/>
    <w:rsid w:val="001719CC"/>
    <w:rsid w:val="00171A71"/>
    <w:rsid w:val="00171B09"/>
    <w:rsid w:val="00171F06"/>
    <w:rsid w:val="00171FB4"/>
    <w:rsid w:val="001720FE"/>
    <w:rsid w:val="0017225A"/>
    <w:rsid w:val="001724B7"/>
    <w:rsid w:val="001724C8"/>
    <w:rsid w:val="001724EE"/>
    <w:rsid w:val="0017289D"/>
    <w:rsid w:val="001728A4"/>
    <w:rsid w:val="00172A94"/>
    <w:rsid w:val="00172D0C"/>
    <w:rsid w:val="00172D6F"/>
    <w:rsid w:val="001735C6"/>
    <w:rsid w:val="001736D8"/>
    <w:rsid w:val="00173BE6"/>
    <w:rsid w:val="00173C12"/>
    <w:rsid w:val="00173CA1"/>
    <w:rsid w:val="00173D14"/>
    <w:rsid w:val="0017400A"/>
    <w:rsid w:val="001740C8"/>
    <w:rsid w:val="001741ED"/>
    <w:rsid w:val="00174561"/>
    <w:rsid w:val="0017465D"/>
    <w:rsid w:val="00174C1A"/>
    <w:rsid w:val="00174EBB"/>
    <w:rsid w:val="0017501C"/>
    <w:rsid w:val="00175192"/>
    <w:rsid w:val="0017538E"/>
    <w:rsid w:val="0017551B"/>
    <w:rsid w:val="0017552F"/>
    <w:rsid w:val="00175670"/>
    <w:rsid w:val="001756A4"/>
    <w:rsid w:val="00175DC0"/>
    <w:rsid w:val="001761AF"/>
    <w:rsid w:val="001762A7"/>
    <w:rsid w:val="0017632D"/>
    <w:rsid w:val="001763A2"/>
    <w:rsid w:val="001763A9"/>
    <w:rsid w:val="001764EE"/>
    <w:rsid w:val="001766BD"/>
    <w:rsid w:val="00177503"/>
    <w:rsid w:val="001775F8"/>
    <w:rsid w:val="001776EA"/>
    <w:rsid w:val="001777CD"/>
    <w:rsid w:val="001778C4"/>
    <w:rsid w:val="001778C9"/>
    <w:rsid w:val="001778D7"/>
    <w:rsid w:val="00177E18"/>
    <w:rsid w:val="00177E9C"/>
    <w:rsid w:val="00177EB0"/>
    <w:rsid w:val="00177F5E"/>
    <w:rsid w:val="00180004"/>
    <w:rsid w:val="00180271"/>
    <w:rsid w:val="001802BA"/>
    <w:rsid w:val="0018063E"/>
    <w:rsid w:val="001806A7"/>
    <w:rsid w:val="00180932"/>
    <w:rsid w:val="00180B0D"/>
    <w:rsid w:val="00180E07"/>
    <w:rsid w:val="0018114E"/>
    <w:rsid w:val="001813E7"/>
    <w:rsid w:val="00181441"/>
    <w:rsid w:val="0018147D"/>
    <w:rsid w:val="0018166C"/>
    <w:rsid w:val="00181935"/>
    <w:rsid w:val="00181AA9"/>
    <w:rsid w:val="00181DAE"/>
    <w:rsid w:val="00182109"/>
    <w:rsid w:val="0018223A"/>
    <w:rsid w:val="00182B21"/>
    <w:rsid w:val="00182BA4"/>
    <w:rsid w:val="0018353E"/>
    <w:rsid w:val="00183587"/>
    <w:rsid w:val="001837AC"/>
    <w:rsid w:val="00183936"/>
    <w:rsid w:val="00183B66"/>
    <w:rsid w:val="00183BB6"/>
    <w:rsid w:val="00183BFC"/>
    <w:rsid w:val="00183D84"/>
    <w:rsid w:val="00183DE4"/>
    <w:rsid w:val="00183F76"/>
    <w:rsid w:val="0018424E"/>
    <w:rsid w:val="00184958"/>
    <w:rsid w:val="00184DBF"/>
    <w:rsid w:val="00184E2C"/>
    <w:rsid w:val="00185013"/>
    <w:rsid w:val="00185080"/>
    <w:rsid w:val="00185142"/>
    <w:rsid w:val="00185372"/>
    <w:rsid w:val="0018560E"/>
    <w:rsid w:val="001856FB"/>
    <w:rsid w:val="00185F51"/>
    <w:rsid w:val="00186188"/>
    <w:rsid w:val="00186292"/>
    <w:rsid w:val="00186418"/>
    <w:rsid w:val="001865A4"/>
    <w:rsid w:val="001868A9"/>
    <w:rsid w:val="00186967"/>
    <w:rsid w:val="001869AC"/>
    <w:rsid w:val="00186A17"/>
    <w:rsid w:val="00186BDF"/>
    <w:rsid w:val="00187099"/>
    <w:rsid w:val="001870E6"/>
    <w:rsid w:val="0018773A"/>
    <w:rsid w:val="00187804"/>
    <w:rsid w:val="001878EA"/>
    <w:rsid w:val="00187BE0"/>
    <w:rsid w:val="00187EE8"/>
    <w:rsid w:val="001902D6"/>
    <w:rsid w:val="0019067A"/>
    <w:rsid w:val="00190691"/>
    <w:rsid w:val="001906D8"/>
    <w:rsid w:val="001906D9"/>
    <w:rsid w:val="00190728"/>
    <w:rsid w:val="00190793"/>
    <w:rsid w:val="00190998"/>
    <w:rsid w:val="001909FE"/>
    <w:rsid w:val="00190B23"/>
    <w:rsid w:val="00190CA7"/>
    <w:rsid w:val="00190FDE"/>
    <w:rsid w:val="00191064"/>
    <w:rsid w:val="00191280"/>
    <w:rsid w:val="001914EF"/>
    <w:rsid w:val="0019180F"/>
    <w:rsid w:val="0019187A"/>
    <w:rsid w:val="00191AB0"/>
    <w:rsid w:val="00191F16"/>
    <w:rsid w:val="00192097"/>
    <w:rsid w:val="00192666"/>
    <w:rsid w:val="0019279D"/>
    <w:rsid w:val="00192848"/>
    <w:rsid w:val="00192D49"/>
    <w:rsid w:val="001931C6"/>
    <w:rsid w:val="001932CD"/>
    <w:rsid w:val="00193390"/>
    <w:rsid w:val="0019341C"/>
    <w:rsid w:val="00193428"/>
    <w:rsid w:val="00193474"/>
    <w:rsid w:val="001939C4"/>
    <w:rsid w:val="00194AF5"/>
    <w:rsid w:val="00194BB3"/>
    <w:rsid w:val="00194BDB"/>
    <w:rsid w:val="001950DF"/>
    <w:rsid w:val="001953EA"/>
    <w:rsid w:val="0019566C"/>
    <w:rsid w:val="001956C4"/>
    <w:rsid w:val="00195877"/>
    <w:rsid w:val="00195E8C"/>
    <w:rsid w:val="001962B1"/>
    <w:rsid w:val="0019630E"/>
    <w:rsid w:val="0019633B"/>
    <w:rsid w:val="0019642A"/>
    <w:rsid w:val="0019651C"/>
    <w:rsid w:val="0019666B"/>
    <w:rsid w:val="001967B0"/>
    <w:rsid w:val="00196A05"/>
    <w:rsid w:val="00196AB1"/>
    <w:rsid w:val="00196D26"/>
    <w:rsid w:val="00197314"/>
    <w:rsid w:val="001978D9"/>
    <w:rsid w:val="00197B74"/>
    <w:rsid w:val="00197C4E"/>
    <w:rsid w:val="00197DAF"/>
    <w:rsid w:val="001A0379"/>
    <w:rsid w:val="001A064A"/>
    <w:rsid w:val="001A0863"/>
    <w:rsid w:val="001A095B"/>
    <w:rsid w:val="001A097C"/>
    <w:rsid w:val="001A0BC0"/>
    <w:rsid w:val="001A0CB4"/>
    <w:rsid w:val="001A0E48"/>
    <w:rsid w:val="001A0E87"/>
    <w:rsid w:val="001A0FAC"/>
    <w:rsid w:val="001A138F"/>
    <w:rsid w:val="001A1407"/>
    <w:rsid w:val="001A1445"/>
    <w:rsid w:val="001A15E6"/>
    <w:rsid w:val="001A1910"/>
    <w:rsid w:val="001A1AB7"/>
    <w:rsid w:val="001A1B16"/>
    <w:rsid w:val="001A1BBD"/>
    <w:rsid w:val="001A1D20"/>
    <w:rsid w:val="001A1E39"/>
    <w:rsid w:val="001A1EBD"/>
    <w:rsid w:val="001A1F36"/>
    <w:rsid w:val="001A1F9D"/>
    <w:rsid w:val="001A2038"/>
    <w:rsid w:val="001A2063"/>
    <w:rsid w:val="001A20D6"/>
    <w:rsid w:val="001A22E3"/>
    <w:rsid w:val="001A25F3"/>
    <w:rsid w:val="001A2B40"/>
    <w:rsid w:val="001A2EA5"/>
    <w:rsid w:val="001A3019"/>
    <w:rsid w:val="001A3171"/>
    <w:rsid w:val="001A322A"/>
    <w:rsid w:val="001A3A7B"/>
    <w:rsid w:val="001A3CA4"/>
    <w:rsid w:val="001A3D8F"/>
    <w:rsid w:val="001A3E9D"/>
    <w:rsid w:val="001A3F26"/>
    <w:rsid w:val="001A40D6"/>
    <w:rsid w:val="001A445B"/>
    <w:rsid w:val="001A474E"/>
    <w:rsid w:val="001A4790"/>
    <w:rsid w:val="001A48D9"/>
    <w:rsid w:val="001A4A6E"/>
    <w:rsid w:val="001A4D81"/>
    <w:rsid w:val="001A4EA4"/>
    <w:rsid w:val="001A51FE"/>
    <w:rsid w:val="001A55FC"/>
    <w:rsid w:val="001A5608"/>
    <w:rsid w:val="001A5802"/>
    <w:rsid w:val="001A59A1"/>
    <w:rsid w:val="001A5B52"/>
    <w:rsid w:val="001A5B88"/>
    <w:rsid w:val="001A5C72"/>
    <w:rsid w:val="001A61A1"/>
    <w:rsid w:val="001A6526"/>
    <w:rsid w:val="001A664D"/>
    <w:rsid w:val="001A685C"/>
    <w:rsid w:val="001A6A46"/>
    <w:rsid w:val="001A6D56"/>
    <w:rsid w:val="001A71EE"/>
    <w:rsid w:val="001A754C"/>
    <w:rsid w:val="001A7AEF"/>
    <w:rsid w:val="001A7B35"/>
    <w:rsid w:val="001A7BB6"/>
    <w:rsid w:val="001A7C21"/>
    <w:rsid w:val="001A7D31"/>
    <w:rsid w:val="001A7DA4"/>
    <w:rsid w:val="001B0027"/>
    <w:rsid w:val="001B01BB"/>
    <w:rsid w:val="001B02AF"/>
    <w:rsid w:val="001B0427"/>
    <w:rsid w:val="001B07FF"/>
    <w:rsid w:val="001B09F2"/>
    <w:rsid w:val="001B0BF9"/>
    <w:rsid w:val="001B0FE1"/>
    <w:rsid w:val="001B10CC"/>
    <w:rsid w:val="001B144B"/>
    <w:rsid w:val="001B1CD3"/>
    <w:rsid w:val="001B1DC8"/>
    <w:rsid w:val="001B1E47"/>
    <w:rsid w:val="001B1FC7"/>
    <w:rsid w:val="001B24DF"/>
    <w:rsid w:val="001B2557"/>
    <w:rsid w:val="001B2A20"/>
    <w:rsid w:val="001B2FD0"/>
    <w:rsid w:val="001B3047"/>
    <w:rsid w:val="001B3085"/>
    <w:rsid w:val="001B3241"/>
    <w:rsid w:val="001B33F0"/>
    <w:rsid w:val="001B3710"/>
    <w:rsid w:val="001B3782"/>
    <w:rsid w:val="001B37FF"/>
    <w:rsid w:val="001B3823"/>
    <w:rsid w:val="001B3C05"/>
    <w:rsid w:val="001B456F"/>
    <w:rsid w:val="001B45A3"/>
    <w:rsid w:val="001B4703"/>
    <w:rsid w:val="001B4ADB"/>
    <w:rsid w:val="001B4B4A"/>
    <w:rsid w:val="001B4D75"/>
    <w:rsid w:val="001B4F69"/>
    <w:rsid w:val="001B52C0"/>
    <w:rsid w:val="001B53FF"/>
    <w:rsid w:val="001B5669"/>
    <w:rsid w:val="001B5722"/>
    <w:rsid w:val="001B5793"/>
    <w:rsid w:val="001B5BB4"/>
    <w:rsid w:val="001B5E7D"/>
    <w:rsid w:val="001B611A"/>
    <w:rsid w:val="001B6374"/>
    <w:rsid w:val="001B64D9"/>
    <w:rsid w:val="001B6510"/>
    <w:rsid w:val="001B65B0"/>
    <w:rsid w:val="001B68A8"/>
    <w:rsid w:val="001B6BE6"/>
    <w:rsid w:val="001B7098"/>
    <w:rsid w:val="001B76FC"/>
    <w:rsid w:val="001B7B33"/>
    <w:rsid w:val="001B7D63"/>
    <w:rsid w:val="001B7FDE"/>
    <w:rsid w:val="001C0141"/>
    <w:rsid w:val="001C0165"/>
    <w:rsid w:val="001C01B7"/>
    <w:rsid w:val="001C03DC"/>
    <w:rsid w:val="001C0707"/>
    <w:rsid w:val="001C071F"/>
    <w:rsid w:val="001C07A8"/>
    <w:rsid w:val="001C0864"/>
    <w:rsid w:val="001C08A1"/>
    <w:rsid w:val="001C0AD6"/>
    <w:rsid w:val="001C1195"/>
    <w:rsid w:val="001C1554"/>
    <w:rsid w:val="001C16B6"/>
    <w:rsid w:val="001C1984"/>
    <w:rsid w:val="001C19AA"/>
    <w:rsid w:val="001C1B82"/>
    <w:rsid w:val="001C1C34"/>
    <w:rsid w:val="001C1CF6"/>
    <w:rsid w:val="001C1D8B"/>
    <w:rsid w:val="001C2114"/>
    <w:rsid w:val="001C2326"/>
    <w:rsid w:val="001C2713"/>
    <w:rsid w:val="001C2CDF"/>
    <w:rsid w:val="001C31A1"/>
    <w:rsid w:val="001C3220"/>
    <w:rsid w:val="001C326F"/>
    <w:rsid w:val="001C3B15"/>
    <w:rsid w:val="001C4003"/>
    <w:rsid w:val="001C4121"/>
    <w:rsid w:val="001C41C4"/>
    <w:rsid w:val="001C4249"/>
    <w:rsid w:val="001C43E4"/>
    <w:rsid w:val="001C48D3"/>
    <w:rsid w:val="001C4B1A"/>
    <w:rsid w:val="001C4E2E"/>
    <w:rsid w:val="001C5027"/>
    <w:rsid w:val="001C5109"/>
    <w:rsid w:val="001C5396"/>
    <w:rsid w:val="001C5B6B"/>
    <w:rsid w:val="001C5C5B"/>
    <w:rsid w:val="001C5CFF"/>
    <w:rsid w:val="001C5D42"/>
    <w:rsid w:val="001C68E0"/>
    <w:rsid w:val="001C6BF8"/>
    <w:rsid w:val="001C7382"/>
    <w:rsid w:val="001C75C8"/>
    <w:rsid w:val="001C7B7E"/>
    <w:rsid w:val="001C7E07"/>
    <w:rsid w:val="001C7F55"/>
    <w:rsid w:val="001D0023"/>
    <w:rsid w:val="001D063E"/>
    <w:rsid w:val="001D0979"/>
    <w:rsid w:val="001D10D6"/>
    <w:rsid w:val="001D15A6"/>
    <w:rsid w:val="001D1649"/>
    <w:rsid w:val="001D1AD1"/>
    <w:rsid w:val="001D1D64"/>
    <w:rsid w:val="001D1E7E"/>
    <w:rsid w:val="001D2105"/>
    <w:rsid w:val="001D2578"/>
    <w:rsid w:val="001D278A"/>
    <w:rsid w:val="001D279B"/>
    <w:rsid w:val="001D28D9"/>
    <w:rsid w:val="001D2A4E"/>
    <w:rsid w:val="001D2BF9"/>
    <w:rsid w:val="001D2E88"/>
    <w:rsid w:val="001D2F35"/>
    <w:rsid w:val="001D3245"/>
    <w:rsid w:val="001D32C0"/>
    <w:rsid w:val="001D3383"/>
    <w:rsid w:val="001D418F"/>
    <w:rsid w:val="001D4500"/>
    <w:rsid w:val="001D4622"/>
    <w:rsid w:val="001D474F"/>
    <w:rsid w:val="001D4B2B"/>
    <w:rsid w:val="001D4D4E"/>
    <w:rsid w:val="001D4FD8"/>
    <w:rsid w:val="001D5085"/>
    <w:rsid w:val="001D5649"/>
    <w:rsid w:val="001D568D"/>
    <w:rsid w:val="001D57AC"/>
    <w:rsid w:val="001D598C"/>
    <w:rsid w:val="001D5C57"/>
    <w:rsid w:val="001D5DEF"/>
    <w:rsid w:val="001D6506"/>
    <w:rsid w:val="001D652E"/>
    <w:rsid w:val="001D6530"/>
    <w:rsid w:val="001D6612"/>
    <w:rsid w:val="001D6D7E"/>
    <w:rsid w:val="001D6DB4"/>
    <w:rsid w:val="001D6DF2"/>
    <w:rsid w:val="001D7007"/>
    <w:rsid w:val="001D731F"/>
    <w:rsid w:val="001D774D"/>
    <w:rsid w:val="001D7827"/>
    <w:rsid w:val="001D78A7"/>
    <w:rsid w:val="001D79F9"/>
    <w:rsid w:val="001D7A4A"/>
    <w:rsid w:val="001D7D23"/>
    <w:rsid w:val="001D7D4A"/>
    <w:rsid w:val="001E00DE"/>
    <w:rsid w:val="001E02F0"/>
    <w:rsid w:val="001E03A8"/>
    <w:rsid w:val="001E0518"/>
    <w:rsid w:val="001E071D"/>
    <w:rsid w:val="001E0A4D"/>
    <w:rsid w:val="001E0D2F"/>
    <w:rsid w:val="001E15E4"/>
    <w:rsid w:val="001E1902"/>
    <w:rsid w:val="001E1AC8"/>
    <w:rsid w:val="001E1B0F"/>
    <w:rsid w:val="001E1B1B"/>
    <w:rsid w:val="001E1C57"/>
    <w:rsid w:val="001E1D48"/>
    <w:rsid w:val="001E233D"/>
    <w:rsid w:val="001E250E"/>
    <w:rsid w:val="001E254C"/>
    <w:rsid w:val="001E2594"/>
    <w:rsid w:val="001E2A87"/>
    <w:rsid w:val="001E2BA7"/>
    <w:rsid w:val="001E2E3E"/>
    <w:rsid w:val="001E2E8B"/>
    <w:rsid w:val="001E333B"/>
    <w:rsid w:val="001E3596"/>
    <w:rsid w:val="001E38D9"/>
    <w:rsid w:val="001E4120"/>
    <w:rsid w:val="001E433B"/>
    <w:rsid w:val="001E43F2"/>
    <w:rsid w:val="001E4521"/>
    <w:rsid w:val="001E457A"/>
    <w:rsid w:val="001E459F"/>
    <w:rsid w:val="001E45E7"/>
    <w:rsid w:val="001E4880"/>
    <w:rsid w:val="001E4BEC"/>
    <w:rsid w:val="001E51AB"/>
    <w:rsid w:val="001E5225"/>
    <w:rsid w:val="001E5586"/>
    <w:rsid w:val="001E5E4F"/>
    <w:rsid w:val="001E5FCD"/>
    <w:rsid w:val="001E633A"/>
    <w:rsid w:val="001E6509"/>
    <w:rsid w:val="001E6836"/>
    <w:rsid w:val="001E68FB"/>
    <w:rsid w:val="001E6EC8"/>
    <w:rsid w:val="001E6EDA"/>
    <w:rsid w:val="001E7067"/>
    <w:rsid w:val="001E729B"/>
    <w:rsid w:val="001E7664"/>
    <w:rsid w:val="001E7F47"/>
    <w:rsid w:val="001F0085"/>
    <w:rsid w:val="001F019E"/>
    <w:rsid w:val="001F0213"/>
    <w:rsid w:val="001F066C"/>
    <w:rsid w:val="001F0E44"/>
    <w:rsid w:val="001F0ED4"/>
    <w:rsid w:val="001F0F74"/>
    <w:rsid w:val="001F11BD"/>
    <w:rsid w:val="001F11D8"/>
    <w:rsid w:val="001F171D"/>
    <w:rsid w:val="001F1806"/>
    <w:rsid w:val="001F196B"/>
    <w:rsid w:val="001F19BF"/>
    <w:rsid w:val="001F1B6B"/>
    <w:rsid w:val="001F1E45"/>
    <w:rsid w:val="001F1EEC"/>
    <w:rsid w:val="001F1FA8"/>
    <w:rsid w:val="001F2054"/>
    <w:rsid w:val="001F2239"/>
    <w:rsid w:val="001F224C"/>
    <w:rsid w:val="001F23E0"/>
    <w:rsid w:val="001F28D2"/>
    <w:rsid w:val="001F2DB0"/>
    <w:rsid w:val="001F2F46"/>
    <w:rsid w:val="001F3364"/>
    <w:rsid w:val="001F3454"/>
    <w:rsid w:val="001F35B5"/>
    <w:rsid w:val="001F381A"/>
    <w:rsid w:val="001F3915"/>
    <w:rsid w:val="001F3C39"/>
    <w:rsid w:val="001F3E46"/>
    <w:rsid w:val="001F3FC4"/>
    <w:rsid w:val="001F426D"/>
    <w:rsid w:val="001F4D41"/>
    <w:rsid w:val="001F4E08"/>
    <w:rsid w:val="001F4E3E"/>
    <w:rsid w:val="001F4ED2"/>
    <w:rsid w:val="001F4F3E"/>
    <w:rsid w:val="001F5044"/>
    <w:rsid w:val="001F528C"/>
    <w:rsid w:val="001F540D"/>
    <w:rsid w:val="001F554E"/>
    <w:rsid w:val="001F58A7"/>
    <w:rsid w:val="001F59B1"/>
    <w:rsid w:val="001F5B61"/>
    <w:rsid w:val="001F5B6B"/>
    <w:rsid w:val="001F5C3F"/>
    <w:rsid w:val="001F6436"/>
    <w:rsid w:val="001F64B4"/>
    <w:rsid w:val="001F669A"/>
    <w:rsid w:val="001F6BD1"/>
    <w:rsid w:val="001F71FC"/>
    <w:rsid w:val="001F7292"/>
    <w:rsid w:val="001F73D9"/>
    <w:rsid w:val="001F7F98"/>
    <w:rsid w:val="00200033"/>
    <w:rsid w:val="002000BE"/>
    <w:rsid w:val="002002EC"/>
    <w:rsid w:val="0020031E"/>
    <w:rsid w:val="00200766"/>
    <w:rsid w:val="00200DCC"/>
    <w:rsid w:val="00200E0F"/>
    <w:rsid w:val="00200F89"/>
    <w:rsid w:val="00200FB4"/>
    <w:rsid w:val="002017B8"/>
    <w:rsid w:val="0020191A"/>
    <w:rsid w:val="0020199E"/>
    <w:rsid w:val="00201DF9"/>
    <w:rsid w:val="00201E21"/>
    <w:rsid w:val="00202094"/>
    <w:rsid w:val="00202625"/>
    <w:rsid w:val="0020271B"/>
    <w:rsid w:val="00202735"/>
    <w:rsid w:val="00202CFA"/>
    <w:rsid w:val="00202CFE"/>
    <w:rsid w:val="0020303D"/>
    <w:rsid w:val="002033B4"/>
    <w:rsid w:val="0020382B"/>
    <w:rsid w:val="0020396D"/>
    <w:rsid w:val="00203BF4"/>
    <w:rsid w:val="00203E2F"/>
    <w:rsid w:val="0020435E"/>
    <w:rsid w:val="00204840"/>
    <w:rsid w:val="002048C4"/>
    <w:rsid w:val="0020492D"/>
    <w:rsid w:val="00204AAB"/>
    <w:rsid w:val="00204D4A"/>
    <w:rsid w:val="00204DD5"/>
    <w:rsid w:val="00205592"/>
    <w:rsid w:val="00205968"/>
    <w:rsid w:val="00205A93"/>
    <w:rsid w:val="00205E09"/>
    <w:rsid w:val="002060B8"/>
    <w:rsid w:val="002060FC"/>
    <w:rsid w:val="0020623E"/>
    <w:rsid w:val="002062DF"/>
    <w:rsid w:val="00206357"/>
    <w:rsid w:val="002068D6"/>
    <w:rsid w:val="00206F2A"/>
    <w:rsid w:val="002072F5"/>
    <w:rsid w:val="00207DF9"/>
    <w:rsid w:val="00210029"/>
    <w:rsid w:val="002101E9"/>
    <w:rsid w:val="0021023E"/>
    <w:rsid w:val="00210CB4"/>
    <w:rsid w:val="00210CED"/>
    <w:rsid w:val="00210D3D"/>
    <w:rsid w:val="00211191"/>
    <w:rsid w:val="002111A7"/>
    <w:rsid w:val="0021189B"/>
    <w:rsid w:val="00211A18"/>
    <w:rsid w:val="00211F02"/>
    <w:rsid w:val="00211FDB"/>
    <w:rsid w:val="0021201C"/>
    <w:rsid w:val="00212257"/>
    <w:rsid w:val="00212632"/>
    <w:rsid w:val="002126A8"/>
    <w:rsid w:val="00212F5F"/>
    <w:rsid w:val="002132B5"/>
    <w:rsid w:val="00213565"/>
    <w:rsid w:val="0021373D"/>
    <w:rsid w:val="00213E5F"/>
    <w:rsid w:val="00213EE1"/>
    <w:rsid w:val="00213F7D"/>
    <w:rsid w:val="00213FD5"/>
    <w:rsid w:val="00214019"/>
    <w:rsid w:val="0021463C"/>
    <w:rsid w:val="002147F8"/>
    <w:rsid w:val="0021496B"/>
    <w:rsid w:val="00214A5F"/>
    <w:rsid w:val="00214DAF"/>
    <w:rsid w:val="00214E71"/>
    <w:rsid w:val="00214F47"/>
    <w:rsid w:val="00215395"/>
    <w:rsid w:val="0021586E"/>
    <w:rsid w:val="00215B03"/>
    <w:rsid w:val="00215FD9"/>
    <w:rsid w:val="00216048"/>
    <w:rsid w:val="0021612D"/>
    <w:rsid w:val="00216150"/>
    <w:rsid w:val="0021656B"/>
    <w:rsid w:val="00216E0F"/>
    <w:rsid w:val="0021725E"/>
    <w:rsid w:val="002173AB"/>
    <w:rsid w:val="002174C0"/>
    <w:rsid w:val="0021766B"/>
    <w:rsid w:val="00217675"/>
    <w:rsid w:val="00217A8D"/>
    <w:rsid w:val="00217A9E"/>
    <w:rsid w:val="00217BF7"/>
    <w:rsid w:val="00217D39"/>
    <w:rsid w:val="00217F8B"/>
    <w:rsid w:val="00217F93"/>
    <w:rsid w:val="00220148"/>
    <w:rsid w:val="00220169"/>
    <w:rsid w:val="00220188"/>
    <w:rsid w:val="0022020D"/>
    <w:rsid w:val="00220431"/>
    <w:rsid w:val="0022046B"/>
    <w:rsid w:val="002204D9"/>
    <w:rsid w:val="002207B9"/>
    <w:rsid w:val="00220810"/>
    <w:rsid w:val="00220A6B"/>
    <w:rsid w:val="00220C92"/>
    <w:rsid w:val="00220CA0"/>
    <w:rsid w:val="00220D1F"/>
    <w:rsid w:val="00220E9D"/>
    <w:rsid w:val="00220F24"/>
    <w:rsid w:val="00221099"/>
    <w:rsid w:val="00221179"/>
    <w:rsid w:val="002215EE"/>
    <w:rsid w:val="00221685"/>
    <w:rsid w:val="002217BF"/>
    <w:rsid w:val="002219D2"/>
    <w:rsid w:val="00221B55"/>
    <w:rsid w:val="00221BCE"/>
    <w:rsid w:val="00221C14"/>
    <w:rsid w:val="00221E40"/>
    <w:rsid w:val="00221F9E"/>
    <w:rsid w:val="00222107"/>
    <w:rsid w:val="00222220"/>
    <w:rsid w:val="00222407"/>
    <w:rsid w:val="002225C9"/>
    <w:rsid w:val="002225DB"/>
    <w:rsid w:val="002228A4"/>
    <w:rsid w:val="00222B26"/>
    <w:rsid w:val="00222C63"/>
    <w:rsid w:val="00223155"/>
    <w:rsid w:val="0022337B"/>
    <w:rsid w:val="00223518"/>
    <w:rsid w:val="00223556"/>
    <w:rsid w:val="00223637"/>
    <w:rsid w:val="00223781"/>
    <w:rsid w:val="002238DA"/>
    <w:rsid w:val="00223914"/>
    <w:rsid w:val="0022396F"/>
    <w:rsid w:val="00223971"/>
    <w:rsid w:val="00223991"/>
    <w:rsid w:val="002239DC"/>
    <w:rsid w:val="00223AB0"/>
    <w:rsid w:val="00223B02"/>
    <w:rsid w:val="00223DF3"/>
    <w:rsid w:val="00223E41"/>
    <w:rsid w:val="002247FB"/>
    <w:rsid w:val="00224943"/>
    <w:rsid w:val="002249A1"/>
    <w:rsid w:val="00224E41"/>
    <w:rsid w:val="002252E4"/>
    <w:rsid w:val="00225964"/>
    <w:rsid w:val="00225A1E"/>
    <w:rsid w:val="00225BD3"/>
    <w:rsid w:val="002260C7"/>
    <w:rsid w:val="00226105"/>
    <w:rsid w:val="0022611F"/>
    <w:rsid w:val="002262D6"/>
    <w:rsid w:val="0022647F"/>
    <w:rsid w:val="00226765"/>
    <w:rsid w:val="00226D96"/>
    <w:rsid w:val="00227206"/>
    <w:rsid w:val="0022735C"/>
    <w:rsid w:val="0022736C"/>
    <w:rsid w:val="002277A1"/>
    <w:rsid w:val="00227D58"/>
    <w:rsid w:val="00227EA7"/>
    <w:rsid w:val="002301E0"/>
    <w:rsid w:val="002304DF"/>
    <w:rsid w:val="002304EF"/>
    <w:rsid w:val="002304F8"/>
    <w:rsid w:val="0023061B"/>
    <w:rsid w:val="00230A87"/>
    <w:rsid w:val="00230C18"/>
    <w:rsid w:val="002312ED"/>
    <w:rsid w:val="0023145D"/>
    <w:rsid w:val="00231612"/>
    <w:rsid w:val="002316D4"/>
    <w:rsid w:val="0023174B"/>
    <w:rsid w:val="0023178B"/>
    <w:rsid w:val="002318B6"/>
    <w:rsid w:val="002319FE"/>
    <w:rsid w:val="00231B39"/>
    <w:rsid w:val="00231C76"/>
    <w:rsid w:val="00231EDD"/>
    <w:rsid w:val="00232255"/>
    <w:rsid w:val="002323AD"/>
    <w:rsid w:val="00232808"/>
    <w:rsid w:val="002328C4"/>
    <w:rsid w:val="00232BF2"/>
    <w:rsid w:val="00232CE6"/>
    <w:rsid w:val="00232D30"/>
    <w:rsid w:val="00232F70"/>
    <w:rsid w:val="00233154"/>
    <w:rsid w:val="00233214"/>
    <w:rsid w:val="002333A2"/>
    <w:rsid w:val="0023367D"/>
    <w:rsid w:val="002337DD"/>
    <w:rsid w:val="0023380B"/>
    <w:rsid w:val="002338B5"/>
    <w:rsid w:val="002345D9"/>
    <w:rsid w:val="00234AF1"/>
    <w:rsid w:val="00234E55"/>
    <w:rsid w:val="00234EE1"/>
    <w:rsid w:val="00235002"/>
    <w:rsid w:val="00235436"/>
    <w:rsid w:val="002354D3"/>
    <w:rsid w:val="00235547"/>
    <w:rsid w:val="0023570F"/>
    <w:rsid w:val="00235916"/>
    <w:rsid w:val="0023595C"/>
    <w:rsid w:val="00235B08"/>
    <w:rsid w:val="00235E15"/>
    <w:rsid w:val="00236545"/>
    <w:rsid w:val="002365CF"/>
    <w:rsid w:val="00236720"/>
    <w:rsid w:val="002368CC"/>
    <w:rsid w:val="002369B2"/>
    <w:rsid w:val="00236B52"/>
    <w:rsid w:val="00236CDF"/>
    <w:rsid w:val="00236ED5"/>
    <w:rsid w:val="002371E2"/>
    <w:rsid w:val="002373BA"/>
    <w:rsid w:val="00237480"/>
    <w:rsid w:val="002376C5"/>
    <w:rsid w:val="00237AA0"/>
    <w:rsid w:val="00237B07"/>
    <w:rsid w:val="00237B2A"/>
    <w:rsid w:val="00237BEF"/>
    <w:rsid w:val="00237E15"/>
    <w:rsid w:val="00237E40"/>
    <w:rsid w:val="00237F14"/>
    <w:rsid w:val="002401A0"/>
    <w:rsid w:val="002402DB"/>
    <w:rsid w:val="00240574"/>
    <w:rsid w:val="00240629"/>
    <w:rsid w:val="002406F2"/>
    <w:rsid w:val="00240865"/>
    <w:rsid w:val="00240901"/>
    <w:rsid w:val="00240F23"/>
    <w:rsid w:val="00240FA3"/>
    <w:rsid w:val="00241066"/>
    <w:rsid w:val="002411F3"/>
    <w:rsid w:val="00241483"/>
    <w:rsid w:val="002418C5"/>
    <w:rsid w:val="00242093"/>
    <w:rsid w:val="002422B0"/>
    <w:rsid w:val="002426BD"/>
    <w:rsid w:val="00242943"/>
    <w:rsid w:val="00242948"/>
    <w:rsid w:val="00242973"/>
    <w:rsid w:val="00242ADE"/>
    <w:rsid w:val="00242D70"/>
    <w:rsid w:val="00242D80"/>
    <w:rsid w:val="00242EBD"/>
    <w:rsid w:val="002434F4"/>
    <w:rsid w:val="0024377F"/>
    <w:rsid w:val="00243B0F"/>
    <w:rsid w:val="00243BE5"/>
    <w:rsid w:val="00243CBF"/>
    <w:rsid w:val="00243DD7"/>
    <w:rsid w:val="00243E99"/>
    <w:rsid w:val="00243EB9"/>
    <w:rsid w:val="00243FB0"/>
    <w:rsid w:val="00243FE9"/>
    <w:rsid w:val="002441BB"/>
    <w:rsid w:val="00244430"/>
    <w:rsid w:val="002444C6"/>
    <w:rsid w:val="0024470B"/>
    <w:rsid w:val="002448A0"/>
    <w:rsid w:val="00244BEC"/>
    <w:rsid w:val="00244E5D"/>
    <w:rsid w:val="00244EB1"/>
    <w:rsid w:val="0024501C"/>
    <w:rsid w:val="00245122"/>
    <w:rsid w:val="002451FB"/>
    <w:rsid w:val="002454F4"/>
    <w:rsid w:val="002457FC"/>
    <w:rsid w:val="00245C81"/>
    <w:rsid w:val="002460E6"/>
    <w:rsid w:val="0024610E"/>
    <w:rsid w:val="002465AD"/>
    <w:rsid w:val="002469D5"/>
    <w:rsid w:val="00246C08"/>
    <w:rsid w:val="00247271"/>
    <w:rsid w:val="00247289"/>
    <w:rsid w:val="0024733A"/>
    <w:rsid w:val="00247431"/>
    <w:rsid w:val="00247458"/>
    <w:rsid w:val="002475BF"/>
    <w:rsid w:val="00247635"/>
    <w:rsid w:val="00247978"/>
    <w:rsid w:val="00247B09"/>
    <w:rsid w:val="00247C70"/>
    <w:rsid w:val="002505CD"/>
    <w:rsid w:val="00250B33"/>
    <w:rsid w:val="00250B98"/>
    <w:rsid w:val="00250E66"/>
    <w:rsid w:val="0025121F"/>
    <w:rsid w:val="00251308"/>
    <w:rsid w:val="0025186B"/>
    <w:rsid w:val="00251A3B"/>
    <w:rsid w:val="00251E5C"/>
    <w:rsid w:val="0025212C"/>
    <w:rsid w:val="00252668"/>
    <w:rsid w:val="00252705"/>
    <w:rsid w:val="00252929"/>
    <w:rsid w:val="00252B8B"/>
    <w:rsid w:val="00252D8D"/>
    <w:rsid w:val="00252DB2"/>
    <w:rsid w:val="00252DF1"/>
    <w:rsid w:val="00252E8E"/>
    <w:rsid w:val="00252F16"/>
    <w:rsid w:val="00253288"/>
    <w:rsid w:val="002532AD"/>
    <w:rsid w:val="002533F3"/>
    <w:rsid w:val="00253555"/>
    <w:rsid w:val="00253E84"/>
    <w:rsid w:val="00254030"/>
    <w:rsid w:val="002540B0"/>
    <w:rsid w:val="002540F3"/>
    <w:rsid w:val="0025415A"/>
    <w:rsid w:val="00254379"/>
    <w:rsid w:val="00254734"/>
    <w:rsid w:val="00254C62"/>
    <w:rsid w:val="00254E81"/>
    <w:rsid w:val="00254FD1"/>
    <w:rsid w:val="00255087"/>
    <w:rsid w:val="002550BA"/>
    <w:rsid w:val="0025564B"/>
    <w:rsid w:val="0025565C"/>
    <w:rsid w:val="00255706"/>
    <w:rsid w:val="00255A55"/>
    <w:rsid w:val="00255D88"/>
    <w:rsid w:val="00255E9C"/>
    <w:rsid w:val="00255F73"/>
    <w:rsid w:val="0025631B"/>
    <w:rsid w:val="00256841"/>
    <w:rsid w:val="00256C09"/>
    <w:rsid w:val="00257250"/>
    <w:rsid w:val="002577E2"/>
    <w:rsid w:val="00257929"/>
    <w:rsid w:val="002579E0"/>
    <w:rsid w:val="00257EBC"/>
    <w:rsid w:val="00257F1A"/>
    <w:rsid w:val="00260004"/>
    <w:rsid w:val="0026003B"/>
    <w:rsid w:val="002601C7"/>
    <w:rsid w:val="00260236"/>
    <w:rsid w:val="0026031E"/>
    <w:rsid w:val="00260EC5"/>
    <w:rsid w:val="0026114D"/>
    <w:rsid w:val="002612C4"/>
    <w:rsid w:val="00261476"/>
    <w:rsid w:val="00261697"/>
    <w:rsid w:val="00261CD7"/>
    <w:rsid w:val="0026230B"/>
    <w:rsid w:val="00262397"/>
    <w:rsid w:val="00262461"/>
    <w:rsid w:val="00262496"/>
    <w:rsid w:val="0026294D"/>
    <w:rsid w:val="002629EA"/>
    <w:rsid w:val="00262A62"/>
    <w:rsid w:val="00262D12"/>
    <w:rsid w:val="00262D2A"/>
    <w:rsid w:val="00263098"/>
    <w:rsid w:val="002635B8"/>
    <w:rsid w:val="00263609"/>
    <w:rsid w:val="00263794"/>
    <w:rsid w:val="00263B01"/>
    <w:rsid w:val="00264043"/>
    <w:rsid w:val="002649E7"/>
    <w:rsid w:val="00264B33"/>
    <w:rsid w:val="00264B67"/>
    <w:rsid w:val="00264CE3"/>
    <w:rsid w:val="00264DC5"/>
    <w:rsid w:val="00265160"/>
    <w:rsid w:val="002653DF"/>
    <w:rsid w:val="00265661"/>
    <w:rsid w:val="00265A3C"/>
    <w:rsid w:val="00265FFE"/>
    <w:rsid w:val="00266158"/>
    <w:rsid w:val="0026620D"/>
    <w:rsid w:val="00266250"/>
    <w:rsid w:val="00266627"/>
    <w:rsid w:val="00266780"/>
    <w:rsid w:val="00266A1B"/>
    <w:rsid w:val="00266AEE"/>
    <w:rsid w:val="00266AF4"/>
    <w:rsid w:val="00266B98"/>
    <w:rsid w:val="00266C03"/>
    <w:rsid w:val="00266E77"/>
    <w:rsid w:val="00267492"/>
    <w:rsid w:val="002674B7"/>
    <w:rsid w:val="002678D7"/>
    <w:rsid w:val="002679A9"/>
    <w:rsid w:val="00267B95"/>
    <w:rsid w:val="00267C39"/>
    <w:rsid w:val="00267DD0"/>
    <w:rsid w:val="0027060E"/>
    <w:rsid w:val="00270649"/>
    <w:rsid w:val="00270833"/>
    <w:rsid w:val="0027089D"/>
    <w:rsid w:val="00270A21"/>
    <w:rsid w:val="00270D20"/>
    <w:rsid w:val="00270D38"/>
    <w:rsid w:val="00271359"/>
    <w:rsid w:val="00271529"/>
    <w:rsid w:val="00271620"/>
    <w:rsid w:val="00271637"/>
    <w:rsid w:val="00271794"/>
    <w:rsid w:val="00271A8F"/>
    <w:rsid w:val="00271DD7"/>
    <w:rsid w:val="0027236B"/>
    <w:rsid w:val="002723A9"/>
    <w:rsid w:val="00272963"/>
    <w:rsid w:val="00272BC6"/>
    <w:rsid w:val="00272CC9"/>
    <w:rsid w:val="00272F1A"/>
    <w:rsid w:val="00272F41"/>
    <w:rsid w:val="00273236"/>
    <w:rsid w:val="00273443"/>
    <w:rsid w:val="00273774"/>
    <w:rsid w:val="002737DE"/>
    <w:rsid w:val="00273906"/>
    <w:rsid w:val="002739E9"/>
    <w:rsid w:val="00273B3D"/>
    <w:rsid w:val="00273C98"/>
    <w:rsid w:val="00274290"/>
    <w:rsid w:val="00274939"/>
    <w:rsid w:val="00274CDD"/>
    <w:rsid w:val="00274E0B"/>
    <w:rsid w:val="00274FCF"/>
    <w:rsid w:val="00274FDF"/>
    <w:rsid w:val="0027500E"/>
    <w:rsid w:val="00275092"/>
    <w:rsid w:val="00275412"/>
    <w:rsid w:val="00275419"/>
    <w:rsid w:val="002756F8"/>
    <w:rsid w:val="00275C20"/>
    <w:rsid w:val="00275CFF"/>
    <w:rsid w:val="00275D44"/>
    <w:rsid w:val="00275E38"/>
    <w:rsid w:val="00275F94"/>
    <w:rsid w:val="00275FE6"/>
    <w:rsid w:val="0027623E"/>
    <w:rsid w:val="002767DB"/>
    <w:rsid w:val="00276ACB"/>
    <w:rsid w:val="00276B21"/>
    <w:rsid w:val="00276C97"/>
    <w:rsid w:val="00276D9B"/>
    <w:rsid w:val="00276FAB"/>
    <w:rsid w:val="00277139"/>
    <w:rsid w:val="002771D3"/>
    <w:rsid w:val="0027729C"/>
    <w:rsid w:val="002774CF"/>
    <w:rsid w:val="0027761F"/>
    <w:rsid w:val="0027764F"/>
    <w:rsid w:val="0027776A"/>
    <w:rsid w:val="002777DD"/>
    <w:rsid w:val="0027789C"/>
    <w:rsid w:val="00277A35"/>
    <w:rsid w:val="00277CDA"/>
    <w:rsid w:val="002800CD"/>
    <w:rsid w:val="002800DE"/>
    <w:rsid w:val="00280239"/>
    <w:rsid w:val="002803E5"/>
    <w:rsid w:val="0028047C"/>
    <w:rsid w:val="0028064B"/>
    <w:rsid w:val="002808E9"/>
    <w:rsid w:val="00280AAA"/>
    <w:rsid w:val="00280C8C"/>
    <w:rsid w:val="00280FA0"/>
    <w:rsid w:val="00281178"/>
    <w:rsid w:val="00281D9F"/>
    <w:rsid w:val="00282049"/>
    <w:rsid w:val="002820E3"/>
    <w:rsid w:val="00282A54"/>
    <w:rsid w:val="00282B07"/>
    <w:rsid w:val="00282DCC"/>
    <w:rsid w:val="002831BB"/>
    <w:rsid w:val="002832A9"/>
    <w:rsid w:val="0028334B"/>
    <w:rsid w:val="00283443"/>
    <w:rsid w:val="00283510"/>
    <w:rsid w:val="002839EB"/>
    <w:rsid w:val="00283B59"/>
    <w:rsid w:val="00283B9A"/>
    <w:rsid w:val="00283BF7"/>
    <w:rsid w:val="00284257"/>
    <w:rsid w:val="00284273"/>
    <w:rsid w:val="002843A0"/>
    <w:rsid w:val="002845EA"/>
    <w:rsid w:val="00284603"/>
    <w:rsid w:val="002846A1"/>
    <w:rsid w:val="00284B47"/>
    <w:rsid w:val="00284FDB"/>
    <w:rsid w:val="0028503E"/>
    <w:rsid w:val="002850DA"/>
    <w:rsid w:val="00285215"/>
    <w:rsid w:val="00285235"/>
    <w:rsid w:val="002852D9"/>
    <w:rsid w:val="0028540E"/>
    <w:rsid w:val="002854D7"/>
    <w:rsid w:val="00285544"/>
    <w:rsid w:val="0028556E"/>
    <w:rsid w:val="002856C1"/>
    <w:rsid w:val="00285949"/>
    <w:rsid w:val="002859F6"/>
    <w:rsid w:val="00285A08"/>
    <w:rsid w:val="00285D95"/>
    <w:rsid w:val="002862D7"/>
    <w:rsid w:val="002863A4"/>
    <w:rsid w:val="002863BD"/>
    <w:rsid w:val="0028652E"/>
    <w:rsid w:val="0028714B"/>
    <w:rsid w:val="002879CE"/>
    <w:rsid w:val="00287A85"/>
    <w:rsid w:val="00287B07"/>
    <w:rsid w:val="0029015D"/>
    <w:rsid w:val="002904EA"/>
    <w:rsid w:val="00290792"/>
    <w:rsid w:val="00290995"/>
    <w:rsid w:val="00290A4D"/>
    <w:rsid w:val="00290ADE"/>
    <w:rsid w:val="00290B8D"/>
    <w:rsid w:val="00290C05"/>
    <w:rsid w:val="002911E1"/>
    <w:rsid w:val="00291234"/>
    <w:rsid w:val="00291322"/>
    <w:rsid w:val="002914A9"/>
    <w:rsid w:val="00291508"/>
    <w:rsid w:val="0029167B"/>
    <w:rsid w:val="002917C6"/>
    <w:rsid w:val="002918AE"/>
    <w:rsid w:val="00291B68"/>
    <w:rsid w:val="00291D00"/>
    <w:rsid w:val="00292226"/>
    <w:rsid w:val="002923F4"/>
    <w:rsid w:val="00292B9D"/>
    <w:rsid w:val="00293061"/>
    <w:rsid w:val="002930B0"/>
    <w:rsid w:val="00293633"/>
    <w:rsid w:val="00293A6C"/>
    <w:rsid w:val="00293AE7"/>
    <w:rsid w:val="00293DFE"/>
    <w:rsid w:val="00294474"/>
    <w:rsid w:val="002945D0"/>
    <w:rsid w:val="0029474E"/>
    <w:rsid w:val="00294768"/>
    <w:rsid w:val="0029484A"/>
    <w:rsid w:val="00294CB7"/>
    <w:rsid w:val="00294D48"/>
    <w:rsid w:val="00294D7A"/>
    <w:rsid w:val="002952AD"/>
    <w:rsid w:val="00295550"/>
    <w:rsid w:val="0029565D"/>
    <w:rsid w:val="002956C0"/>
    <w:rsid w:val="00295AD4"/>
    <w:rsid w:val="00295CE3"/>
    <w:rsid w:val="0029622F"/>
    <w:rsid w:val="0029676E"/>
    <w:rsid w:val="00296928"/>
    <w:rsid w:val="00296DBE"/>
    <w:rsid w:val="002970FF"/>
    <w:rsid w:val="0029718E"/>
    <w:rsid w:val="002971AB"/>
    <w:rsid w:val="002971B0"/>
    <w:rsid w:val="0029748D"/>
    <w:rsid w:val="002975F7"/>
    <w:rsid w:val="0029773D"/>
    <w:rsid w:val="00297E9C"/>
    <w:rsid w:val="00297F24"/>
    <w:rsid w:val="002A020C"/>
    <w:rsid w:val="002A0819"/>
    <w:rsid w:val="002A09B2"/>
    <w:rsid w:val="002A0A17"/>
    <w:rsid w:val="002A0D0B"/>
    <w:rsid w:val="002A0E34"/>
    <w:rsid w:val="002A0E39"/>
    <w:rsid w:val="002A1FE4"/>
    <w:rsid w:val="002A1FF4"/>
    <w:rsid w:val="002A2649"/>
    <w:rsid w:val="002A2A7B"/>
    <w:rsid w:val="002A2D15"/>
    <w:rsid w:val="002A2F24"/>
    <w:rsid w:val="002A373F"/>
    <w:rsid w:val="002A3C91"/>
    <w:rsid w:val="002A3CE9"/>
    <w:rsid w:val="002A4155"/>
    <w:rsid w:val="002A4260"/>
    <w:rsid w:val="002A4388"/>
    <w:rsid w:val="002A471C"/>
    <w:rsid w:val="002A499E"/>
    <w:rsid w:val="002A4B79"/>
    <w:rsid w:val="002A4D80"/>
    <w:rsid w:val="002A4E59"/>
    <w:rsid w:val="002A4ECC"/>
    <w:rsid w:val="002A4FEB"/>
    <w:rsid w:val="002A51EC"/>
    <w:rsid w:val="002A524E"/>
    <w:rsid w:val="002A5461"/>
    <w:rsid w:val="002A5464"/>
    <w:rsid w:val="002A54A8"/>
    <w:rsid w:val="002A555B"/>
    <w:rsid w:val="002A5723"/>
    <w:rsid w:val="002A5A21"/>
    <w:rsid w:val="002A5A9C"/>
    <w:rsid w:val="002A5E5F"/>
    <w:rsid w:val="002A5F8F"/>
    <w:rsid w:val="002A62A0"/>
    <w:rsid w:val="002A6836"/>
    <w:rsid w:val="002A7010"/>
    <w:rsid w:val="002A7050"/>
    <w:rsid w:val="002A709F"/>
    <w:rsid w:val="002A72DE"/>
    <w:rsid w:val="002A75F1"/>
    <w:rsid w:val="002A7705"/>
    <w:rsid w:val="002A7BC9"/>
    <w:rsid w:val="002B014E"/>
    <w:rsid w:val="002B0548"/>
    <w:rsid w:val="002B0DEB"/>
    <w:rsid w:val="002B0DFA"/>
    <w:rsid w:val="002B1513"/>
    <w:rsid w:val="002B16EF"/>
    <w:rsid w:val="002B2257"/>
    <w:rsid w:val="002B22F0"/>
    <w:rsid w:val="002B24A6"/>
    <w:rsid w:val="002B2523"/>
    <w:rsid w:val="002B2645"/>
    <w:rsid w:val="002B26A4"/>
    <w:rsid w:val="002B3038"/>
    <w:rsid w:val="002B3250"/>
    <w:rsid w:val="002B3462"/>
    <w:rsid w:val="002B36CF"/>
    <w:rsid w:val="002B3701"/>
    <w:rsid w:val="002B393E"/>
    <w:rsid w:val="002B39E6"/>
    <w:rsid w:val="002B3A2B"/>
    <w:rsid w:val="002B4315"/>
    <w:rsid w:val="002B4417"/>
    <w:rsid w:val="002B475C"/>
    <w:rsid w:val="002B49D3"/>
    <w:rsid w:val="002B49D8"/>
    <w:rsid w:val="002B4BCE"/>
    <w:rsid w:val="002B4DD1"/>
    <w:rsid w:val="002B530F"/>
    <w:rsid w:val="002B54B9"/>
    <w:rsid w:val="002B5DDA"/>
    <w:rsid w:val="002B5E02"/>
    <w:rsid w:val="002B5E29"/>
    <w:rsid w:val="002B6021"/>
    <w:rsid w:val="002B62E1"/>
    <w:rsid w:val="002B638A"/>
    <w:rsid w:val="002B67E3"/>
    <w:rsid w:val="002B6AF6"/>
    <w:rsid w:val="002B70B8"/>
    <w:rsid w:val="002B72CE"/>
    <w:rsid w:val="002B793D"/>
    <w:rsid w:val="002B794C"/>
    <w:rsid w:val="002B7A9C"/>
    <w:rsid w:val="002B7C41"/>
    <w:rsid w:val="002B7D45"/>
    <w:rsid w:val="002C056B"/>
    <w:rsid w:val="002C0774"/>
    <w:rsid w:val="002C0B02"/>
    <w:rsid w:val="002C0B9F"/>
    <w:rsid w:val="002C0BBA"/>
    <w:rsid w:val="002C148E"/>
    <w:rsid w:val="002C172F"/>
    <w:rsid w:val="002C1773"/>
    <w:rsid w:val="002C18D2"/>
    <w:rsid w:val="002C1911"/>
    <w:rsid w:val="002C1AB0"/>
    <w:rsid w:val="002C1B83"/>
    <w:rsid w:val="002C1C86"/>
    <w:rsid w:val="002C1F61"/>
    <w:rsid w:val="002C2287"/>
    <w:rsid w:val="002C23CA"/>
    <w:rsid w:val="002C2425"/>
    <w:rsid w:val="002C246C"/>
    <w:rsid w:val="002C27B8"/>
    <w:rsid w:val="002C2A2D"/>
    <w:rsid w:val="002C2B51"/>
    <w:rsid w:val="002C2C35"/>
    <w:rsid w:val="002C2C3D"/>
    <w:rsid w:val="002C2F21"/>
    <w:rsid w:val="002C2F2A"/>
    <w:rsid w:val="002C2FAF"/>
    <w:rsid w:val="002C2FE0"/>
    <w:rsid w:val="002C307F"/>
    <w:rsid w:val="002C30FF"/>
    <w:rsid w:val="002C3255"/>
    <w:rsid w:val="002C34E0"/>
    <w:rsid w:val="002C382B"/>
    <w:rsid w:val="002C3940"/>
    <w:rsid w:val="002C39EB"/>
    <w:rsid w:val="002C4225"/>
    <w:rsid w:val="002C434E"/>
    <w:rsid w:val="002C441D"/>
    <w:rsid w:val="002C44D0"/>
    <w:rsid w:val="002C47F2"/>
    <w:rsid w:val="002C4CA2"/>
    <w:rsid w:val="002C4D36"/>
    <w:rsid w:val="002C4D49"/>
    <w:rsid w:val="002C4DCF"/>
    <w:rsid w:val="002C4F93"/>
    <w:rsid w:val="002C57ED"/>
    <w:rsid w:val="002C5D89"/>
    <w:rsid w:val="002C5E9A"/>
    <w:rsid w:val="002C5F01"/>
    <w:rsid w:val="002C5FC3"/>
    <w:rsid w:val="002C61EA"/>
    <w:rsid w:val="002C6271"/>
    <w:rsid w:val="002C6294"/>
    <w:rsid w:val="002C6652"/>
    <w:rsid w:val="002C66F7"/>
    <w:rsid w:val="002C675B"/>
    <w:rsid w:val="002C6B68"/>
    <w:rsid w:val="002C7686"/>
    <w:rsid w:val="002C77CD"/>
    <w:rsid w:val="002C77D0"/>
    <w:rsid w:val="002C77D3"/>
    <w:rsid w:val="002C7A0A"/>
    <w:rsid w:val="002C7AE4"/>
    <w:rsid w:val="002C7B7C"/>
    <w:rsid w:val="002C7BB5"/>
    <w:rsid w:val="002C7E45"/>
    <w:rsid w:val="002C7E5F"/>
    <w:rsid w:val="002D005B"/>
    <w:rsid w:val="002D014D"/>
    <w:rsid w:val="002D0182"/>
    <w:rsid w:val="002D02E0"/>
    <w:rsid w:val="002D0B65"/>
    <w:rsid w:val="002D0B8E"/>
    <w:rsid w:val="002D0DE7"/>
    <w:rsid w:val="002D0F40"/>
    <w:rsid w:val="002D1218"/>
    <w:rsid w:val="002D154B"/>
    <w:rsid w:val="002D1642"/>
    <w:rsid w:val="002D17CD"/>
    <w:rsid w:val="002D193E"/>
    <w:rsid w:val="002D1BAB"/>
    <w:rsid w:val="002D1EA0"/>
    <w:rsid w:val="002D2439"/>
    <w:rsid w:val="002D290A"/>
    <w:rsid w:val="002D29A3"/>
    <w:rsid w:val="002D2D97"/>
    <w:rsid w:val="002D2E5C"/>
    <w:rsid w:val="002D31B1"/>
    <w:rsid w:val="002D31C5"/>
    <w:rsid w:val="002D3407"/>
    <w:rsid w:val="002D382D"/>
    <w:rsid w:val="002D3CEC"/>
    <w:rsid w:val="002D3F16"/>
    <w:rsid w:val="002D3FE9"/>
    <w:rsid w:val="002D41B5"/>
    <w:rsid w:val="002D4832"/>
    <w:rsid w:val="002D49B9"/>
    <w:rsid w:val="002D49DF"/>
    <w:rsid w:val="002D4B1D"/>
    <w:rsid w:val="002D4B76"/>
    <w:rsid w:val="002D4BBD"/>
    <w:rsid w:val="002D4D75"/>
    <w:rsid w:val="002D4FB0"/>
    <w:rsid w:val="002D5280"/>
    <w:rsid w:val="002D5298"/>
    <w:rsid w:val="002D52D3"/>
    <w:rsid w:val="002D5638"/>
    <w:rsid w:val="002D59AC"/>
    <w:rsid w:val="002D5EB3"/>
    <w:rsid w:val="002D6006"/>
    <w:rsid w:val="002D6069"/>
    <w:rsid w:val="002D61B9"/>
    <w:rsid w:val="002D6239"/>
    <w:rsid w:val="002D6285"/>
    <w:rsid w:val="002D6346"/>
    <w:rsid w:val="002D655C"/>
    <w:rsid w:val="002D6F50"/>
    <w:rsid w:val="002D6F8B"/>
    <w:rsid w:val="002D716D"/>
    <w:rsid w:val="002D7889"/>
    <w:rsid w:val="002D7997"/>
    <w:rsid w:val="002D7E2A"/>
    <w:rsid w:val="002E00E1"/>
    <w:rsid w:val="002E0204"/>
    <w:rsid w:val="002E0440"/>
    <w:rsid w:val="002E0528"/>
    <w:rsid w:val="002E0581"/>
    <w:rsid w:val="002E0724"/>
    <w:rsid w:val="002E097A"/>
    <w:rsid w:val="002E0B7E"/>
    <w:rsid w:val="002E0BEB"/>
    <w:rsid w:val="002E0D1E"/>
    <w:rsid w:val="002E1028"/>
    <w:rsid w:val="002E15EC"/>
    <w:rsid w:val="002E16B3"/>
    <w:rsid w:val="002E16B8"/>
    <w:rsid w:val="002E1893"/>
    <w:rsid w:val="002E1899"/>
    <w:rsid w:val="002E1A61"/>
    <w:rsid w:val="002E1C46"/>
    <w:rsid w:val="002E1C71"/>
    <w:rsid w:val="002E1E3B"/>
    <w:rsid w:val="002E24AA"/>
    <w:rsid w:val="002E2DBA"/>
    <w:rsid w:val="002E311A"/>
    <w:rsid w:val="002E31CB"/>
    <w:rsid w:val="002E333D"/>
    <w:rsid w:val="002E3568"/>
    <w:rsid w:val="002E356C"/>
    <w:rsid w:val="002E3BB9"/>
    <w:rsid w:val="002E46CF"/>
    <w:rsid w:val="002E48DB"/>
    <w:rsid w:val="002E4C1C"/>
    <w:rsid w:val="002E4C79"/>
    <w:rsid w:val="002E4F06"/>
    <w:rsid w:val="002E55BC"/>
    <w:rsid w:val="002E59A7"/>
    <w:rsid w:val="002E5B02"/>
    <w:rsid w:val="002E5DDB"/>
    <w:rsid w:val="002E5E60"/>
    <w:rsid w:val="002E6075"/>
    <w:rsid w:val="002E61CF"/>
    <w:rsid w:val="002E6333"/>
    <w:rsid w:val="002E7572"/>
    <w:rsid w:val="002E7A07"/>
    <w:rsid w:val="002E7BB2"/>
    <w:rsid w:val="002E7FAD"/>
    <w:rsid w:val="002F027D"/>
    <w:rsid w:val="002F0522"/>
    <w:rsid w:val="002F063E"/>
    <w:rsid w:val="002F06F0"/>
    <w:rsid w:val="002F09B1"/>
    <w:rsid w:val="002F0A48"/>
    <w:rsid w:val="002F0BBF"/>
    <w:rsid w:val="002F14BC"/>
    <w:rsid w:val="002F1532"/>
    <w:rsid w:val="002F160B"/>
    <w:rsid w:val="002F1A49"/>
    <w:rsid w:val="002F1CFA"/>
    <w:rsid w:val="002F1D84"/>
    <w:rsid w:val="002F1E2D"/>
    <w:rsid w:val="002F25B6"/>
    <w:rsid w:val="002F27B1"/>
    <w:rsid w:val="002F27B4"/>
    <w:rsid w:val="002F2AC0"/>
    <w:rsid w:val="002F2C4D"/>
    <w:rsid w:val="002F2FB0"/>
    <w:rsid w:val="002F3028"/>
    <w:rsid w:val="002F315C"/>
    <w:rsid w:val="002F32BD"/>
    <w:rsid w:val="002F3653"/>
    <w:rsid w:val="002F3798"/>
    <w:rsid w:val="002F383E"/>
    <w:rsid w:val="002F39D9"/>
    <w:rsid w:val="002F3B2B"/>
    <w:rsid w:val="002F3C7C"/>
    <w:rsid w:val="002F4021"/>
    <w:rsid w:val="002F41CF"/>
    <w:rsid w:val="002F42D5"/>
    <w:rsid w:val="002F4552"/>
    <w:rsid w:val="002F48D1"/>
    <w:rsid w:val="002F4BAD"/>
    <w:rsid w:val="002F4CF7"/>
    <w:rsid w:val="002F4D47"/>
    <w:rsid w:val="002F4E25"/>
    <w:rsid w:val="002F4F77"/>
    <w:rsid w:val="002F50F9"/>
    <w:rsid w:val="002F52AF"/>
    <w:rsid w:val="002F53B1"/>
    <w:rsid w:val="002F5D2F"/>
    <w:rsid w:val="002F6272"/>
    <w:rsid w:val="002F6F5D"/>
    <w:rsid w:val="002F6FAE"/>
    <w:rsid w:val="002F7085"/>
    <w:rsid w:val="002F70A8"/>
    <w:rsid w:val="002F74AB"/>
    <w:rsid w:val="002F7AF2"/>
    <w:rsid w:val="002F7B62"/>
    <w:rsid w:val="002F7DB8"/>
    <w:rsid w:val="002F7E4F"/>
    <w:rsid w:val="00300021"/>
    <w:rsid w:val="00300178"/>
    <w:rsid w:val="003002DA"/>
    <w:rsid w:val="00300479"/>
    <w:rsid w:val="003004C9"/>
    <w:rsid w:val="00300501"/>
    <w:rsid w:val="0030089C"/>
    <w:rsid w:val="00300BEB"/>
    <w:rsid w:val="00300C29"/>
    <w:rsid w:val="00300C87"/>
    <w:rsid w:val="00300DF9"/>
    <w:rsid w:val="00300E2E"/>
    <w:rsid w:val="00301249"/>
    <w:rsid w:val="0030153A"/>
    <w:rsid w:val="003017CF"/>
    <w:rsid w:val="0030185F"/>
    <w:rsid w:val="003019C2"/>
    <w:rsid w:val="00301ADF"/>
    <w:rsid w:val="00301DAC"/>
    <w:rsid w:val="00302012"/>
    <w:rsid w:val="0030204D"/>
    <w:rsid w:val="00302116"/>
    <w:rsid w:val="003021C9"/>
    <w:rsid w:val="003021DE"/>
    <w:rsid w:val="0030233A"/>
    <w:rsid w:val="00302430"/>
    <w:rsid w:val="00302485"/>
    <w:rsid w:val="003027E0"/>
    <w:rsid w:val="00302F67"/>
    <w:rsid w:val="003030A6"/>
    <w:rsid w:val="00303235"/>
    <w:rsid w:val="003032A1"/>
    <w:rsid w:val="003032E2"/>
    <w:rsid w:val="00303360"/>
    <w:rsid w:val="003033FF"/>
    <w:rsid w:val="00303418"/>
    <w:rsid w:val="0030345A"/>
    <w:rsid w:val="00303B18"/>
    <w:rsid w:val="003043BC"/>
    <w:rsid w:val="003045DF"/>
    <w:rsid w:val="00304817"/>
    <w:rsid w:val="00304A17"/>
    <w:rsid w:val="00304B2B"/>
    <w:rsid w:val="00304EBD"/>
    <w:rsid w:val="0030506A"/>
    <w:rsid w:val="003053A4"/>
    <w:rsid w:val="003053C0"/>
    <w:rsid w:val="0030542D"/>
    <w:rsid w:val="00305573"/>
    <w:rsid w:val="003055A3"/>
    <w:rsid w:val="003056C4"/>
    <w:rsid w:val="00305AD8"/>
    <w:rsid w:val="00305CE8"/>
    <w:rsid w:val="00305F1A"/>
    <w:rsid w:val="00306AA7"/>
    <w:rsid w:val="00307160"/>
    <w:rsid w:val="00307242"/>
    <w:rsid w:val="0030745E"/>
    <w:rsid w:val="003074CE"/>
    <w:rsid w:val="00307553"/>
    <w:rsid w:val="00307586"/>
    <w:rsid w:val="003077B3"/>
    <w:rsid w:val="00307A5A"/>
    <w:rsid w:val="00307B0A"/>
    <w:rsid w:val="00307B2C"/>
    <w:rsid w:val="00307C5D"/>
    <w:rsid w:val="00307C98"/>
    <w:rsid w:val="00307D89"/>
    <w:rsid w:val="0031011E"/>
    <w:rsid w:val="0031019E"/>
    <w:rsid w:val="003103AC"/>
    <w:rsid w:val="00310444"/>
    <w:rsid w:val="00310756"/>
    <w:rsid w:val="00310949"/>
    <w:rsid w:val="00310E7D"/>
    <w:rsid w:val="00310F52"/>
    <w:rsid w:val="003112F7"/>
    <w:rsid w:val="00311447"/>
    <w:rsid w:val="00311833"/>
    <w:rsid w:val="003119B5"/>
    <w:rsid w:val="00311C87"/>
    <w:rsid w:val="00311CC8"/>
    <w:rsid w:val="00311F0F"/>
    <w:rsid w:val="00312584"/>
    <w:rsid w:val="00312585"/>
    <w:rsid w:val="00312BF8"/>
    <w:rsid w:val="00312CF3"/>
    <w:rsid w:val="00312D61"/>
    <w:rsid w:val="00312E6A"/>
    <w:rsid w:val="0031331B"/>
    <w:rsid w:val="003138D1"/>
    <w:rsid w:val="003139F8"/>
    <w:rsid w:val="00313E29"/>
    <w:rsid w:val="003141DF"/>
    <w:rsid w:val="00314507"/>
    <w:rsid w:val="003147BE"/>
    <w:rsid w:val="00314C93"/>
    <w:rsid w:val="00314D1C"/>
    <w:rsid w:val="00314EEF"/>
    <w:rsid w:val="003150C3"/>
    <w:rsid w:val="00315607"/>
    <w:rsid w:val="003157B7"/>
    <w:rsid w:val="00315AC4"/>
    <w:rsid w:val="00315B2E"/>
    <w:rsid w:val="00315DC3"/>
    <w:rsid w:val="0031613A"/>
    <w:rsid w:val="00316583"/>
    <w:rsid w:val="0031685A"/>
    <w:rsid w:val="00316C1E"/>
    <w:rsid w:val="00316D01"/>
    <w:rsid w:val="00316EEA"/>
    <w:rsid w:val="00316EF4"/>
    <w:rsid w:val="00317007"/>
    <w:rsid w:val="00317013"/>
    <w:rsid w:val="00317064"/>
    <w:rsid w:val="0031722B"/>
    <w:rsid w:val="003174FA"/>
    <w:rsid w:val="003175EE"/>
    <w:rsid w:val="00317669"/>
    <w:rsid w:val="00317D23"/>
    <w:rsid w:val="00317E35"/>
    <w:rsid w:val="00317F04"/>
    <w:rsid w:val="0032002B"/>
    <w:rsid w:val="00320209"/>
    <w:rsid w:val="00320217"/>
    <w:rsid w:val="003202BF"/>
    <w:rsid w:val="00320465"/>
    <w:rsid w:val="00320505"/>
    <w:rsid w:val="00320A26"/>
    <w:rsid w:val="00320C57"/>
    <w:rsid w:val="00320E2B"/>
    <w:rsid w:val="00320E4F"/>
    <w:rsid w:val="00320FDD"/>
    <w:rsid w:val="00321187"/>
    <w:rsid w:val="003218BC"/>
    <w:rsid w:val="003218F0"/>
    <w:rsid w:val="00321A44"/>
    <w:rsid w:val="00321BA7"/>
    <w:rsid w:val="00321C08"/>
    <w:rsid w:val="00321EB1"/>
    <w:rsid w:val="0032245C"/>
    <w:rsid w:val="003224E6"/>
    <w:rsid w:val="0032283E"/>
    <w:rsid w:val="00322BCF"/>
    <w:rsid w:val="00322C06"/>
    <w:rsid w:val="00322C71"/>
    <w:rsid w:val="00322F23"/>
    <w:rsid w:val="00323278"/>
    <w:rsid w:val="003235E0"/>
    <w:rsid w:val="0032372F"/>
    <w:rsid w:val="00323834"/>
    <w:rsid w:val="00323BC0"/>
    <w:rsid w:val="00323D3E"/>
    <w:rsid w:val="00323F03"/>
    <w:rsid w:val="00324048"/>
    <w:rsid w:val="003241C2"/>
    <w:rsid w:val="0032464E"/>
    <w:rsid w:val="00324656"/>
    <w:rsid w:val="00324B51"/>
    <w:rsid w:val="00324BC1"/>
    <w:rsid w:val="003250D7"/>
    <w:rsid w:val="003252A4"/>
    <w:rsid w:val="0032533E"/>
    <w:rsid w:val="00325345"/>
    <w:rsid w:val="00325563"/>
    <w:rsid w:val="0032566E"/>
    <w:rsid w:val="003257CB"/>
    <w:rsid w:val="00325C83"/>
    <w:rsid w:val="00325E4A"/>
    <w:rsid w:val="00326114"/>
    <w:rsid w:val="0032625A"/>
    <w:rsid w:val="00326385"/>
    <w:rsid w:val="00326680"/>
    <w:rsid w:val="0032672E"/>
    <w:rsid w:val="00326869"/>
    <w:rsid w:val="003268C8"/>
    <w:rsid w:val="00326BC8"/>
    <w:rsid w:val="00326C85"/>
    <w:rsid w:val="00326EC3"/>
    <w:rsid w:val="00327296"/>
    <w:rsid w:val="00327365"/>
    <w:rsid w:val="00327623"/>
    <w:rsid w:val="00327A38"/>
    <w:rsid w:val="00327A97"/>
    <w:rsid w:val="00327C3D"/>
    <w:rsid w:val="00327EAB"/>
    <w:rsid w:val="0033038B"/>
    <w:rsid w:val="00330542"/>
    <w:rsid w:val="0033076C"/>
    <w:rsid w:val="00330810"/>
    <w:rsid w:val="003309D4"/>
    <w:rsid w:val="00330C85"/>
    <w:rsid w:val="00330FCD"/>
    <w:rsid w:val="00331464"/>
    <w:rsid w:val="00331564"/>
    <w:rsid w:val="003315EA"/>
    <w:rsid w:val="0033168D"/>
    <w:rsid w:val="00331DB3"/>
    <w:rsid w:val="00331E98"/>
    <w:rsid w:val="00332122"/>
    <w:rsid w:val="00332198"/>
    <w:rsid w:val="00332519"/>
    <w:rsid w:val="0033251E"/>
    <w:rsid w:val="0033254C"/>
    <w:rsid w:val="00332808"/>
    <w:rsid w:val="003328BF"/>
    <w:rsid w:val="00332A2A"/>
    <w:rsid w:val="00332B13"/>
    <w:rsid w:val="00332D19"/>
    <w:rsid w:val="00333026"/>
    <w:rsid w:val="00333059"/>
    <w:rsid w:val="00333131"/>
    <w:rsid w:val="00333562"/>
    <w:rsid w:val="003336E4"/>
    <w:rsid w:val="00333876"/>
    <w:rsid w:val="00333879"/>
    <w:rsid w:val="003339C0"/>
    <w:rsid w:val="00333A85"/>
    <w:rsid w:val="00334464"/>
    <w:rsid w:val="003344C6"/>
    <w:rsid w:val="00334502"/>
    <w:rsid w:val="00334513"/>
    <w:rsid w:val="00334712"/>
    <w:rsid w:val="00334804"/>
    <w:rsid w:val="00334BCF"/>
    <w:rsid w:val="00334E7D"/>
    <w:rsid w:val="003350AE"/>
    <w:rsid w:val="00335335"/>
    <w:rsid w:val="0033535D"/>
    <w:rsid w:val="003359EA"/>
    <w:rsid w:val="00335F09"/>
    <w:rsid w:val="00335F20"/>
    <w:rsid w:val="0033627F"/>
    <w:rsid w:val="003363A0"/>
    <w:rsid w:val="0033651F"/>
    <w:rsid w:val="00336546"/>
    <w:rsid w:val="00336814"/>
    <w:rsid w:val="00336BC5"/>
    <w:rsid w:val="00337643"/>
    <w:rsid w:val="003376D9"/>
    <w:rsid w:val="00337A66"/>
    <w:rsid w:val="003401A0"/>
    <w:rsid w:val="003402F5"/>
    <w:rsid w:val="0034030D"/>
    <w:rsid w:val="00340690"/>
    <w:rsid w:val="00340717"/>
    <w:rsid w:val="00340A6A"/>
    <w:rsid w:val="00340C84"/>
    <w:rsid w:val="00341183"/>
    <w:rsid w:val="00341231"/>
    <w:rsid w:val="00341694"/>
    <w:rsid w:val="003417A8"/>
    <w:rsid w:val="00341BC6"/>
    <w:rsid w:val="00341CE6"/>
    <w:rsid w:val="0034208D"/>
    <w:rsid w:val="003421E1"/>
    <w:rsid w:val="00342325"/>
    <w:rsid w:val="0034299F"/>
    <w:rsid w:val="00342E77"/>
    <w:rsid w:val="00342EF5"/>
    <w:rsid w:val="00342F60"/>
    <w:rsid w:val="0034300F"/>
    <w:rsid w:val="00343271"/>
    <w:rsid w:val="00343435"/>
    <w:rsid w:val="003436C6"/>
    <w:rsid w:val="00343781"/>
    <w:rsid w:val="003437A2"/>
    <w:rsid w:val="0034385E"/>
    <w:rsid w:val="00343CD3"/>
    <w:rsid w:val="00343E63"/>
    <w:rsid w:val="0034415B"/>
    <w:rsid w:val="003442E0"/>
    <w:rsid w:val="003447C0"/>
    <w:rsid w:val="003447D6"/>
    <w:rsid w:val="003449D0"/>
    <w:rsid w:val="00344A1D"/>
    <w:rsid w:val="00344F39"/>
    <w:rsid w:val="00344FF3"/>
    <w:rsid w:val="00345071"/>
    <w:rsid w:val="003454FC"/>
    <w:rsid w:val="00345563"/>
    <w:rsid w:val="00345566"/>
    <w:rsid w:val="003455A2"/>
    <w:rsid w:val="00345618"/>
    <w:rsid w:val="0034569E"/>
    <w:rsid w:val="00345C0F"/>
    <w:rsid w:val="00345E9E"/>
    <w:rsid w:val="00346047"/>
    <w:rsid w:val="0034606E"/>
    <w:rsid w:val="00346138"/>
    <w:rsid w:val="0034616E"/>
    <w:rsid w:val="00346278"/>
    <w:rsid w:val="003464BC"/>
    <w:rsid w:val="00346704"/>
    <w:rsid w:val="0034671A"/>
    <w:rsid w:val="00346D06"/>
    <w:rsid w:val="00346DE7"/>
    <w:rsid w:val="00346E1D"/>
    <w:rsid w:val="0034715C"/>
    <w:rsid w:val="003473EB"/>
    <w:rsid w:val="00347534"/>
    <w:rsid w:val="00347740"/>
    <w:rsid w:val="00347A88"/>
    <w:rsid w:val="00347ACF"/>
    <w:rsid w:val="00347DEC"/>
    <w:rsid w:val="00347F5E"/>
    <w:rsid w:val="00350436"/>
    <w:rsid w:val="003508CC"/>
    <w:rsid w:val="00350CB8"/>
    <w:rsid w:val="00350CDE"/>
    <w:rsid w:val="00350CDF"/>
    <w:rsid w:val="00350DE8"/>
    <w:rsid w:val="00350E5F"/>
    <w:rsid w:val="003512AF"/>
    <w:rsid w:val="00351589"/>
    <w:rsid w:val="003515C1"/>
    <w:rsid w:val="00351681"/>
    <w:rsid w:val="0035186D"/>
    <w:rsid w:val="00351A07"/>
    <w:rsid w:val="00351A08"/>
    <w:rsid w:val="003520C6"/>
    <w:rsid w:val="00352C99"/>
    <w:rsid w:val="00352D09"/>
    <w:rsid w:val="00352F98"/>
    <w:rsid w:val="00352FAD"/>
    <w:rsid w:val="00353262"/>
    <w:rsid w:val="00353871"/>
    <w:rsid w:val="00353A1C"/>
    <w:rsid w:val="00353AD5"/>
    <w:rsid w:val="00353AFB"/>
    <w:rsid w:val="00353E31"/>
    <w:rsid w:val="0035410A"/>
    <w:rsid w:val="003543F2"/>
    <w:rsid w:val="0035457D"/>
    <w:rsid w:val="003545A9"/>
    <w:rsid w:val="00354894"/>
    <w:rsid w:val="003548C5"/>
    <w:rsid w:val="003548F9"/>
    <w:rsid w:val="00354D53"/>
    <w:rsid w:val="00355024"/>
    <w:rsid w:val="0035503F"/>
    <w:rsid w:val="00355108"/>
    <w:rsid w:val="0035528F"/>
    <w:rsid w:val="003552AA"/>
    <w:rsid w:val="0035534C"/>
    <w:rsid w:val="00355C04"/>
    <w:rsid w:val="00355C19"/>
    <w:rsid w:val="00355C30"/>
    <w:rsid w:val="003562B7"/>
    <w:rsid w:val="003564CB"/>
    <w:rsid w:val="0035652C"/>
    <w:rsid w:val="003566E7"/>
    <w:rsid w:val="00356BE7"/>
    <w:rsid w:val="00356EC6"/>
    <w:rsid w:val="00356EE1"/>
    <w:rsid w:val="00356F25"/>
    <w:rsid w:val="0035707A"/>
    <w:rsid w:val="00357511"/>
    <w:rsid w:val="003579C6"/>
    <w:rsid w:val="00357ABD"/>
    <w:rsid w:val="00357B7C"/>
    <w:rsid w:val="00357EF0"/>
    <w:rsid w:val="00357F17"/>
    <w:rsid w:val="00360171"/>
    <w:rsid w:val="0036019D"/>
    <w:rsid w:val="0036031A"/>
    <w:rsid w:val="0036035F"/>
    <w:rsid w:val="0036040A"/>
    <w:rsid w:val="003606F4"/>
    <w:rsid w:val="0036096C"/>
    <w:rsid w:val="00360E6A"/>
    <w:rsid w:val="00360EA6"/>
    <w:rsid w:val="00360F76"/>
    <w:rsid w:val="00360FB5"/>
    <w:rsid w:val="00361856"/>
    <w:rsid w:val="00362629"/>
    <w:rsid w:val="003626D3"/>
    <w:rsid w:val="00362B67"/>
    <w:rsid w:val="00362BD9"/>
    <w:rsid w:val="00362BEA"/>
    <w:rsid w:val="00362D1A"/>
    <w:rsid w:val="00362EE2"/>
    <w:rsid w:val="00362F18"/>
    <w:rsid w:val="00363034"/>
    <w:rsid w:val="003633D7"/>
    <w:rsid w:val="00363547"/>
    <w:rsid w:val="0036360F"/>
    <w:rsid w:val="00363BBD"/>
    <w:rsid w:val="00363C80"/>
    <w:rsid w:val="00363C88"/>
    <w:rsid w:val="00363E6C"/>
    <w:rsid w:val="00363E9D"/>
    <w:rsid w:val="003641DB"/>
    <w:rsid w:val="0036420A"/>
    <w:rsid w:val="0036427E"/>
    <w:rsid w:val="003642BA"/>
    <w:rsid w:val="003646A4"/>
    <w:rsid w:val="003646D3"/>
    <w:rsid w:val="00364760"/>
    <w:rsid w:val="00364885"/>
    <w:rsid w:val="00364911"/>
    <w:rsid w:val="00365365"/>
    <w:rsid w:val="003656BE"/>
    <w:rsid w:val="00365881"/>
    <w:rsid w:val="00365A04"/>
    <w:rsid w:val="00365A39"/>
    <w:rsid w:val="00365B61"/>
    <w:rsid w:val="00365B7D"/>
    <w:rsid w:val="00365B9E"/>
    <w:rsid w:val="00365F40"/>
    <w:rsid w:val="003660C8"/>
    <w:rsid w:val="0036616E"/>
    <w:rsid w:val="00366360"/>
    <w:rsid w:val="003665A5"/>
    <w:rsid w:val="003668DC"/>
    <w:rsid w:val="00366E1B"/>
    <w:rsid w:val="003670C6"/>
    <w:rsid w:val="003671A4"/>
    <w:rsid w:val="0036784B"/>
    <w:rsid w:val="00367926"/>
    <w:rsid w:val="00367B72"/>
    <w:rsid w:val="00367F20"/>
    <w:rsid w:val="00367FCB"/>
    <w:rsid w:val="00370060"/>
    <w:rsid w:val="003700BE"/>
    <w:rsid w:val="003702C5"/>
    <w:rsid w:val="00370332"/>
    <w:rsid w:val="003704E3"/>
    <w:rsid w:val="003707A1"/>
    <w:rsid w:val="003708E9"/>
    <w:rsid w:val="00370A53"/>
    <w:rsid w:val="00370BA3"/>
    <w:rsid w:val="00371236"/>
    <w:rsid w:val="00371586"/>
    <w:rsid w:val="0037160E"/>
    <w:rsid w:val="0037178F"/>
    <w:rsid w:val="003717B8"/>
    <w:rsid w:val="00371A48"/>
    <w:rsid w:val="00372010"/>
    <w:rsid w:val="00372210"/>
    <w:rsid w:val="00372319"/>
    <w:rsid w:val="0037297B"/>
    <w:rsid w:val="00372A9E"/>
    <w:rsid w:val="00372EE3"/>
    <w:rsid w:val="00372FAB"/>
    <w:rsid w:val="00372FC9"/>
    <w:rsid w:val="00373511"/>
    <w:rsid w:val="0037363D"/>
    <w:rsid w:val="003738A7"/>
    <w:rsid w:val="003738D0"/>
    <w:rsid w:val="00373C1F"/>
    <w:rsid w:val="00373D00"/>
    <w:rsid w:val="0037452E"/>
    <w:rsid w:val="0037459E"/>
    <w:rsid w:val="003745C5"/>
    <w:rsid w:val="00374B4D"/>
    <w:rsid w:val="00374E15"/>
    <w:rsid w:val="00374E35"/>
    <w:rsid w:val="00374E43"/>
    <w:rsid w:val="0037519D"/>
    <w:rsid w:val="00375281"/>
    <w:rsid w:val="00375490"/>
    <w:rsid w:val="003756ED"/>
    <w:rsid w:val="00375C21"/>
    <w:rsid w:val="0037601F"/>
    <w:rsid w:val="00376202"/>
    <w:rsid w:val="003762DF"/>
    <w:rsid w:val="003763C6"/>
    <w:rsid w:val="0037649E"/>
    <w:rsid w:val="00376548"/>
    <w:rsid w:val="0037654B"/>
    <w:rsid w:val="003765EA"/>
    <w:rsid w:val="00376B2B"/>
    <w:rsid w:val="00376C08"/>
    <w:rsid w:val="00376FE7"/>
    <w:rsid w:val="0037738A"/>
    <w:rsid w:val="0037748B"/>
    <w:rsid w:val="00377630"/>
    <w:rsid w:val="00377686"/>
    <w:rsid w:val="003778C1"/>
    <w:rsid w:val="00377C60"/>
    <w:rsid w:val="00377C9A"/>
    <w:rsid w:val="00380014"/>
    <w:rsid w:val="003801DD"/>
    <w:rsid w:val="003803A1"/>
    <w:rsid w:val="00380504"/>
    <w:rsid w:val="003805C4"/>
    <w:rsid w:val="00380973"/>
    <w:rsid w:val="00380ACE"/>
    <w:rsid w:val="00380CE9"/>
    <w:rsid w:val="0038109B"/>
    <w:rsid w:val="0038139A"/>
    <w:rsid w:val="003817A0"/>
    <w:rsid w:val="00381A87"/>
    <w:rsid w:val="00381ACC"/>
    <w:rsid w:val="00381EE4"/>
    <w:rsid w:val="003820A3"/>
    <w:rsid w:val="003821F2"/>
    <w:rsid w:val="0038235E"/>
    <w:rsid w:val="00382AEC"/>
    <w:rsid w:val="00382BB3"/>
    <w:rsid w:val="00382C50"/>
    <w:rsid w:val="0038311B"/>
    <w:rsid w:val="003831E2"/>
    <w:rsid w:val="00383486"/>
    <w:rsid w:val="003835E0"/>
    <w:rsid w:val="003837E0"/>
    <w:rsid w:val="003839C2"/>
    <w:rsid w:val="00383C5E"/>
    <w:rsid w:val="00383DF4"/>
    <w:rsid w:val="00383FBA"/>
    <w:rsid w:val="003841C8"/>
    <w:rsid w:val="0038437C"/>
    <w:rsid w:val="0038491F"/>
    <w:rsid w:val="00384B24"/>
    <w:rsid w:val="00384E98"/>
    <w:rsid w:val="00385168"/>
    <w:rsid w:val="00385191"/>
    <w:rsid w:val="0038524E"/>
    <w:rsid w:val="003852CE"/>
    <w:rsid w:val="0038542F"/>
    <w:rsid w:val="00385620"/>
    <w:rsid w:val="0038580E"/>
    <w:rsid w:val="00385828"/>
    <w:rsid w:val="003858CD"/>
    <w:rsid w:val="0038599A"/>
    <w:rsid w:val="003859D7"/>
    <w:rsid w:val="00385BE8"/>
    <w:rsid w:val="00385EFE"/>
    <w:rsid w:val="003863C1"/>
    <w:rsid w:val="003864A9"/>
    <w:rsid w:val="003864DC"/>
    <w:rsid w:val="00386657"/>
    <w:rsid w:val="003866E4"/>
    <w:rsid w:val="003867F2"/>
    <w:rsid w:val="003868CC"/>
    <w:rsid w:val="00386B3F"/>
    <w:rsid w:val="00386F93"/>
    <w:rsid w:val="0038735B"/>
    <w:rsid w:val="00387AD9"/>
    <w:rsid w:val="00387F06"/>
    <w:rsid w:val="0039003F"/>
    <w:rsid w:val="0039008C"/>
    <w:rsid w:val="00390095"/>
    <w:rsid w:val="0039021B"/>
    <w:rsid w:val="003906D3"/>
    <w:rsid w:val="0039074E"/>
    <w:rsid w:val="00390CED"/>
    <w:rsid w:val="00390E67"/>
    <w:rsid w:val="00390E75"/>
    <w:rsid w:val="003911BA"/>
    <w:rsid w:val="00391208"/>
    <w:rsid w:val="00391FF2"/>
    <w:rsid w:val="00392100"/>
    <w:rsid w:val="00392468"/>
    <w:rsid w:val="003929ED"/>
    <w:rsid w:val="00392BA0"/>
    <w:rsid w:val="00392F0F"/>
    <w:rsid w:val="0039305C"/>
    <w:rsid w:val="003930C5"/>
    <w:rsid w:val="003934A6"/>
    <w:rsid w:val="003934B8"/>
    <w:rsid w:val="00393862"/>
    <w:rsid w:val="003939C6"/>
    <w:rsid w:val="00393EA5"/>
    <w:rsid w:val="00394127"/>
    <w:rsid w:val="0039452C"/>
    <w:rsid w:val="0039494C"/>
    <w:rsid w:val="003949F2"/>
    <w:rsid w:val="00394E5D"/>
    <w:rsid w:val="00394EB1"/>
    <w:rsid w:val="00394FD2"/>
    <w:rsid w:val="00395551"/>
    <w:rsid w:val="00395709"/>
    <w:rsid w:val="00395821"/>
    <w:rsid w:val="00395871"/>
    <w:rsid w:val="00395A72"/>
    <w:rsid w:val="00395B03"/>
    <w:rsid w:val="00395BB6"/>
    <w:rsid w:val="0039607F"/>
    <w:rsid w:val="00396194"/>
    <w:rsid w:val="003964C7"/>
    <w:rsid w:val="003965BA"/>
    <w:rsid w:val="00396CC9"/>
    <w:rsid w:val="003972E9"/>
    <w:rsid w:val="003973D2"/>
    <w:rsid w:val="00397524"/>
    <w:rsid w:val="00397806"/>
    <w:rsid w:val="00397A01"/>
    <w:rsid w:val="00397B89"/>
    <w:rsid w:val="00397D09"/>
    <w:rsid w:val="003A0084"/>
    <w:rsid w:val="003A0886"/>
    <w:rsid w:val="003A0EA4"/>
    <w:rsid w:val="003A1559"/>
    <w:rsid w:val="003A1562"/>
    <w:rsid w:val="003A1584"/>
    <w:rsid w:val="003A1779"/>
    <w:rsid w:val="003A1A7D"/>
    <w:rsid w:val="003A1BA2"/>
    <w:rsid w:val="003A1DFA"/>
    <w:rsid w:val="003A1E14"/>
    <w:rsid w:val="003A1E4E"/>
    <w:rsid w:val="003A1F41"/>
    <w:rsid w:val="003A2310"/>
    <w:rsid w:val="003A273F"/>
    <w:rsid w:val="003A2B05"/>
    <w:rsid w:val="003A2E3E"/>
    <w:rsid w:val="003A2E93"/>
    <w:rsid w:val="003A3105"/>
    <w:rsid w:val="003A35E0"/>
    <w:rsid w:val="003A3C00"/>
    <w:rsid w:val="003A3E38"/>
    <w:rsid w:val="003A3E86"/>
    <w:rsid w:val="003A3E9D"/>
    <w:rsid w:val="003A407D"/>
    <w:rsid w:val="003A4314"/>
    <w:rsid w:val="003A463E"/>
    <w:rsid w:val="003A469E"/>
    <w:rsid w:val="003A48DE"/>
    <w:rsid w:val="003A524B"/>
    <w:rsid w:val="003A54D1"/>
    <w:rsid w:val="003A56D6"/>
    <w:rsid w:val="003A57F8"/>
    <w:rsid w:val="003A5B3F"/>
    <w:rsid w:val="003A5D58"/>
    <w:rsid w:val="003A5E21"/>
    <w:rsid w:val="003A5EB5"/>
    <w:rsid w:val="003A5EF3"/>
    <w:rsid w:val="003A6195"/>
    <w:rsid w:val="003A6636"/>
    <w:rsid w:val="003A67B1"/>
    <w:rsid w:val="003A6A1D"/>
    <w:rsid w:val="003A6A30"/>
    <w:rsid w:val="003A6C55"/>
    <w:rsid w:val="003A6C69"/>
    <w:rsid w:val="003A6D44"/>
    <w:rsid w:val="003A715B"/>
    <w:rsid w:val="003A7526"/>
    <w:rsid w:val="003A756D"/>
    <w:rsid w:val="003A7817"/>
    <w:rsid w:val="003A7C47"/>
    <w:rsid w:val="003A7CB4"/>
    <w:rsid w:val="003A7DAA"/>
    <w:rsid w:val="003B038F"/>
    <w:rsid w:val="003B03EA"/>
    <w:rsid w:val="003B0A0C"/>
    <w:rsid w:val="003B0D19"/>
    <w:rsid w:val="003B0DAB"/>
    <w:rsid w:val="003B0E6C"/>
    <w:rsid w:val="003B0E7E"/>
    <w:rsid w:val="003B11FC"/>
    <w:rsid w:val="003B12AD"/>
    <w:rsid w:val="003B139D"/>
    <w:rsid w:val="003B13D7"/>
    <w:rsid w:val="003B15A2"/>
    <w:rsid w:val="003B1609"/>
    <w:rsid w:val="003B1960"/>
    <w:rsid w:val="003B1D3E"/>
    <w:rsid w:val="003B1E9E"/>
    <w:rsid w:val="003B21AE"/>
    <w:rsid w:val="003B22AA"/>
    <w:rsid w:val="003B2625"/>
    <w:rsid w:val="003B2C83"/>
    <w:rsid w:val="003B31B7"/>
    <w:rsid w:val="003B34BE"/>
    <w:rsid w:val="003B364A"/>
    <w:rsid w:val="003B3758"/>
    <w:rsid w:val="003B3775"/>
    <w:rsid w:val="003B3907"/>
    <w:rsid w:val="003B3A83"/>
    <w:rsid w:val="003B3F43"/>
    <w:rsid w:val="003B46D5"/>
    <w:rsid w:val="003B4C41"/>
    <w:rsid w:val="003B4D72"/>
    <w:rsid w:val="003B5140"/>
    <w:rsid w:val="003B5175"/>
    <w:rsid w:val="003B5949"/>
    <w:rsid w:val="003B5E9A"/>
    <w:rsid w:val="003B613C"/>
    <w:rsid w:val="003B6409"/>
    <w:rsid w:val="003B64ED"/>
    <w:rsid w:val="003B665A"/>
    <w:rsid w:val="003B67AF"/>
    <w:rsid w:val="003B6A1F"/>
    <w:rsid w:val="003B6B1E"/>
    <w:rsid w:val="003B6B3D"/>
    <w:rsid w:val="003B6D3B"/>
    <w:rsid w:val="003B6E8F"/>
    <w:rsid w:val="003B6F8F"/>
    <w:rsid w:val="003B72A0"/>
    <w:rsid w:val="003B750F"/>
    <w:rsid w:val="003B755C"/>
    <w:rsid w:val="003B75F3"/>
    <w:rsid w:val="003B77E4"/>
    <w:rsid w:val="003C073D"/>
    <w:rsid w:val="003C0932"/>
    <w:rsid w:val="003C0D2E"/>
    <w:rsid w:val="003C0D70"/>
    <w:rsid w:val="003C1069"/>
    <w:rsid w:val="003C140A"/>
    <w:rsid w:val="003C14BE"/>
    <w:rsid w:val="003C14E4"/>
    <w:rsid w:val="003C1E03"/>
    <w:rsid w:val="003C1EDC"/>
    <w:rsid w:val="003C1FB9"/>
    <w:rsid w:val="003C28B2"/>
    <w:rsid w:val="003C2A00"/>
    <w:rsid w:val="003C2AAB"/>
    <w:rsid w:val="003C2E88"/>
    <w:rsid w:val="003C3077"/>
    <w:rsid w:val="003C3382"/>
    <w:rsid w:val="003C33EE"/>
    <w:rsid w:val="003C3460"/>
    <w:rsid w:val="003C369B"/>
    <w:rsid w:val="003C38EE"/>
    <w:rsid w:val="003C398C"/>
    <w:rsid w:val="003C3A82"/>
    <w:rsid w:val="003C3FA6"/>
    <w:rsid w:val="003C3FE0"/>
    <w:rsid w:val="003C443E"/>
    <w:rsid w:val="003C4BF7"/>
    <w:rsid w:val="003C4F97"/>
    <w:rsid w:val="003C5049"/>
    <w:rsid w:val="003C529F"/>
    <w:rsid w:val="003C54C7"/>
    <w:rsid w:val="003C5709"/>
    <w:rsid w:val="003C5A06"/>
    <w:rsid w:val="003C5D80"/>
    <w:rsid w:val="003C5FC0"/>
    <w:rsid w:val="003C605F"/>
    <w:rsid w:val="003C6064"/>
    <w:rsid w:val="003C608D"/>
    <w:rsid w:val="003C64D5"/>
    <w:rsid w:val="003C67E0"/>
    <w:rsid w:val="003C7299"/>
    <w:rsid w:val="003C76B6"/>
    <w:rsid w:val="003C77F9"/>
    <w:rsid w:val="003C78E2"/>
    <w:rsid w:val="003C794C"/>
    <w:rsid w:val="003C7997"/>
    <w:rsid w:val="003C7E25"/>
    <w:rsid w:val="003D010A"/>
    <w:rsid w:val="003D0187"/>
    <w:rsid w:val="003D01FF"/>
    <w:rsid w:val="003D0320"/>
    <w:rsid w:val="003D03CD"/>
    <w:rsid w:val="003D0554"/>
    <w:rsid w:val="003D0F4C"/>
    <w:rsid w:val="003D136A"/>
    <w:rsid w:val="003D1916"/>
    <w:rsid w:val="003D1BE3"/>
    <w:rsid w:val="003D1EBF"/>
    <w:rsid w:val="003D236E"/>
    <w:rsid w:val="003D23FC"/>
    <w:rsid w:val="003D249F"/>
    <w:rsid w:val="003D2787"/>
    <w:rsid w:val="003D2980"/>
    <w:rsid w:val="003D2A0C"/>
    <w:rsid w:val="003D2E00"/>
    <w:rsid w:val="003D2E01"/>
    <w:rsid w:val="003D2FFA"/>
    <w:rsid w:val="003D3149"/>
    <w:rsid w:val="003D33AA"/>
    <w:rsid w:val="003D3507"/>
    <w:rsid w:val="003D3543"/>
    <w:rsid w:val="003D3C4F"/>
    <w:rsid w:val="003D40E0"/>
    <w:rsid w:val="003D422C"/>
    <w:rsid w:val="003D435B"/>
    <w:rsid w:val="003D45E7"/>
    <w:rsid w:val="003D49FA"/>
    <w:rsid w:val="003D4AA3"/>
    <w:rsid w:val="003D50A6"/>
    <w:rsid w:val="003D52D6"/>
    <w:rsid w:val="003D593B"/>
    <w:rsid w:val="003D5AB2"/>
    <w:rsid w:val="003D5AC8"/>
    <w:rsid w:val="003D5E8A"/>
    <w:rsid w:val="003D5F54"/>
    <w:rsid w:val="003D6017"/>
    <w:rsid w:val="003D6156"/>
    <w:rsid w:val="003D619C"/>
    <w:rsid w:val="003D645D"/>
    <w:rsid w:val="003D667D"/>
    <w:rsid w:val="003D686F"/>
    <w:rsid w:val="003D6909"/>
    <w:rsid w:val="003D6C93"/>
    <w:rsid w:val="003D6F26"/>
    <w:rsid w:val="003D7271"/>
    <w:rsid w:val="003D735E"/>
    <w:rsid w:val="003D7564"/>
    <w:rsid w:val="003D78D5"/>
    <w:rsid w:val="003D7B2E"/>
    <w:rsid w:val="003D7FC6"/>
    <w:rsid w:val="003E0A4A"/>
    <w:rsid w:val="003E0A70"/>
    <w:rsid w:val="003E0BC2"/>
    <w:rsid w:val="003E0F0A"/>
    <w:rsid w:val="003E11E7"/>
    <w:rsid w:val="003E17D4"/>
    <w:rsid w:val="003E181A"/>
    <w:rsid w:val="003E18EA"/>
    <w:rsid w:val="003E1EA2"/>
    <w:rsid w:val="003E1FFA"/>
    <w:rsid w:val="003E216A"/>
    <w:rsid w:val="003E2344"/>
    <w:rsid w:val="003E2366"/>
    <w:rsid w:val="003E238D"/>
    <w:rsid w:val="003E261E"/>
    <w:rsid w:val="003E2A61"/>
    <w:rsid w:val="003E2DFE"/>
    <w:rsid w:val="003E2FFF"/>
    <w:rsid w:val="003E306C"/>
    <w:rsid w:val="003E3167"/>
    <w:rsid w:val="003E31F5"/>
    <w:rsid w:val="003E3203"/>
    <w:rsid w:val="003E3552"/>
    <w:rsid w:val="003E38E3"/>
    <w:rsid w:val="003E39B2"/>
    <w:rsid w:val="003E39ED"/>
    <w:rsid w:val="003E3A35"/>
    <w:rsid w:val="003E3C0E"/>
    <w:rsid w:val="003E3D80"/>
    <w:rsid w:val="003E3DEB"/>
    <w:rsid w:val="003E41D5"/>
    <w:rsid w:val="003E48AC"/>
    <w:rsid w:val="003E48C6"/>
    <w:rsid w:val="003E4AD8"/>
    <w:rsid w:val="003E4B75"/>
    <w:rsid w:val="003E4EFC"/>
    <w:rsid w:val="003E4F40"/>
    <w:rsid w:val="003E51DC"/>
    <w:rsid w:val="003E550F"/>
    <w:rsid w:val="003E55F7"/>
    <w:rsid w:val="003E58DD"/>
    <w:rsid w:val="003E58E1"/>
    <w:rsid w:val="003E58F7"/>
    <w:rsid w:val="003E5CBF"/>
    <w:rsid w:val="003E5E50"/>
    <w:rsid w:val="003E6046"/>
    <w:rsid w:val="003E6CAD"/>
    <w:rsid w:val="003E71D0"/>
    <w:rsid w:val="003E7298"/>
    <w:rsid w:val="003E77E6"/>
    <w:rsid w:val="003E77FD"/>
    <w:rsid w:val="003E7BE3"/>
    <w:rsid w:val="003F00EF"/>
    <w:rsid w:val="003F0431"/>
    <w:rsid w:val="003F0549"/>
    <w:rsid w:val="003F0926"/>
    <w:rsid w:val="003F0A39"/>
    <w:rsid w:val="003F0A86"/>
    <w:rsid w:val="003F0ACE"/>
    <w:rsid w:val="003F0DF6"/>
    <w:rsid w:val="003F1114"/>
    <w:rsid w:val="003F1ABF"/>
    <w:rsid w:val="003F1C56"/>
    <w:rsid w:val="003F215E"/>
    <w:rsid w:val="003F216B"/>
    <w:rsid w:val="003F21DE"/>
    <w:rsid w:val="003F22F1"/>
    <w:rsid w:val="003F23C7"/>
    <w:rsid w:val="003F252F"/>
    <w:rsid w:val="003F2BCC"/>
    <w:rsid w:val="003F2C16"/>
    <w:rsid w:val="003F2C84"/>
    <w:rsid w:val="003F2D38"/>
    <w:rsid w:val="003F2E29"/>
    <w:rsid w:val="003F2EE8"/>
    <w:rsid w:val="003F306B"/>
    <w:rsid w:val="003F3535"/>
    <w:rsid w:val="003F3740"/>
    <w:rsid w:val="003F386B"/>
    <w:rsid w:val="003F397B"/>
    <w:rsid w:val="003F416E"/>
    <w:rsid w:val="003F4194"/>
    <w:rsid w:val="003F440C"/>
    <w:rsid w:val="003F4740"/>
    <w:rsid w:val="003F4762"/>
    <w:rsid w:val="003F47A7"/>
    <w:rsid w:val="003F4EC3"/>
    <w:rsid w:val="003F4F9C"/>
    <w:rsid w:val="003F53CB"/>
    <w:rsid w:val="003F5746"/>
    <w:rsid w:val="003F5CCD"/>
    <w:rsid w:val="003F5D49"/>
    <w:rsid w:val="003F60C1"/>
    <w:rsid w:val="003F62CA"/>
    <w:rsid w:val="003F63F0"/>
    <w:rsid w:val="003F6476"/>
    <w:rsid w:val="003F6605"/>
    <w:rsid w:val="003F66CF"/>
    <w:rsid w:val="003F6747"/>
    <w:rsid w:val="003F6CF8"/>
    <w:rsid w:val="003F6DA0"/>
    <w:rsid w:val="003F7433"/>
    <w:rsid w:val="003F767A"/>
    <w:rsid w:val="003F7693"/>
    <w:rsid w:val="00400165"/>
    <w:rsid w:val="004004A8"/>
    <w:rsid w:val="0040052B"/>
    <w:rsid w:val="00400A2F"/>
    <w:rsid w:val="00400C1C"/>
    <w:rsid w:val="00400C83"/>
    <w:rsid w:val="004014EA"/>
    <w:rsid w:val="00401651"/>
    <w:rsid w:val="004016D5"/>
    <w:rsid w:val="00401C7A"/>
    <w:rsid w:val="00401F66"/>
    <w:rsid w:val="00401FB2"/>
    <w:rsid w:val="004020E5"/>
    <w:rsid w:val="004022FF"/>
    <w:rsid w:val="0040249D"/>
    <w:rsid w:val="00402644"/>
    <w:rsid w:val="00402962"/>
    <w:rsid w:val="00402EC3"/>
    <w:rsid w:val="00403006"/>
    <w:rsid w:val="004034AF"/>
    <w:rsid w:val="004035E4"/>
    <w:rsid w:val="004037F8"/>
    <w:rsid w:val="004038C3"/>
    <w:rsid w:val="00403A85"/>
    <w:rsid w:val="00403FE8"/>
    <w:rsid w:val="00404441"/>
    <w:rsid w:val="00404AA7"/>
    <w:rsid w:val="00404B1C"/>
    <w:rsid w:val="00404CB1"/>
    <w:rsid w:val="00405085"/>
    <w:rsid w:val="0040514D"/>
    <w:rsid w:val="004052F2"/>
    <w:rsid w:val="004056F2"/>
    <w:rsid w:val="004057CA"/>
    <w:rsid w:val="004057F0"/>
    <w:rsid w:val="004059E4"/>
    <w:rsid w:val="00405B4E"/>
    <w:rsid w:val="00405F6E"/>
    <w:rsid w:val="004066AF"/>
    <w:rsid w:val="00406782"/>
    <w:rsid w:val="00406CCF"/>
    <w:rsid w:val="00406D50"/>
    <w:rsid w:val="00406EE6"/>
    <w:rsid w:val="00406EFA"/>
    <w:rsid w:val="00406F59"/>
    <w:rsid w:val="00407204"/>
    <w:rsid w:val="00407205"/>
    <w:rsid w:val="004072FA"/>
    <w:rsid w:val="00407641"/>
    <w:rsid w:val="00407FCF"/>
    <w:rsid w:val="004104E6"/>
    <w:rsid w:val="00410507"/>
    <w:rsid w:val="0041071F"/>
    <w:rsid w:val="00410774"/>
    <w:rsid w:val="00410E59"/>
    <w:rsid w:val="0041110A"/>
    <w:rsid w:val="00411133"/>
    <w:rsid w:val="00411142"/>
    <w:rsid w:val="0041114A"/>
    <w:rsid w:val="00411224"/>
    <w:rsid w:val="00411460"/>
    <w:rsid w:val="00411673"/>
    <w:rsid w:val="004116D0"/>
    <w:rsid w:val="00411B53"/>
    <w:rsid w:val="00412307"/>
    <w:rsid w:val="0041262A"/>
    <w:rsid w:val="00412636"/>
    <w:rsid w:val="00412865"/>
    <w:rsid w:val="0041289F"/>
    <w:rsid w:val="00412B68"/>
    <w:rsid w:val="00412C51"/>
    <w:rsid w:val="0041312D"/>
    <w:rsid w:val="00413D43"/>
    <w:rsid w:val="00413FE5"/>
    <w:rsid w:val="00414076"/>
    <w:rsid w:val="004140F1"/>
    <w:rsid w:val="004145EC"/>
    <w:rsid w:val="00414988"/>
    <w:rsid w:val="00414F1D"/>
    <w:rsid w:val="004154A6"/>
    <w:rsid w:val="00415825"/>
    <w:rsid w:val="00415A71"/>
    <w:rsid w:val="00415AEB"/>
    <w:rsid w:val="00415FB2"/>
    <w:rsid w:val="00416182"/>
    <w:rsid w:val="0041657E"/>
    <w:rsid w:val="00416A04"/>
    <w:rsid w:val="00416E2D"/>
    <w:rsid w:val="004177B5"/>
    <w:rsid w:val="0041793D"/>
    <w:rsid w:val="00417C24"/>
    <w:rsid w:val="00417C9C"/>
    <w:rsid w:val="00417F7A"/>
    <w:rsid w:val="0042045C"/>
    <w:rsid w:val="00420A18"/>
    <w:rsid w:val="00420CA8"/>
    <w:rsid w:val="004211FD"/>
    <w:rsid w:val="0042122C"/>
    <w:rsid w:val="00421580"/>
    <w:rsid w:val="00421762"/>
    <w:rsid w:val="00421894"/>
    <w:rsid w:val="00421AA4"/>
    <w:rsid w:val="00421D18"/>
    <w:rsid w:val="00421EE7"/>
    <w:rsid w:val="00421F06"/>
    <w:rsid w:val="00421FCB"/>
    <w:rsid w:val="004221E2"/>
    <w:rsid w:val="0042276D"/>
    <w:rsid w:val="004229F4"/>
    <w:rsid w:val="00422B06"/>
    <w:rsid w:val="00422DCB"/>
    <w:rsid w:val="00423304"/>
    <w:rsid w:val="004237C4"/>
    <w:rsid w:val="004239E4"/>
    <w:rsid w:val="00423E0A"/>
    <w:rsid w:val="00424145"/>
    <w:rsid w:val="004242A0"/>
    <w:rsid w:val="00424367"/>
    <w:rsid w:val="00424385"/>
    <w:rsid w:val="0042442A"/>
    <w:rsid w:val="00424906"/>
    <w:rsid w:val="00424B5E"/>
    <w:rsid w:val="00425041"/>
    <w:rsid w:val="00425B6D"/>
    <w:rsid w:val="00425CA6"/>
    <w:rsid w:val="00425E4B"/>
    <w:rsid w:val="0042636B"/>
    <w:rsid w:val="00426624"/>
    <w:rsid w:val="00426699"/>
    <w:rsid w:val="004269E7"/>
    <w:rsid w:val="00426AD3"/>
    <w:rsid w:val="00426E13"/>
    <w:rsid w:val="00427198"/>
    <w:rsid w:val="004271C9"/>
    <w:rsid w:val="004272D4"/>
    <w:rsid w:val="00427332"/>
    <w:rsid w:val="004273E0"/>
    <w:rsid w:val="004276AB"/>
    <w:rsid w:val="0042784F"/>
    <w:rsid w:val="00427DB3"/>
    <w:rsid w:val="004300CB"/>
    <w:rsid w:val="0043010F"/>
    <w:rsid w:val="00430340"/>
    <w:rsid w:val="004309CC"/>
    <w:rsid w:val="00431067"/>
    <w:rsid w:val="00431288"/>
    <w:rsid w:val="004318D5"/>
    <w:rsid w:val="004318F6"/>
    <w:rsid w:val="00431A45"/>
    <w:rsid w:val="00431A78"/>
    <w:rsid w:val="00431BF9"/>
    <w:rsid w:val="00431EC0"/>
    <w:rsid w:val="004320B3"/>
    <w:rsid w:val="0043225B"/>
    <w:rsid w:val="00432700"/>
    <w:rsid w:val="0043275E"/>
    <w:rsid w:val="004327CE"/>
    <w:rsid w:val="00432801"/>
    <w:rsid w:val="00432923"/>
    <w:rsid w:val="00432E91"/>
    <w:rsid w:val="00432EFE"/>
    <w:rsid w:val="0043372D"/>
    <w:rsid w:val="0043387C"/>
    <w:rsid w:val="00433B4A"/>
    <w:rsid w:val="00433BF7"/>
    <w:rsid w:val="00433D68"/>
    <w:rsid w:val="00433F04"/>
    <w:rsid w:val="0043487E"/>
    <w:rsid w:val="00434905"/>
    <w:rsid w:val="00434C59"/>
    <w:rsid w:val="00435374"/>
    <w:rsid w:val="004353E5"/>
    <w:rsid w:val="004353EE"/>
    <w:rsid w:val="00435779"/>
    <w:rsid w:val="0043598A"/>
    <w:rsid w:val="00435B7B"/>
    <w:rsid w:val="00435C3F"/>
    <w:rsid w:val="00435EA3"/>
    <w:rsid w:val="00436011"/>
    <w:rsid w:val="0043606A"/>
    <w:rsid w:val="00436340"/>
    <w:rsid w:val="0043646B"/>
    <w:rsid w:val="0043653B"/>
    <w:rsid w:val="0043670E"/>
    <w:rsid w:val="00436B39"/>
    <w:rsid w:val="00436BC7"/>
    <w:rsid w:val="00436CE6"/>
    <w:rsid w:val="00436DEB"/>
    <w:rsid w:val="00436E38"/>
    <w:rsid w:val="00437327"/>
    <w:rsid w:val="00437631"/>
    <w:rsid w:val="004377A7"/>
    <w:rsid w:val="00437BCA"/>
    <w:rsid w:val="00437F5C"/>
    <w:rsid w:val="00440146"/>
    <w:rsid w:val="004402E8"/>
    <w:rsid w:val="004404D1"/>
    <w:rsid w:val="0044095B"/>
    <w:rsid w:val="00440AD4"/>
    <w:rsid w:val="00440BFD"/>
    <w:rsid w:val="00440C3E"/>
    <w:rsid w:val="00440F45"/>
    <w:rsid w:val="00441155"/>
    <w:rsid w:val="00441CB7"/>
    <w:rsid w:val="004420E6"/>
    <w:rsid w:val="004426F4"/>
    <w:rsid w:val="00442C25"/>
    <w:rsid w:val="00442C53"/>
    <w:rsid w:val="00442E4B"/>
    <w:rsid w:val="0044339E"/>
    <w:rsid w:val="004437DA"/>
    <w:rsid w:val="00443CFB"/>
    <w:rsid w:val="00443D90"/>
    <w:rsid w:val="00443E0C"/>
    <w:rsid w:val="00443F9A"/>
    <w:rsid w:val="00443FA5"/>
    <w:rsid w:val="00444087"/>
    <w:rsid w:val="00444394"/>
    <w:rsid w:val="00444467"/>
    <w:rsid w:val="00444618"/>
    <w:rsid w:val="00444672"/>
    <w:rsid w:val="004446DF"/>
    <w:rsid w:val="004448B1"/>
    <w:rsid w:val="004448C3"/>
    <w:rsid w:val="00444F1A"/>
    <w:rsid w:val="00444F78"/>
    <w:rsid w:val="00445514"/>
    <w:rsid w:val="0044551D"/>
    <w:rsid w:val="0044554B"/>
    <w:rsid w:val="00445ADF"/>
    <w:rsid w:val="00445C90"/>
    <w:rsid w:val="0044623B"/>
    <w:rsid w:val="00446567"/>
    <w:rsid w:val="00446629"/>
    <w:rsid w:val="004466BA"/>
    <w:rsid w:val="004467A0"/>
    <w:rsid w:val="00446973"/>
    <w:rsid w:val="00446A33"/>
    <w:rsid w:val="00446BB1"/>
    <w:rsid w:val="00446BE2"/>
    <w:rsid w:val="00446CBC"/>
    <w:rsid w:val="0044713D"/>
    <w:rsid w:val="004474A2"/>
    <w:rsid w:val="004475BD"/>
    <w:rsid w:val="00447770"/>
    <w:rsid w:val="0044780E"/>
    <w:rsid w:val="004479DF"/>
    <w:rsid w:val="00447BCA"/>
    <w:rsid w:val="00447D44"/>
    <w:rsid w:val="00447EF3"/>
    <w:rsid w:val="00447F7E"/>
    <w:rsid w:val="0045017D"/>
    <w:rsid w:val="00450253"/>
    <w:rsid w:val="0045166D"/>
    <w:rsid w:val="004516DA"/>
    <w:rsid w:val="004517A7"/>
    <w:rsid w:val="00451B54"/>
    <w:rsid w:val="00451C4B"/>
    <w:rsid w:val="00451CF1"/>
    <w:rsid w:val="00451F05"/>
    <w:rsid w:val="0045233C"/>
    <w:rsid w:val="004523AC"/>
    <w:rsid w:val="004523CB"/>
    <w:rsid w:val="00452730"/>
    <w:rsid w:val="00452779"/>
    <w:rsid w:val="0045285A"/>
    <w:rsid w:val="00452E49"/>
    <w:rsid w:val="00452F03"/>
    <w:rsid w:val="00452F0C"/>
    <w:rsid w:val="00453005"/>
    <w:rsid w:val="004530D2"/>
    <w:rsid w:val="004535C9"/>
    <w:rsid w:val="00453C38"/>
    <w:rsid w:val="00453C58"/>
    <w:rsid w:val="00453F33"/>
    <w:rsid w:val="00454275"/>
    <w:rsid w:val="0045435E"/>
    <w:rsid w:val="00454A7A"/>
    <w:rsid w:val="00454FD2"/>
    <w:rsid w:val="00455098"/>
    <w:rsid w:val="00455185"/>
    <w:rsid w:val="004551C6"/>
    <w:rsid w:val="0045532A"/>
    <w:rsid w:val="00455430"/>
    <w:rsid w:val="0045597E"/>
    <w:rsid w:val="00455AE1"/>
    <w:rsid w:val="00455C04"/>
    <w:rsid w:val="00455C6E"/>
    <w:rsid w:val="00456090"/>
    <w:rsid w:val="004560F4"/>
    <w:rsid w:val="00456301"/>
    <w:rsid w:val="00456404"/>
    <w:rsid w:val="00456603"/>
    <w:rsid w:val="0045685A"/>
    <w:rsid w:val="00456912"/>
    <w:rsid w:val="00456AFE"/>
    <w:rsid w:val="00456B1A"/>
    <w:rsid w:val="00456CD2"/>
    <w:rsid w:val="00456EEE"/>
    <w:rsid w:val="004570A9"/>
    <w:rsid w:val="004570B2"/>
    <w:rsid w:val="00457376"/>
    <w:rsid w:val="00457654"/>
    <w:rsid w:val="0045787C"/>
    <w:rsid w:val="004579BB"/>
    <w:rsid w:val="00457B90"/>
    <w:rsid w:val="00457DB8"/>
    <w:rsid w:val="00457F0D"/>
    <w:rsid w:val="00457F43"/>
    <w:rsid w:val="00457FB3"/>
    <w:rsid w:val="00460135"/>
    <w:rsid w:val="00460BA4"/>
    <w:rsid w:val="00460DA9"/>
    <w:rsid w:val="00460E7D"/>
    <w:rsid w:val="004614B6"/>
    <w:rsid w:val="004617F6"/>
    <w:rsid w:val="004622D3"/>
    <w:rsid w:val="004628AD"/>
    <w:rsid w:val="004628B0"/>
    <w:rsid w:val="00462958"/>
    <w:rsid w:val="00462B00"/>
    <w:rsid w:val="00462B1F"/>
    <w:rsid w:val="00462F38"/>
    <w:rsid w:val="00463153"/>
    <w:rsid w:val="0046370F"/>
    <w:rsid w:val="00463879"/>
    <w:rsid w:val="00463916"/>
    <w:rsid w:val="00463A19"/>
    <w:rsid w:val="00463B00"/>
    <w:rsid w:val="00463BD1"/>
    <w:rsid w:val="00463CDF"/>
    <w:rsid w:val="00463CE2"/>
    <w:rsid w:val="00464169"/>
    <w:rsid w:val="00464322"/>
    <w:rsid w:val="0046468A"/>
    <w:rsid w:val="00464790"/>
    <w:rsid w:val="0046499E"/>
    <w:rsid w:val="00464BA5"/>
    <w:rsid w:val="00464E2A"/>
    <w:rsid w:val="00464EC5"/>
    <w:rsid w:val="0046505D"/>
    <w:rsid w:val="0046554E"/>
    <w:rsid w:val="00465851"/>
    <w:rsid w:val="00465A03"/>
    <w:rsid w:val="00465A5D"/>
    <w:rsid w:val="00465BE5"/>
    <w:rsid w:val="00465C6D"/>
    <w:rsid w:val="0046683A"/>
    <w:rsid w:val="004668F8"/>
    <w:rsid w:val="00466942"/>
    <w:rsid w:val="00466B96"/>
    <w:rsid w:val="00466CB1"/>
    <w:rsid w:val="00466D48"/>
    <w:rsid w:val="00466D8F"/>
    <w:rsid w:val="00466DC1"/>
    <w:rsid w:val="004673CE"/>
    <w:rsid w:val="00467850"/>
    <w:rsid w:val="00467AA3"/>
    <w:rsid w:val="004700CD"/>
    <w:rsid w:val="00470291"/>
    <w:rsid w:val="004702AF"/>
    <w:rsid w:val="00470473"/>
    <w:rsid w:val="0047059D"/>
    <w:rsid w:val="0047096F"/>
    <w:rsid w:val="00470A48"/>
    <w:rsid w:val="00470C1C"/>
    <w:rsid w:val="00470D2A"/>
    <w:rsid w:val="00471026"/>
    <w:rsid w:val="004710E7"/>
    <w:rsid w:val="0047126A"/>
    <w:rsid w:val="00471330"/>
    <w:rsid w:val="0047142E"/>
    <w:rsid w:val="00471ADF"/>
    <w:rsid w:val="00471C4C"/>
    <w:rsid w:val="00471DDC"/>
    <w:rsid w:val="00471F83"/>
    <w:rsid w:val="0047205C"/>
    <w:rsid w:val="004720A1"/>
    <w:rsid w:val="00472463"/>
    <w:rsid w:val="0047255D"/>
    <w:rsid w:val="004725C3"/>
    <w:rsid w:val="004725D2"/>
    <w:rsid w:val="004728B9"/>
    <w:rsid w:val="00472B95"/>
    <w:rsid w:val="00472E0B"/>
    <w:rsid w:val="00472E5B"/>
    <w:rsid w:val="00472F2A"/>
    <w:rsid w:val="004732DE"/>
    <w:rsid w:val="00473329"/>
    <w:rsid w:val="00473B02"/>
    <w:rsid w:val="004740A2"/>
    <w:rsid w:val="004746FE"/>
    <w:rsid w:val="00474AEB"/>
    <w:rsid w:val="00474B19"/>
    <w:rsid w:val="00474E62"/>
    <w:rsid w:val="00474E86"/>
    <w:rsid w:val="0047546F"/>
    <w:rsid w:val="004754B8"/>
    <w:rsid w:val="004755D0"/>
    <w:rsid w:val="00475910"/>
    <w:rsid w:val="004759B5"/>
    <w:rsid w:val="00476354"/>
    <w:rsid w:val="0047644D"/>
    <w:rsid w:val="0047670E"/>
    <w:rsid w:val="00476886"/>
    <w:rsid w:val="0047695B"/>
    <w:rsid w:val="004772A1"/>
    <w:rsid w:val="0047739A"/>
    <w:rsid w:val="004776D7"/>
    <w:rsid w:val="004777E9"/>
    <w:rsid w:val="0047789F"/>
    <w:rsid w:val="004778BB"/>
    <w:rsid w:val="004779F1"/>
    <w:rsid w:val="00477AA3"/>
    <w:rsid w:val="00477BAC"/>
    <w:rsid w:val="00477C99"/>
    <w:rsid w:val="00480075"/>
    <w:rsid w:val="004800E1"/>
    <w:rsid w:val="004804C0"/>
    <w:rsid w:val="00480DCC"/>
    <w:rsid w:val="00480FC3"/>
    <w:rsid w:val="00481031"/>
    <w:rsid w:val="00481244"/>
    <w:rsid w:val="004813D0"/>
    <w:rsid w:val="0048165B"/>
    <w:rsid w:val="004816EB"/>
    <w:rsid w:val="00481758"/>
    <w:rsid w:val="00481A92"/>
    <w:rsid w:val="00481BC1"/>
    <w:rsid w:val="00481C03"/>
    <w:rsid w:val="00481C3C"/>
    <w:rsid w:val="00481D51"/>
    <w:rsid w:val="00481EE4"/>
    <w:rsid w:val="00481FC8"/>
    <w:rsid w:val="00482370"/>
    <w:rsid w:val="00482A15"/>
    <w:rsid w:val="00482D88"/>
    <w:rsid w:val="00482EAE"/>
    <w:rsid w:val="00483088"/>
    <w:rsid w:val="004832A4"/>
    <w:rsid w:val="00483E08"/>
    <w:rsid w:val="00484222"/>
    <w:rsid w:val="004844A4"/>
    <w:rsid w:val="004847B2"/>
    <w:rsid w:val="00484B96"/>
    <w:rsid w:val="00484C27"/>
    <w:rsid w:val="00484D98"/>
    <w:rsid w:val="00484F9D"/>
    <w:rsid w:val="00485205"/>
    <w:rsid w:val="00485322"/>
    <w:rsid w:val="00485572"/>
    <w:rsid w:val="004858EB"/>
    <w:rsid w:val="00485D87"/>
    <w:rsid w:val="004862CE"/>
    <w:rsid w:val="00486637"/>
    <w:rsid w:val="004866E2"/>
    <w:rsid w:val="004868F9"/>
    <w:rsid w:val="00486929"/>
    <w:rsid w:val="00486A31"/>
    <w:rsid w:val="004870EA"/>
    <w:rsid w:val="004870EE"/>
    <w:rsid w:val="00487117"/>
    <w:rsid w:val="00487847"/>
    <w:rsid w:val="004878BC"/>
    <w:rsid w:val="00487A87"/>
    <w:rsid w:val="00487AE9"/>
    <w:rsid w:val="00487C17"/>
    <w:rsid w:val="00487CE3"/>
    <w:rsid w:val="00487F69"/>
    <w:rsid w:val="00487FC6"/>
    <w:rsid w:val="0049018D"/>
    <w:rsid w:val="00490518"/>
    <w:rsid w:val="0049065A"/>
    <w:rsid w:val="00490A95"/>
    <w:rsid w:val="00490C4D"/>
    <w:rsid w:val="0049125C"/>
    <w:rsid w:val="0049142F"/>
    <w:rsid w:val="00491505"/>
    <w:rsid w:val="00491797"/>
    <w:rsid w:val="004918EF"/>
    <w:rsid w:val="00491B6A"/>
    <w:rsid w:val="00492154"/>
    <w:rsid w:val="004924B9"/>
    <w:rsid w:val="00492759"/>
    <w:rsid w:val="00492B40"/>
    <w:rsid w:val="00492BF7"/>
    <w:rsid w:val="00492D15"/>
    <w:rsid w:val="00492EB8"/>
    <w:rsid w:val="00492FB2"/>
    <w:rsid w:val="00493129"/>
    <w:rsid w:val="0049350C"/>
    <w:rsid w:val="00493544"/>
    <w:rsid w:val="00493746"/>
    <w:rsid w:val="0049395C"/>
    <w:rsid w:val="004939C8"/>
    <w:rsid w:val="00493F54"/>
    <w:rsid w:val="004942DE"/>
    <w:rsid w:val="0049466E"/>
    <w:rsid w:val="00494970"/>
    <w:rsid w:val="00494BED"/>
    <w:rsid w:val="00494C6A"/>
    <w:rsid w:val="00495213"/>
    <w:rsid w:val="004952E3"/>
    <w:rsid w:val="00495350"/>
    <w:rsid w:val="004953B4"/>
    <w:rsid w:val="004955EA"/>
    <w:rsid w:val="004957EB"/>
    <w:rsid w:val="00495858"/>
    <w:rsid w:val="004958CD"/>
    <w:rsid w:val="00495A78"/>
    <w:rsid w:val="0049609B"/>
    <w:rsid w:val="004966C4"/>
    <w:rsid w:val="004966F6"/>
    <w:rsid w:val="004967CC"/>
    <w:rsid w:val="00496845"/>
    <w:rsid w:val="0049707D"/>
    <w:rsid w:val="00497139"/>
    <w:rsid w:val="004972D0"/>
    <w:rsid w:val="004972E1"/>
    <w:rsid w:val="0049739F"/>
    <w:rsid w:val="0049742C"/>
    <w:rsid w:val="0049761A"/>
    <w:rsid w:val="004977FC"/>
    <w:rsid w:val="0049786A"/>
    <w:rsid w:val="00497A62"/>
    <w:rsid w:val="00497BB8"/>
    <w:rsid w:val="00497C00"/>
    <w:rsid w:val="00497CA5"/>
    <w:rsid w:val="004A022A"/>
    <w:rsid w:val="004A0641"/>
    <w:rsid w:val="004A07FD"/>
    <w:rsid w:val="004A09C3"/>
    <w:rsid w:val="004A0F1C"/>
    <w:rsid w:val="004A1248"/>
    <w:rsid w:val="004A12EB"/>
    <w:rsid w:val="004A16FA"/>
    <w:rsid w:val="004A1848"/>
    <w:rsid w:val="004A1B7E"/>
    <w:rsid w:val="004A1D62"/>
    <w:rsid w:val="004A1F1E"/>
    <w:rsid w:val="004A207B"/>
    <w:rsid w:val="004A20C4"/>
    <w:rsid w:val="004A288F"/>
    <w:rsid w:val="004A2B06"/>
    <w:rsid w:val="004A3242"/>
    <w:rsid w:val="004A347F"/>
    <w:rsid w:val="004A34BC"/>
    <w:rsid w:val="004A359F"/>
    <w:rsid w:val="004A35BD"/>
    <w:rsid w:val="004A36B0"/>
    <w:rsid w:val="004A371F"/>
    <w:rsid w:val="004A3889"/>
    <w:rsid w:val="004A3A2F"/>
    <w:rsid w:val="004A3B20"/>
    <w:rsid w:val="004A3EA6"/>
    <w:rsid w:val="004A42F7"/>
    <w:rsid w:val="004A437E"/>
    <w:rsid w:val="004A46ED"/>
    <w:rsid w:val="004A494C"/>
    <w:rsid w:val="004A4B92"/>
    <w:rsid w:val="004A4D94"/>
    <w:rsid w:val="004A4FFE"/>
    <w:rsid w:val="004A5F67"/>
    <w:rsid w:val="004A5FA1"/>
    <w:rsid w:val="004A633F"/>
    <w:rsid w:val="004A65F9"/>
    <w:rsid w:val="004A689D"/>
    <w:rsid w:val="004A6965"/>
    <w:rsid w:val="004A6AA7"/>
    <w:rsid w:val="004A6C1D"/>
    <w:rsid w:val="004A72CC"/>
    <w:rsid w:val="004A72E1"/>
    <w:rsid w:val="004A7837"/>
    <w:rsid w:val="004A7E7A"/>
    <w:rsid w:val="004A7EB3"/>
    <w:rsid w:val="004B0237"/>
    <w:rsid w:val="004B0459"/>
    <w:rsid w:val="004B0CD9"/>
    <w:rsid w:val="004B0E2D"/>
    <w:rsid w:val="004B132E"/>
    <w:rsid w:val="004B1693"/>
    <w:rsid w:val="004B174B"/>
    <w:rsid w:val="004B1C4A"/>
    <w:rsid w:val="004B1E80"/>
    <w:rsid w:val="004B2153"/>
    <w:rsid w:val="004B2848"/>
    <w:rsid w:val="004B29A1"/>
    <w:rsid w:val="004B29B8"/>
    <w:rsid w:val="004B325E"/>
    <w:rsid w:val="004B32A3"/>
    <w:rsid w:val="004B37EA"/>
    <w:rsid w:val="004B3838"/>
    <w:rsid w:val="004B3953"/>
    <w:rsid w:val="004B39E9"/>
    <w:rsid w:val="004B3B23"/>
    <w:rsid w:val="004B3C6E"/>
    <w:rsid w:val="004B3E8C"/>
    <w:rsid w:val="004B4188"/>
    <w:rsid w:val="004B4535"/>
    <w:rsid w:val="004B45B1"/>
    <w:rsid w:val="004B46FF"/>
    <w:rsid w:val="004B4791"/>
    <w:rsid w:val="004B47EF"/>
    <w:rsid w:val="004B4A2D"/>
    <w:rsid w:val="004B4AD0"/>
    <w:rsid w:val="004B4C42"/>
    <w:rsid w:val="004B4E51"/>
    <w:rsid w:val="004B53A0"/>
    <w:rsid w:val="004B564F"/>
    <w:rsid w:val="004B579F"/>
    <w:rsid w:val="004B57AD"/>
    <w:rsid w:val="004B58BC"/>
    <w:rsid w:val="004B58FC"/>
    <w:rsid w:val="004B5981"/>
    <w:rsid w:val="004B59CB"/>
    <w:rsid w:val="004B5D32"/>
    <w:rsid w:val="004B5E23"/>
    <w:rsid w:val="004B5EEA"/>
    <w:rsid w:val="004B612F"/>
    <w:rsid w:val="004B619B"/>
    <w:rsid w:val="004B6275"/>
    <w:rsid w:val="004B6987"/>
    <w:rsid w:val="004B6A42"/>
    <w:rsid w:val="004B6B56"/>
    <w:rsid w:val="004B6C15"/>
    <w:rsid w:val="004B6F2F"/>
    <w:rsid w:val="004B701B"/>
    <w:rsid w:val="004B717E"/>
    <w:rsid w:val="004B721B"/>
    <w:rsid w:val="004B727D"/>
    <w:rsid w:val="004B777C"/>
    <w:rsid w:val="004B77A6"/>
    <w:rsid w:val="004C014D"/>
    <w:rsid w:val="004C0409"/>
    <w:rsid w:val="004C043F"/>
    <w:rsid w:val="004C04D8"/>
    <w:rsid w:val="004C065D"/>
    <w:rsid w:val="004C06DB"/>
    <w:rsid w:val="004C07A5"/>
    <w:rsid w:val="004C085A"/>
    <w:rsid w:val="004C0AEB"/>
    <w:rsid w:val="004C0B9F"/>
    <w:rsid w:val="004C0BD3"/>
    <w:rsid w:val="004C0C15"/>
    <w:rsid w:val="004C0DDB"/>
    <w:rsid w:val="004C0F42"/>
    <w:rsid w:val="004C12A4"/>
    <w:rsid w:val="004C1599"/>
    <w:rsid w:val="004C185F"/>
    <w:rsid w:val="004C1CE9"/>
    <w:rsid w:val="004C1EF6"/>
    <w:rsid w:val="004C208E"/>
    <w:rsid w:val="004C2727"/>
    <w:rsid w:val="004C2980"/>
    <w:rsid w:val="004C2F78"/>
    <w:rsid w:val="004C32AE"/>
    <w:rsid w:val="004C3320"/>
    <w:rsid w:val="004C386D"/>
    <w:rsid w:val="004C3949"/>
    <w:rsid w:val="004C3BB4"/>
    <w:rsid w:val="004C4165"/>
    <w:rsid w:val="004C4270"/>
    <w:rsid w:val="004C42B2"/>
    <w:rsid w:val="004C4476"/>
    <w:rsid w:val="004C4AF4"/>
    <w:rsid w:val="004C4D63"/>
    <w:rsid w:val="004C4EE7"/>
    <w:rsid w:val="004C501A"/>
    <w:rsid w:val="004C517C"/>
    <w:rsid w:val="004C530C"/>
    <w:rsid w:val="004C53D7"/>
    <w:rsid w:val="004C552A"/>
    <w:rsid w:val="004C5677"/>
    <w:rsid w:val="004C618D"/>
    <w:rsid w:val="004C6267"/>
    <w:rsid w:val="004C634D"/>
    <w:rsid w:val="004C6552"/>
    <w:rsid w:val="004C6927"/>
    <w:rsid w:val="004C694B"/>
    <w:rsid w:val="004C6967"/>
    <w:rsid w:val="004C6A71"/>
    <w:rsid w:val="004C6DD0"/>
    <w:rsid w:val="004C7498"/>
    <w:rsid w:val="004C7592"/>
    <w:rsid w:val="004C7965"/>
    <w:rsid w:val="004C7A47"/>
    <w:rsid w:val="004C7CE8"/>
    <w:rsid w:val="004D02FD"/>
    <w:rsid w:val="004D054B"/>
    <w:rsid w:val="004D0893"/>
    <w:rsid w:val="004D0AB2"/>
    <w:rsid w:val="004D0D43"/>
    <w:rsid w:val="004D11BC"/>
    <w:rsid w:val="004D1654"/>
    <w:rsid w:val="004D174C"/>
    <w:rsid w:val="004D176D"/>
    <w:rsid w:val="004D1985"/>
    <w:rsid w:val="004D1D2C"/>
    <w:rsid w:val="004D1EC6"/>
    <w:rsid w:val="004D1F7A"/>
    <w:rsid w:val="004D245E"/>
    <w:rsid w:val="004D2AE4"/>
    <w:rsid w:val="004D3190"/>
    <w:rsid w:val="004D31C0"/>
    <w:rsid w:val="004D32C5"/>
    <w:rsid w:val="004D3658"/>
    <w:rsid w:val="004D3B92"/>
    <w:rsid w:val="004D3C39"/>
    <w:rsid w:val="004D3C99"/>
    <w:rsid w:val="004D3DAF"/>
    <w:rsid w:val="004D3FEB"/>
    <w:rsid w:val="004D404A"/>
    <w:rsid w:val="004D4464"/>
    <w:rsid w:val="004D452D"/>
    <w:rsid w:val="004D45EF"/>
    <w:rsid w:val="004D4767"/>
    <w:rsid w:val="004D4A77"/>
    <w:rsid w:val="004D4BA4"/>
    <w:rsid w:val="004D4C1F"/>
    <w:rsid w:val="004D4C8A"/>
    <w:rsid w:val="004D4D86"/>
    <w:rsid w:val="004D4D97"/>
    <w:rsid w:val="004D4DDC"/>
    <w:rsid w:val="004D4F45"/>
    <w:rsid w:val="004D505B"/>
    <w:rsid w:val="004D5262"/>
    <w:rsid w:val="004D546D"/>
    <w:rsid w:val="004D55BA"/>
    <w:rsid w:val="004D5A41"/>
    <w:rsid w:val="004D5C91"/>
    <w:rsid w:val="004D5D9F"/>
    <w:rsid w:val="004D6005"/>
    <w:rsid w:val="004D6027"/>
    <w:rsid w:val="004D61FA"/>
    <w:rsid w:val="004D623D"/>
    <w:rsid w:val="004D647C"/>
    <w:rsid w:val="004D65B9"/>
    <w:rsid w:val="004D670A"/>
    <w:rsid w:val="004D6916"/>
    <w:rsid w:val="004D6965"/>
    <w:rsid w:val="004D6CA9"/>
    <w:rsid w:val="004D6D00"/>
    <w:rsid w:val="004D6DD1"/>
    <w:rsid w:val="004D6E32"/>
    <w:rsid w:val="004D70D7"/>
    <w:rsid w:val="004D726C"/>
    <w:rsid w:val="004D7674"/>
    <w:rsid w:val="004D7A17"/>
    <w:rsid w:val="004D7D1A"/>
    <w:rsid w:val="004E00BB"/>
    <w:rsid w:val="004E0730"/>
    <w:rsid w:val="004E0912"/>
    <w:rsid w:val="004E0C3A"/>
    <w:rsid w:val="004E0D19"/>
    <w:rsid w:val="004E1340"/>
    <w:rsid w:val="004E138D"/>
    <w:rsid w:val="004E160C"/>
    <w:rsid w:val="004E1732"/>
    <w:rsid w:val="004E1AD9"/>
    <w:rsid w:val="004E1C5B"/>
    <w:rsid w:val="004E1CA0"/>
    <w:rsid w:val="004E2070"/>
    <w:rsid w:val="004E215D"/>
    <w:rsid w:val="004E21A4"/>
    <w:rsid w:val="004E22FD"/>
    <w:rsid w:val="004E254B"/>
    <w:rsid w:val="004E27BC"/>
    <w:rsid w:val="004E2B7A"/>
    <w:rsid w:val="004E2C73"/>
    <w:rsid w:val="004E2CFB"/>
    <w:rsid w:val="004E3093"/>
    <w:rsid w:val="004E31BA"/>
    <w:rsid w:val="004E33DC"/>
    <w:rsid w:val="004E36DE"/>
    <w:rsid w:val="004E3759"/>
    <w:rsid w:val="004E3AE6"/>
    <w:rsid w:val="004E3F35"/>
    <w:rsid w:val="004E45E0"/>
    <w:rsid w:val="004E4C32"/>
    <w:rsid w:val="004E4FCD"/>
    <w:rsid w:val="004E5263"/>
    <w:rsid w:val="004E5743"/>
    <w:rsid w:val="004E584C"/>
    <w:rsid w:val="004E5955"/>
    <w:rsid w:val="004E5E58"/>
    <w:rsid w:val="004E5F0A"/>
    <w:rsid w:val="004E5F6C"/>
    <w:rsid w:val="004E6601"/>
    <w:rsid w:val="004E6687"/>
    <w:rsid w:val="004E6C2E"/>
    <w:rsid w:val="004E6DF1"/>
    <w:rsid w:val="004E713F"/>
    <w:rsid w:val="004E729B"/>
    <w:rsid w:val="004E75FF"/>
    <w:rsid w:val="004E7C16"/>
    <w:rsid w:val="004F000D"/>
    <w:rsid w:val="004F0123"/>
    <w:rsid w:val="004F0128"/>
    <w:rsid w:val="004F0323"/>
    <w:rsid w:val="004F035C"/>
    <w:rsid w:val="004F0AA0"/>
    <w:rsid w:val="004F0C93"/>
    <w:rsid w:val="004F0DAF"/>
    <w:rsid w:val="004F0DB6"/>
    <w:rsid w:val="004F1390"/>
    <w:rsid w:val="004F1549"/>
    <w:rsid w:val="004F1726"/>
    <w:rsid w:val="004F183F"/>
    <w:rsid w:val="004F1878"/>
    <w:rsid w:val="004F19F1"/>
    <w:rsid w:val="004F1D9D"/>
    <w:rsid w:val="004F218E"/>
    <w:rsid w:val="004F2268"/>
    <w:rsid w:val="004F241D"/>
    <w:rsid w:val="004F277B"/>
    <w:rsid w:val="004F2800"/>
    <w:rsid w:val="004F2D6A"/>
    <w:rsid w:val="004F2F87"/>
    <w:rsid w:val="004F304A"/>
    <w:rsid w:val="004F3560"/>
    <w:rsid w:val="004F37A8"/>
    <w:rsid w:val="004F37AA"/>
    <w:rsid w:val="004F3979"/>
    <w:rsid w:val="004F3ACE"/>
    <w:rsid w:val="004F3C36"/>
    <w:rsid w:val="004F3D9A"/>
    <w:rsid w:val="004F3E0F"/>
    <w:rsid w:val="004F41DF"/>
    <w:rsid w:val="004F457E"/>
    <w:rsid w:val="004F4A36"/>
    <w:rsid w:val="004F4A7C"/>
    <w:rsid w:val="004F4AAC"/>
    <w:rsid w:val="004F4E1A"/>
    <w:rsid w:val="004F4E24"/>
    <w:rsid w:val="004F5125"/>
    <w:rsid w:val="004F527F"/>
    <w:rsid w:val="004F5346"/>
    <w:rsid w:val="004F54F5"/>
    <w:rsid w:val="004F554D"/>
    <w:rsid w:val="004F56A6"/>
    <w:rsid w:val="004F56CE"/>
    <w:rsid w:val="004F5B02"/>
    <w:rsid w:val="004F5B74"/>
    <w:rsid w:val="004F5CE4"/>
    <w:rsid w:val="004F5E18"/>
    <w:rsid w:val="004F5FC2"/>
    <w:rsid w:val="004F5FF0"/>
    <w:rsid w:val="004F60FD"/>
    <w:rsid w:val="004F6F29"/>
    <w:rsid w:val="004F7103"/>
    <w:rsid w:val="004F7282"/>
    <w:rsid w:val="004F734A"/>
    <w:rsid w:val="004F75E3"/>
    <w:rsid w:val="004F78E2"/>
    <w:rsid w:val="004F7F4A"/>
    <w:rsid w:val="00500132"/>
    <w:rsid w:val="0050022E"/>
    <w:rsid w:val="00500439"/>
    <w:rsid w:val="00500564"/>
    <w:rsid w:val="00500568"/>
    <w:rsid w:val="00500819"/>
    <w:rsid w:val="00500857"/>
    <w:rsid w:val="005009BB"/>
    <w:rsid w:val="00500A7E"/>
    <w:rsid w:val="00500AA1"/>
    <w:rsid w:val="00500BC4"/>
    <w:rsid w:val="00500C71"/>
    <w:rsid w:val="00500E0D"/>
    <w:rsid w:val="00500E52"/>
    <w:rsid w:val="00500F88"/>
    <w:rsid w:val="00501355"/>
    <w:rsid w:val="0050191B"/>
    <w:rsid w:val="00501950"/>
    <w:rsid w:val="00501AEF"/>
    <w:rsid w:val="00501CB5"/>
    <w:rsid w:val="00501E4F"/>
    <w:rsid w:val="00502333"/>
    <w:rsid w:val="005039DD"/>
    <w:rsid w:val="00503A55"/>
    <w:rsid w:val="00503D49"/>
    <w:rsid w:val="00503E18"/>
    <w:rsid w:val="00504405"/>
    <w:rsid w:val="0050440A"/>
    <w:rsid w:val="00504486"/>
    <w:rsid w:val="00504505"/>
    <w:rsid w:val="00504537"/>
    <w:rsid w:val="00504539"/>
    <w:rsid w:val="005045B4"/>
    <w:rsid w:val="00504D39"/>
    <w:rsid w:val="00505243"/>
    <w:rsid w:val="005053E8"/>
    <w:rsid w:val="00505794"/>
    <w:rsid w:val="005057FE"/>
    <w:rsid w:val="00505866"/>
    <w:rsid w:val="00505AAC"/>
    <w:rsid w:val="00505AD0"/>
    <w:rsid w:val="00505D90"/>
    <w:rsid w:val="00505F4E"/>
    <w:rsid w:val="005063FD"/>
    <w:rsid w:val="00506887"/>
    <w:rsid w:val="00506A0D"/>
    <w:rsid w:val="00506A74"/>
    <w:rsid w:val="00506E59"/>
    <w:rsid w:val="00506E98"/>
    <w:rsid w:val="00506F05"/>
    <w:rsid w:val="00506F0B"/>
    <w:rsid w:val="00506FBA"/>
    <w:rsid w:val="0050714B"/>
    <w:rsid w:val="0050736A"/>
    <w:rsid w:val="005074B2"/>
    <w:rsid w:val="0050765B"/>
    <w:rsid w:val="005076CB"/>
    <w:rsid w:val="00507B26"/>
    <w:rsid w:val="00507CA2"/>
    <w:rsid w:val="005100E2"/>
    <w:rsid w:val="00510549"/>
    <w:rsid w:val="005108FA"/>
    <w:rsid w:val="00510A29"/>
    <w:rsid w:val="00510FF6"/>
    <w:rsid w:val="00511366"/>
    <w:rsid w:val="005113D7"/>
    <w:rsid w:val="00511685"/>
    <w:rsid w:val="00511AF1"/>
    <w:rsid w:val="00511BCD"/>
    <w:rsid w:val="00511E28"/>
    <w:rsid w:val="00512172"/>
    <w:rsid w:val="00512581"/>
    <w:rsid w:val="00512699"/>
    <w:rsid w:val="005126B3"/>
    <w:rsid w:val="005127C7"/>
    <w:rsid w:val="005127E2"/>
    <w:rsid w:val="00512924"/>
    <w:rsid w:val="00512AD3"/>
    <w:rsid w:val="00512BF8"/>
    <w:rsid w:val="00513643"/>
    <w:rsid w:val="0051364A"/>
    <w:rsid w:val="0051369D"/>
    <w:rsid w:val="00513B21"/>
    <w:rsid w:val="00513E43"/>
    <w:rsid w:val="00514636"/>
    <w:rsid w:val="0051493A"/>
    <w:rsid w:val="00514A18"/>
    <w:rsid w:val="00514C44"/>
    <w:rsid w:val="00515937"/>
    <w:rsid w:val="00515D46"/>
    <w:rsid w:val="00515F68"/>
    <w:rsid w:val="00516086"/>
    <w:rsid w:val="00516198"/>
    <w:rsid w:val="0051650E"/>
    <w:rsid w:val="005165B6"/>
    <w:rsid w:val="00516639"/>
    <w:rsid w:val="005166D0"/>
    <w:rsid w:val="00516828"/>
    <w:rsid w:val="005168AB"/>
    <w:rsid w:val="005168D6"/>
    <w:rsid w:val="00516943"/>
    <w:rsid w:val="00516D55"/>
    <w:rsid w:val="00516EAA"/>
    <w:rsid w:val="00516F82"/>
    <w:rsid w:val="00516FAE"/>
    <w:rsid w:val="005172CD"/>
    <w:rsid w:val="005172EA"/>
    <w:rsid w:val="005173E2"/>
    <w:rsid w:val="00517538"/>
    <w:rsid w:val="0051755C"/>
    <w:rsid w:val="00517703"/>
    <w:rsid w:val="005177B0"/>
    <w:rsid w:val="00517AEB"/>
    <w:rsid w:val="00517D00"/>
    <w:rsid w:val="0052011E"/>
    <w:rsid w:val="00520125"/>
    <w:rsid w:val="005201D7"/>
    <w:rsid w:val="00520447"/>
    <w:rsid w:val="00520468"/>
    <w:rsid w:val="00520A1F"/>
    <w:rsid w:val="00520ADD"/>
    <w:rsid w:val="00520BC8"/>
    <w:rsid w:val="00520D85"/>
    <w:rsid w:val="00521151"/>
    <w:rsid w:val="00521169"/>
    <w:rsid w:val="005212CA"/>
    <w:rsid w:val="005213A7"/>
    <w:rsid w:val="005214F4"/>
    <w:rsid w:val="005219DC"/>
    <w:rsid w:val="00521E6F"/>
    <w:rsid w:val="00521F33"/>
    <w:rsid w:val="00521F3E"/>
    <w:rsid w:val="00522239"/>
    <w:rsid w:val="0052236F"/>
    <w:rsid w:val="005224E3"/>
    <w:rsid w:val="0052264B"/>
    <w:rsid w:val="005227A2"/>
    <w:rsid w:val="0052282C"/>
    <w:rsid w:val="0052298C"/>
    <w:rsid w:val="00522B38"/>
    <w:rsid w:val="00522EAD"/>
    <w:rsid w:val="00522F56"/>
    <w:rsid w:val="00523192"/>
    <w:rsid w:val="005232B3"/>
    <w:rsid w:val="005234C2"/>
    <w:rsid w:val="005234E9"/>
    <w:rsid w:val="0052355F"/>
    <w:rsid w:val="0052367A"/>
    <w:rsid w:val="005236B5"/>
    <w:rsid w:val="005236FD"/>
    <w:rsid w:val="005239B4"/>
    <w:rsid w:val="00523A96"/>
    <w:rsid w:val="00523AE6"/>
    <w:rsid w:val="00523C14"/>
    <w:rsid w:val="00523E7A"/>
    <w:rsid w:val="00523F1D"/>
    <w:rsid w:val="0052420A"/>
    <w:rsid w:val="005243DE"/>
    <w:rsid w:val="00524719"/>
    <w:rsid w:val="00524737"/>
    <w:rsid w:val="005247DF"/>
    <w:rsid w:val="00524D8F"/>
    <w:rsid w:val="00524FB6"/>
    <w:rsid w:val="0052572B"/>
    <w:rsid w:val="00525C9B"/>
    <w:rsid w:val="00525F99"/>
    <w:rsid w:val="00526003"/>
    <w:rsid w:val="00526550"/>
    <w:rsid w:val="005266DB"/>
    <w:rsid w:val="00526D84"/>
    <w:rsid w:val="00526EA6"/>
    <w:rsid w:val="00526FA7"/>
    <w:rsid w:val="005272DC"/>
    <w:rsid w:val="00527309"/>
    <w:rsid w:val="00527463"/>
    <w:rsid w:val="005276D4"/>
    <w:rsid w:val="005277AF"/>
    <w:rsid w:val="005279A7"/>
    <w:rsid w:val="00527B5C"/>
    <w:rsid w:val="0053017F"/>
    <w:rsid w:val="0053019B"/>
    <w:rsid w:val="00530233"/>
    <w:rsid w:val="00530280"/>
    <w:rsid w:val="00530305"/>
    <w:rsid w:val="005305AC"/>
    <w:rsid w:val="005307BB"/>
    <w:rsid w:val="00530CE7"/>
    <w:rsid w:val="00530D40"/>
    <w:rsid w:val="00530F13"/>
    <w:rsid w:val="00530F69"/>
    <w:rsid w:val="005310B5"/>
    <w:rsid w:val="00531737"/>
    <w:rsid w:val="005318DC"/>
    <w:rsid w:val="00531BB2"/>
    <w:rsid w:val="00531E5A"/>
    <w:rsid w:val="00531E7E"/>
    <w:rsid w:val="00532114"/>
    <w:rsid w:val="0053220D"/>
    <w:rsid w:val="0053238C"/>
    <w:rsid w:val="005323CC"/>
    <w:rsid w:val="005324B8"/>
    <w:rsid w:val="00532721"/>
    <w:rsid w:val="005328DA"/>
    <w:rsid w:val="005329F1"/>
    <w:rsid w:val="00532A5B"/>
    <w:rsid w:val="00532C67"/>
    <w:rsid w:val="00533073"/>
    <w:rsid w:val="00533171"/>
    <w:rsid w:val="00533343"/>
    <w:rsid w:val="005333AB"/>
    <w:rsid w:val="00533686"/>
    <w:rsid w:val="0053381E"/>
    <w:rsid w:val="00533B2F"/>
    <w:rsid w:val="0053445F"/>
    <w:rsid w:val="005344C1"/>
    <w:rsid w:val="005346DE"/>
    <w:rsid w:val="0053471C"/>
    <w:rsid w:val="00534818"/>
    <w:rsid w:val="00534B52"/>
    <w:rsid w:val="00534F51"/>
    <w:rsid w:val="00535079"/>
    <w:rsid w:val="005350DE"/>
    <w:rsid w:val="0053539D"/>
    <w:rsid w:val="00535403"/>
    <w:rsid w:val="00535566"/>
    <w:rsid w:val="00535C30"/>
    <w:rsid w:val="00535C8E"/>
    <w:rsid w:val="00536240"/>
    <w:rsid w:val="0053627D"/>
    <w:rsid w:val="00537FD2"/>
    <w:rsid w:val="0054013A"/>
    <w:rsid w:val="005403E0"/>
    <w:rsid w:val="00540415"/>
    <w:rsid w:val="00540520"/>
    <w:rsid w:val="0054094D"/>
    <w:rsid w:val="00540A19"/>
    <w:rsid w:val="00540FFF"/>
    <w:rsid w:val="005421BE"/>
    <w:rsid w:val="005421FE"/>
    <w:rsid w:val="005423AE"/>
    <w:rsid w:val="005427C1"/>
    <w:rsid w:val="005428E2"/>
    <w:rsid w:val="00543024"/>
    <w:rsid w:val="005431EE"/>
    <w:rsid w:val="005433E2"/>
    <w:rsid w:val="00543C45"/>
    <w:rsid w:val="00543CA2"/>
    <w:rsid w:val="005442EC"/>
    <w:rsid w:val="0054445F"/>
    <w:rsid w:val="0054455B"/>
    <w:rsid w:val="005445B5"/>
    <w:rsid w:val="005445CB"/>
    <w:rsid w:val="0054473C"/>
    <w:rsid w:val="00544779"/>
    <w:rsid w:val="0054489A"/>
    <w:rsid w:val="00544B65"/>
    <w:rsid w:val="00544C33"/>
    <w:rsid w:val="00544C67"/>
    <w:rsid w:val="00544EE3"/>
    <w:rsid w:val="00544F4C"/>
    <w:rsid w:val="005459FD"/>
    <w:rsid w:val="00545AB4"/>
    <w:rsid w:val="00546554"/>
    <w:rsid w:val="005469C7"/>
    <w:rsid w:val="00546C45"/>
    <w:rsid w:val="00547088"/>
    <w:rsid w:val="005470CB"/>
    <w:rsid w:val="00547376"/>
    <w:rsid w:val="00547394"/>
    <w:rsid w:val="00547476"/>
    <w:rsid w:val="005475F8"/>
    <w:rsid w:val="005478A8"/>
    <w:rsid w:val="00547972"/>
    <w:rsid w:val="00547A0A"/>
    <w:rsid w:val="005500AF"/>
    <w:rsid w:val="005500E2"/>
    <w:rsid w:val="005502EC"/>
    <w:rsid w:val="00550A5D"/>
    <w:rsid w:val="00550E53"/>
    <w:rsid w:val="00550E73"/>
    <w:rsid w:val="00550EE2"/>
    <w:rsid w:val="00550F95"/>
    <w:rsid w:val="00551092"/>
    <w:rsid w:val="00551324"/>
    <w:rsid w:val="0055146E"/>
    <w:rsid w:val="005516BB"/>
    <w:rsid w:val="0055178A"/>
    <w:rsid w:val="0055187E"/>
    <w:rsid w:val="0055197F"/>
    <w:rsid w:val="00551DA9"/>
    <w:rsid w:val="005522F2"/>
    <w:rsid w:val="00552374"/>
    <w:rsid w:val="0055255E"/>
    <w:rsid w:val="00552634"/>
    <w:rsid w:val="005526FC"/>
    <w:rsid w:val="00552C0B"/>
    <w:rsid w:val="00552D50"/>
    <w:rsid w:val="00552E80"/>
    <w:rsid w:val="00553165"/>
    <w:rsid w:val="00553355"/>
    <w:rsid w:val="005538A7"/>
    <w:rsid w:val="00553AAE"/>
    <w:rsid w:val="00553E67"/>
    <w:rsid w:val="00554153"/>
    <w:rsid w:val="00554299"/>
    <w:rsid w:val="00554A63"/>
    <w:rsid w:val="00554E9C"/>
    <w:rsid w:val="00555144"/>
    <w:rsid w:val="005552A1"/>
    <w:rsid w:val="005553EC"/>
    <w:rsid w:val="00555438"/>
    <w:rsid w:val="005555B2"/>
    <w:rsid w:val="005559D3"/>
    <w:rsid w:val="00555A9C"/>
    <w:rsid w:val="00555E4D"/>
    <w:rsid w:val="005561D0"/>
    <w:rsid w:val="0055639F"/>
    <w:rsid w:val="00556810"/>
    <w:rsid w:val="00556BDF"/>
    <w:rsid w:val="00556CCA"/>
    <w:rsid w:val="00557048"/>
    <w:rsid w:val="005574BC"/>
    <w:rsid w:val="005574D8"/>
    <w:rsid w:val="00557874"/>
    <w:rsid w:val="005579CD"/>
    <w:rsid w:val="005579E4"/>
    <w:rsid w:val="00557ABB"/>
    <w:rsid w:val="00557B84"/>
    <w:rsid w:val="00557BF6"/>
    <w:rsid w:val="00557E24"/>
    <w:rsid w:val="00557E3A"/>
    <w:rsid w:val="0056015D"/>
    <w:rsid w:val="005601ED"/>
    <w:rsid w:val="00560470"/>
    <w:rsid w:val="0056068D"/>
    <w:rsid w:val="00560AA9"/>
    <w:rsid w:val="00560B08"/>
    <w:rsid w:val="00560B7D"/>
    <w:rsid w:val="00561032"/>
    <w:rsid w:val="00561531"/>
    <w:rsid w:val="0056188A"/>
    <w:rsid w:val="00561A86"/>
    <w:rsid w:val="00561AA0"/>
    <w:rsid w:val="00561E38"/>
    <w:rsid w:val="005623CD"/>
    <w:rsid w:val="005624FC"/>
    <w:rsid w:val="00562900"/>
    <w:rsid w:val="00562946"/>
    <w:rsid w:val="00562A50"/>
    <w:rsid w:val="00562B0F"/>
    <w:rsid w:val="005634F7"/>
    <w:rsid w:val="00563512"/>
    <w:rsid w:val="0056370A"/>
    <w:rsid w:val="00563817"/>
    <w:rsid w:val="005639B1"/>
    <w:rsid w:val="00563AEB"/>
    <w:rsid w:val="00563F3E"/>
    <w:rsid w:val="00564284"/>
    <w:rsid w:val="0056431E"/>
    <w:rsid w:val="005643B6"/>
    <w:rsid w:val="0056453B"/>
    <w:rsid w:val="00564E2C"/>
    <w:rsid w:val="00564E73"/>
    <w:rsid w:val="00564EA4"/>
    <w:rsid w:val="005652A0"/>
    <w:rsid w:val="00565333"/>
    <w:rsid w:val="0056595F"/>
    <w:rsid w:val="00565AE7"/>
    <w:rsid w:val="00565DCA"/>
    <w:rsid w:val="00565E71"/>
    <w:rsid w:val="00565EEC"/>
    <w:rsid w:val="00565FEC"/>
    <w:rsid w:val="00566123"/>
    <w:rsid w:val="005667F4"/>
    <w:rsid w:val="005667F8"/>
    <w:rsid w:val="00566920"/>
    <w:rsid w:val="00566BB3"/>
    <w:rsid w:val="00567162"/>
    <w:rsid w:val="005671C4"/>
    <w:rsid w:val="005672E7"/>
    <w:rsid w:val="00567491"/>
    <w:rsid w:val="00567495"/>
    <w:rsid w:val="0056780B"/>
    <w:rsid w:val="00567A39"/>
    <w:rsid w:val="00567A69"/>
    <w:rsid w:val="00567BBC"/>
    <w:rsid w:val="00567DDB"/>
    <w:rsid w:val="00567E71"/>
    <w:rsid w:val="00567F3F"/>
    <w:rsid w:val="00567F53"/>
    <w:rsid w:val="0057027C"/>
    <w:rsid w:val="0057069B"/>
    <w:rsid w:val="005707D6"/>
    <w:rsid w:val="0057095C"/>
    <w:rsid w:val="00570D29"/>
    <w:rsid w:val="00570F02"/>
    <w:rsid w:val="00571058"/>
    <w:rsid w:val="0057109F"/>
    <w:rsid w:val="005713CD"/>
    <w:rsid w:val="00571547"/>
    <w:rsid w:val="005719F3"/>
    <w:rsid w:val="00572201"/>
    <w:rsid w:val="00572353"/>
    <w:rsid w:val="0057283F"/>
    <w:rsid w:val="0057295E"/>
    <w:rsid w:val="00573483"/>
    <w:rsid w:val="00573521"/>
    <w:rsid w:val="00573651"/>
    <w:rsid w:val="00573754"/>
    <w:rsid w:val="00573A8F"/>
    <w:rsid w:val="00573AAF"/>
    <w:rsid w:val="00573CFA"/>
    <w:rsid w:val="00573D96"/>
    <w:rsid w:val="00573F8C"/>
    <w:rsid w:val="0057427D"/>
    <w:rsid w:val="005743B2"/>
    <w:rsid w:val="00574D7E"/>
    <w:rsid w:val="0057546E"/>
    <w:rsid w:val="0057585E"/>
    <w:rsid w:val="00575A7A"/>
    <w:rsid w:val="00575BD5"/>
    <w:rsid w:val="00575D06"/>
    <w:rsid w:val="00576026"/>
    <w:rsid w:val="00576110"/>
    <w:rsid w:val="005762D1"/>
    <w:rsid w:val="005763FA"/>
    <w:rsid w:val="005765B2"/>
    <w:rsid w:val="005768FD"/>
    <w:rsid w:val="00576E0A"/>
    <w:rsid w:val="0057702F"/>
    <w:rsid w:val="005770A4"/>
    <w:rsid w:val="005777BD"/>
    <w:rsid w:val="0057792F"/>
    <w:rsid w:val="00577971"/>
    <w:rsid w:val="00577BD3"/>
    <w:rsid w:val="00577C8B"/>
    <w:rsid w:val="0058021C"/>
    <w:rsid w:val="005802A3"/>
    <w:rsid w:val="0058089B"/>
    <w:rsid w:val="005808DD"/>
    <w:rsid w:val="00580E5A"/>
    <w:rsid w:val="00581681"/>
    <w:rsid w:val="00581822"/>
    <w:rsid w:val="005818C7"/>
    <w:rsid w:val="00581A69"/>
    <w:rsid w:val="00581EE4"/>
    <w:rsid w:val="005821FB"/>
    <w:rsid w:val="00582336"/>
    <w:rsid w:val="0058244E"/>
    <w:rsid w:val="0058262E"/>
    <w:rsid w:val="00582811"/>
    <w:rsid w:val="00582E89"/>
    <w:rsid w:val="00582F42"/>
    <w:rsid w:val="0058303C"/>
    <w:rsid w:val="005836B5"/>
    <w:rsid w:val="005840DD"/>
    <w:rsid w:val="005845E8"/>
    <w:rsid w:val="0058467C"/>
    <w:rsid w:val="00584773"/>
    <w:rsid w:val="005847AB"/>
    <w:rsid w:val="005847BF"/>
    <w:rsid w:val="00584889"/>
    <w:rsid w:val="00584A8B"/>
    <w:rsid w:val="00584CAA"/>
    <w:rsid w:val="00584E6F"/>
    <w:rsid w:val="0058530A"/>
    <w:rsid w:val="005853E1"/>
    <w:rsid w:val="00585EE7"/>
    <w:rsid w:val="00585F1C"/>
    <w:rsid w:val="00585F3A"/>
    <w:rsid w:val="005865B4"/>
    <w:rsid w:val="005865D2"/>
    <w:rsid w:val="0058669D"/>
    <w:rsid w:val="00586704"/>
    <w:rsid w:val="005867E2"/>
    <w:rsid w:val="005869D3"/>
    <w:rsid w:val="00586BB1"/>
    <w:rsid w:val="00586DAD"/>
    <w:rsid w:val="00586F15"/>
    <w:rsid w:val="005873A9"/>
    <w:rsid w:val="005874D0"/>
    <w:rsid w:val="005875D3"/>
    <w:rsid w:val="005876E0"/>
    <w:rsid w:val="00587A03"/>
    <w:rsid w:val="00587AF0"/>
    <w:rsid w:val="00587EAC"/>
    <w:rsid w:val="00587FFC"/>
    <w:rsid w:val="00590154"/>
    <w:rsid w:val="0059018C"/>
    <w:rsid w:val="005902DB"/>
    <w:rsid w:val="00590A8D"/>
    <w:rsid w:val="00590ACE"/>
    <w:rsid w:val="00590E48"/>
    <w:rsid w:val="00591000"/>
    <w:rsid w:val="005911F5"/>
    <w:rsid w:val="005913D6"/>
    <w:rsid w:val="0059166D"/>
    <w:rsid w:val="0059193F"/>
    <w:rsid w:val="00592094"/>
    <w:rsid w:val="005920E7"/>
    <w:rsid w:val="0059246B"/>
    <w:rsid w:val="0059261A"/>
    <w:rsid w:val="00592981"/>
    <w:rsid w:val="00592ED9"/>
    <w:rsid w:val="005932BD"/>
    <w:rsid w:val="00593464"/>
    <w:rsid w:val="005934B3"/>
    <w:rsid w:val="00593507"/>
    <w:rsid w:val="0059374E"/>
    <w:rsid w:val="00593857"/>
    <w:rsid w:val="00593978"/>
    <w:rsid w:val="005939EB"/>
    <w:rsid w:val="00594642"/>
    <w:rsid w:val="00594664"/>
    <w:rsid w:val="00594820"/>
    <w:rsid w:val="00594BBA"/>
    <w:rsid w:val="00594EED"/>
    <w:rsid w:val="00594FA6"/>
    <w:rsid w:val="005952D5"/>
    <w:rsid w:val="00595342"/>
    <w:rsid w:val="0059544C"/>
    <w:rsid w:val="0059549A"/>
    <w:rsid w:val="00595569"/>
    <w:rsid w:val="005957A7"/>
    <w:rsid w:val="00595B23"/>
    <w:rsid w:val="00595C15"/>
    <w:rsid w:val="00595C5F"/>
    <w:rsid w:val="00595D21"/>
    <w:rsid w:val="00595D2B"/>
    <w:rsid w:val="00595E4D"/>
    <w:rsid w:val="00595EE5"/>
    <w:rsid w:val="005960F4"/>
    <w:rsid w:val="0059624F"/>
    <w:rsid w:val="005963CE"/>
    <w:rsid w:val="00596AC5"/>
    <w:rsid w:val="00596E45"/>
    <w:rsid w:val="00596F0B"/>
    <w:rsid w:val="005970DB"/>
    <w:rsid w:val="005973EA"/>
    <w:rsid w:val="0059740D"/>
    <w:rsid w:val="005977AA"/>
    <w:rsid w:val="00597857"/>
    <w:rsid w:val="00597A72"/>
    <w:rsid w:val="005A004F"/>
    <w:rsid w:val="005A005B"/>
    <w:rsid w:val="005A04B8"/>
    <w:rsid w:val="005A05C6"/>
    <w:rsid w:val="005A08A1"/>
    <w:rsid w:val="005A094E"/>
    <w:rsid w:val="005A0E8B"/>
    <w:rsid w:val="005A1142"/>
    <w:rsid w:val="005A12BD"/>
    <w:rsid w:val="005A1387"/>
    <w:rsid w:val="005A150B"/>
    <w:rsid w:val="005A152D"/>
    <w:rsid w:val="005A1587"/>
    <w:rsid w:val="005A17CE"/>
    <w:rsid w:val="005A1974"/>
    <w:rsid w:val="005A1A44"/>
    <w:rsid w:val="005A1D08"/>
    <w:rsid w:val="005A1FC2"/>
    <w:rsid w:val="005A2084"/>
    <w:rsid w:val="005A2857"/>
    <w:rsid w:val="005A294C"/>
    <w:rsid w:val="005A29CF"/>
    <w:rsid w:val="005A2A15"/>
    <w:rsid w:val="005A2CCA"/>
    <w:rsid w:val="005A2CDB"/>
    <w:rsid w:val="005A2D0B"/>
    <w:rsid w:val="005A30B8"/>
    <w:rsid w:val="005A31B7"/>
    <w:rsid w:val="005A374A"/>
    <w:rsid w:val="005A3AB1"/>
    <w:rsid w:val="005A3ED3"/>
    <w:rsid w:val="005A3F71"/>
    <w:rsid w:val="005A41FA"/>
    <w:rsid w:val="005A42A9"/>
    <w:rsid w:val="005A4594"/>
    <w:rsid w:val="005A4770"/>
    <w:rsid w:val="005A4A4C"/>
    <w:rsid w:val="005A4C02"/>
    <w:rsid w:val="005A4C4B"/>
    <w:rsid w:val="005A4F16"/>
    <w:rsid w:val="005A5538"/>
    <w:rsid w:val="005A5592"/>
    <w:rsid w:val="005A59F3"/>
    <w:rsid w:val="005A5B40"/>
    <w:rsid w:val="005A5D5B"/>
    <w:rsid w:val="005A6173"/>
    <w:rsid w:val="005A67F3"/>
    <w:rsid w:val="005A6814"/>
    <w:rsid w:val="005A68C6"/>
    <w:rsid w:val="005A6F64"/>
    <w:rsid w:val="005A6FC9"/>
    <w:rsid w:val="005A77D5"/>
    <w:rsid w:val="005A7E34"/>
    <w:rsid w:val="005A7F8B"/>
    <w:rsid w:val="005B0129"/>
    <w:rsid w:val="005B0630"/>
    <w:rsid w:val="005B08EE"/>
    <w:rsid w:val="005B0947"/>
    <w:rsid w:val="005B0CC7"/>
    <w:rsid w:val="005B1273"/>
    <w:rsid w:val="005B145E"/>
    <w:rsid w:val="005B14FE"/>
    <w:rsid w:val="005B1962"/>
    <w:rsid w:val="005B1A68"/>
    <w:rsid w:val="005B1AEA"/>
    <w:rsid w:val="005B1BD0"/>
    <w:rsid w:val="005B1BE3"/>
    <w:rsid w:val="005B24FD"/>
    <w:rsid w:val="005B25CD"/>
    <w:rsid w:val="005B2B10"/>
    <w:rsid w:val="005B2C42"/>
    <w:rsid w:val="005B2D37"/>
    <w:rsid w:val="005B2E1A"/>
    <w:rsid w:val="005B2F3A"/>
    <w:rsid w:val="005B33D4"/>
    <w:rsid w:val="005B36FD"/>
    <w:rsid w:val="005B3803"/>
    <w:rsid w:val="005B3A53"/>
    <w:rsid w:val="005B3C2A"/>
    <w:rsid w:val="005B3C60"/>
    <w:rsid w:val="005B3C83"/>
    <w:rsid w:val="005B3E29"/>
    <w:rsid w:val="005B3EEF"/>
    <w:rsid w:val="005B4208"/>
    <w:rsid w:val="005B48D9"/>
    <w:rsid w:val="005B49A5"/>
    <w:rsid w:val="005B49D8"/>
    <w:rsid w:val="005B4A46"/>
    <w:rsid w:val="005B4C8C"/>
    <w:rsid w:val="005B4E81"/>
    <w:rsid w:val="005B4F43"/>
    <w:rsid w:val="005B52E7"/>
    <w:rsid w:val="005B576C"/>
    <w:rsid w:val="005B5772"/>
    <w:rsid w:val="005B5777"/>
    <w:rsid w:val="005B584F"/>
    <w:rsid w:val="005B5CFC"/>
    <w:rsid w:val="005B5D46"/>
    <w:rsid w:val="005B5DFD"/>
    <w:rsid w:val="005B5EB0"/>
    <w:rsid w:val="005B5F51"/>
    <w:rsid w:val="005B5F79"/>
    <w:rsid w:val="005B67C1"/>
    <w:rsid w:val="005B6851"/>
    <w:rsid w:val="005B692E"/>
    <w:rsid w:val="005B69B4"/>
    <w:rsid w:val="005B6A81"/>
    <w:rsid w:val="005B6AA9"/>
    <w:rsid w:val="005B6AC6"/>
    <w:rsid w:val="005B6E4A"/>
    <w:rsid w:val="005B6F38"/>
    <w:rsid w:val="005B6F7A"/>
    <w:rsid w:val="005B782A"/>
    <w:rsid w:val="005B79BE"/>
    <w:rsid w:val="005B79F5"/>
    <w:rsid w:val="005B7A5C"/>
    <w:rsid w:val="005B7EE2"/>
    <w:rsid w:val="005B7FA3"/>
    <w:rsid w:val="005C00F3"/>
    <w:rsid w:val="005C054F"/>
    <w:rsid w:val="005C05CC"/>
    <w:rsid w:val="005C06FB"/>
    <w:rsid w:val="005C0920"/>
    <w:rsid w:val="005C0A59"/>
    <w:rsid w:val="005C0B54"/>
    <w:rsid w:val="005C0B9A"/>
    <w:rsid w:val="005C0BA2"/>
    <w:rsid w:val="005C0C30"/>
    <w:rsid w:val="005C1356"/>
    <w:rsid w:val="005C17C3"/>
    <w:rsid w:val="005C1AE4"/>
    <w:rsid w:val="005C1BAB"/>
    <w:rsid w:val="005C1ECD"/>
    <w:rsid w:val="005C202D"/>
    <w:rsid w:val="005C27D6"/>
    <w:rsid w:val="005C2974"/>
    <w:rsid w:val="005C2A06"/>
    <w:rsid w:val="005C2B5F"/>
    <w:rsid w:val="005C2E53"/>
    <w:rsid w:val="005C3225"/>
    <w:rsid w:val="005C334A"/>
    <w:rsid w:val="005C3A90"/>
    <w:rsid w:val="005C4036"/>
    <w:rsid w:val="005C410A"/>
    <w:rsid w:val="005C43DD"/>
    <w:rsid w:val="005C47FE"/>
    <w:rsid w:val="005C4FE1"/>
    <w:rsid w:val="005C53FA"/>
    <w:rsid w:val="005C5425"/>
    <w:rsid w:val="005C59EC"/>
    <w:rsid w:val="005C5A33"/>
    <w:rsid w:val="005C5AFB"/>
    <w:rsid w:val="005C5F85"/>
    <w:rsid w:val="005C60E0"/>
    <w:rsid w:val="005C629F"/>
    <w:rsid w:val="005C63B7"/>
    <w:rsid w:val="005C64DA"/>
    <w:rsid w:val="005C64F9"/>
    <w:rsid w:val="005C66D8"/>
    <w:rsid w:val="005C68AC"/>
    <w:rsid w:val="005C6DE4"/>
    <w:rsid w:val="005C6E93"/>
    <w:rsid w:val="005C6ECA"/>
    <w:rsid w:val="005C70A7"/>
    <w:rsid w:val="005C7342"/>
    <w:rsid w:val="005C7620"/>
    <w:rsid w:val="005C76E9"/>
    <w:rsid w:val="005C776B"/>
    <w:rsid w:val="005C7794"/>
    <w:rsid w:val="005C7B35"/>
    <w:rsid w:val="005C7B81"/>
    <w:rsid w:val="005C7C45"/>
    <w:rsid w:val="005C7D5B"/>
    <w:rsid w:val="005C7D8F"/>
    <w:rsid w:val="005C7E2C"/>
    <w:rsid w:val="005C7E5F"/>
    <w:rsid w:val="005C7EF8"/>
    <w:rsid w:val="005C7FBA"/>
    <w:rsid w:val="005D016D"/>
    <w:rsid w:val="005D024C"/>
    <w:rsid w:val="005D0973"/>
    <w:rsid w:val="005D0A05"/>
    <w:rsid w:val="005D0B47"/>
    <w:rsid w:val="005D0BA1"/>
    <w:rsid w:val="005D10A8"/>
    <w:rsid w:val="005D1AE0"/>
    <w:rsid w:val="005D1AFD"/>
    <w:rsid w:val="005D1C6C"/>
    <w:rsid w:val="005D1D8A"/>
    <w:rsid w:val="005D1E7E"/>
    <w:rsid w:val="005D1F4F"/>
    <w:rsid w:val="005D20EF"/>
    <w:rsid w:val="005D2335"/>
    <w:rsid w:val="005D274D"/>
    <w:rsid w:val="005D2C6A"/>
    <w:rsid w:val="005D2EEB"/>
    <w:rsid w:val="005D3106"/>
    <w:rsid w:val="005D32D6"/>
    <w:rsid w:val="005D3A53"/>
    <w:rsid w:val="005D3B47"/>
    <w:rsid w:val="005D3EFF"/>
    <w:rsid w:val="005D3F45"/>
    <w:rsid w:val="005D41F8"/>
    <w:rsid w:val="005D4330"/>
    <w:rsid w:val="005D469F"/>
    <w:rsid w:val="005D4DBE"/>
    <w:rsid w:val="005D4DF4"/>
    <w:rsid w:val="005D5652"/>
    <w:rsid w:val="005D569C"/>
    <w:rsid w:val="005D5B0B"/>
    <w:rsid w:val="005D5C5F"/>
    <w:rsid w:val="005D5D23"/>
    <w:rsid w:val="005D5DCB"/>
    <w:rsid w:val="005D5E69"/>
    <w:rsid w:val="005D5E6B"/>
    <w:rsid w:val="005D6098"/>
    <w:rsid w:val="005D6926"/>
    <w:rsid w:val="005D6AEB"/>
    <w:rsid w:val="005D6B61"/>
    <w:rsid w:val="005D727E"/>
    <w:rsid w:val="005D73C9"/>
    <w:rsid w:val="005D749D"/>
    <w:rsid w:val="005D7AA2"/>
    <w:rsid w:val="005D7B3E"/>
    <w:rsid w:val="005D7BFA"/>
    <w:rsid w:val="005D7C74"/>
    <w:rsid w:val="005D7C86"/>
    <w:rsid w:val="005E034E"/>
    <w:rsid w:val="005E0A89"/>
    <w:rsid w:val="005E0B5E"/>
    <w:rsid w:val="005E0C22"/>
    <w:rsid w:val="005E0F1A"/>
    <w:rsid w:val="005E0F9E"/>
    <w:rsid w:val="005E1040"/>
    <w:rsid w:val="005E12B8"/>
    <w:rsid w:val="005E150C"/>
    <w:rsid w:val="005E1589"/>
    <w:rsid w:val="005E16A9"/>
    <w:rsid w:val="005E1723"/>
    <w:rsid w:val="005E1FED"/>
    <w:rsid w:val="005E2134"/>
    <w:rsid w:val="005E2533"/>
    <w:rsid w:val="005E2856"/>
    <w:rsid w:val="005E3363"/>
    <w:rsid w:val="005E366E"/>
    <w:rsid w:val="005E377B"/>
    <w:rsid w:val="005E37AB"/>
    <w:rsid w:val="005E3BBE"/>
    <w:rsid w:val="005E4234"/>
    <w:rsid w:val="005E4311"/>
    <w:rsid w:val="005E45AE"/>
    <w:rsid w:val="005E4A75"/>
    <w:rsid w:val="005E4AAA"/>
    <w:rsid w:val="005E4CB9"/>
    <w:rsid w:val="005E4CE1"/>
    <w:rsid w:val="005E4E5B"/>
    <w:rsid w:val="005E4E7B"/>
    <w:rsid w:val="005E5217"/>
    <w:rsid w:val="005E5236"/>
    <w:rsid w:val="005E543F"/>
    <w:rsid w:val="005E5449"/>
    <w:rsid w:val="005E555D"/>
    <w:rsid w:val="005E55E6"/>
    <w:rsid w:val="005E5A25"/>
    <w:rsid w:val="005E5D7B"/>
    <w:rsid w:val="005E5DFA"/>
    <w:rsid w:val="005E5ED1"/>
    <w:rsid w:val="005E61A8"/>
    <w:rsid w:val="005E6886"/>
    <w:rsid w:val="005E6AE7"/>
    <w:rsid w:val="005E6D53"/>
    <w:rsid w:val="005E6DE9"/>
    <w:rsid w:val="005E72AE"/>
    <w:rsid w:val="005E73EE"/>
    <w:rsid w:val="005E75F8"/>
    <w:rsid w:val="005E7648"/>
    <w:rsid w:val="005E769E"/>
    <w:rsid w:val="005E790D"/>
    <w:rsid w:val="005E792A"/>
    <w:rsid w:val="005E7B48"/>
    <w:rsid w:val="005E7C73"/>
    <w:rsid w:val="005E7C8F"/>
    <w:rsid w:val="005E7CD0"/>
    <w:rsid w:val="005E7DAB"/>
    <w:rsid w:val="005E7DE1"/>
    <w:rsid w:val="005E7FEB"/>
    <w:rsid w:val="005F013C"/>
    <w:rsid w:val="005F01DA"/>
    <w:rsid w:val="005F0536"/>
    <w:rsid w:val="005F0830"/>
    <w:rsid w:val="005F094D"/>
    <w:rsid w:val="005F0F1F"/>
    <w:rsid w:val="005F10C0"/>
    <w:rsid w:val="005F1167"/>
    <w:rsid w:val="005F12FC"/>
    <w:rsid w:val="005F14D6"/>
    <w:rsid w:val="005F1525"/>
    <w:rsid w:val="005F1727"/>
    <w:rsid w:val="005F17D1"/>
    <w:rsid w:val="005F1971"/>
    <w:rsid w:val="005F1B3C"/>
    <w:rsid w:val="005F1B4A"/>
    <w:rsid w:val="005F1BD6"/>
    <w:rsid w:val="005F1F56"/>
    <w:rsid w:val="005F202C"/>
    <w:rsid w:val="005F21B7"/>
    <w:rsid w:val="005F22EE"/>
    <w:rsid w:val="005F22F1"/>
    <w:rsid w:val="005F237E"/>
    <w:rsid w:val="005F275F"/>
    <w:rsid w:val="005F2B63"/>
    <w:rsid w:val="005F2BDD"/>
    <w:rsid w:val="005F331F"/>
    <w:rsid w:val="005F3638"/>
    <w:rsid w:val="005F36A2"/>
    <w:rsid w:val="005F3A70"/>
    <w:rsid w:val="005F3BEB"/>
    <w:rsid w:val="005F3EDD"/>
    <w:rsid w:val="005F41E6"/>
    <w:rsid w:val="005F422F"/>
    <w:rsid w:val="005F4251"/>
    <w:rsid w:val="005F4540"/>
    <w:rsid w:val="005F4844"/>
    <w:rsid w:val="005F48D2"/>
    <w:rsid w:val="005F48E2"/>
    <w:rsid w:val="005F4C7F"/>
    <w:rsid w:val="005F4DC0"/>
    <w:rsid w:val="005F5168"/>
    <w:rsid w:val="005F54FF"/>
    <w:rsid w:val="005F5B89"/>
    <w:rsid w:val="005F5D23"/>
    <w:rsid w:val="005F5DD3"/>
    <w:rsid w:val="005F5F2B"/>
    <w:rsid w:val="005F5F5A"/>
    <w:rsid w:val="005F6118"/>
    <w:rsid w:val="005F6205"/>
    <w:rsid w:val="005F69B3"/>
    <w:rsid w:val="005F69BC"/>
    <w:rsid w:val="005F6AFB"/>
    <w:rsid w:val="005F6D66"/>
    <w:rsid w:val="005F6D6D"/>
    <w:rsid w:val="005F6F24"/>
    <w:rsid w:val="005F728B"/>
    <w:rsid w:val="005F764E"/>
    <w:rsid w:val="005F776D"/>
    <w:rsid w:val="005F7916"/>
    <w:rsid w:val="005F79F4"/>
    <w:rsid w:val="005F7CCD"/>
    <w:rsid w:val="005F7E60"/>
    <w:rsid w:val="005F7FE9"/>
    <w:rsid w:val="006001BF"/>
    <w:rsid w:val="006003F6"/>
    <w:rsid w:val="00600E49"/>
    <w:rsid w:val="00600E53"/>
    <w:rsid w:val="00600EA1"/>
    <w:rsid w:val="00600FCC"/>
    <w:rsid w:val="00600FFB"/>
    <w:rsid w:val="006013B2"/>
    <w:rsid w:val="00601645"/>
    <w:rsid w:val="006016B6"/>
    <w:rsid w:val="00601826"/>
    <w:rsid w:val="00601C1B"/>
    <w:rsid w:val="00602284"/>
    <w:rsid w:val="006023CD"/>
    <w:rsid w:val="00602456"/>
    <w:rsid w:val="0060250A"/>
    <w:rsid w:val="006025A8"/>
    <w:rsid w:val="00602674"/>
    <w:rsid w:val="006026C4"/>
    <w:rsid w:val="006027A8"/>
    <w:rsid w:val="00602C19"/>
    <w:rsid w:val="00602E5A"/>
    <w:rsid w:val="006030AA"/>
    <w:rsid w:val="006030C6"/>
    <w:rsid w:val="006032BD"/>
    <w:rsid w:val="0060343F"/>
    <w:rsid w:val="0060389E"/>
    <w:rsid w:val="00603F0B"/>
    <w:rsid w:val="0060400D"/>
    <w:rsid w:val="00604539"/>
    <w:rsid w:val="0060467F"/>
    <w:rsid w:val="0060486D"/>
    <w:rsid w:val="00604C6F"/>
    <w:rsid w:val="00604D3C"/>
    <w:rsid w:val="00604DA6"/>
    <w:rsid w:val="0060514F"/>
    <w:rsid w:val="00605409"/>
    <w:rsid w:val="006056F7"/>
    <w:rsid w:val="00605739"/>
    <w:rsid w:val="006057D1"/>
    <w:rsid w:val="00605830"/>
    <w:rsid w:val="0060585B"/>
    <w:rsid w:val="00605DC4"/>
    <w:rsid w:val="00605E61"/>
    <w:rsid w:val="006063C4"/>
    <w:rsid w:val="0060641B"/>
    <w:rsid w:val="00606663"/>
    <w:rsid w:val="00606964"/>
    <w:rsid w:val="00606A69"/>
    <w:rsid w:val="00606C94"/>
    <w:rsid w:val="00606E71"/>
    <w:rsid w:val="006070B6"/>
    <w:rsid w:val="0060728F"/>
    <w:rsid w:val="00607650"/>
    <w:rsid w:val="0060789E"/>
    <w:rsid w:val="00607A58"/>
    <w:rsid w:val="00607BE6"/>
    <w:rsid w:val="00607E53"/>
    <w:rsid w:val="006102FD"/>
    <w:rsid w:val="00610311"/>
    <w:rsid w:val="00610314"/>
    <w:rsid w:val="006107D9"/>
    <w:rsid w:val="0061089A"/>
    <w:rsid w:val="0061099E"/>
    <w:rsid w:val="006109CB"/>
    <w:rsid w:val="00610F8B"/>
    <w:rsid w:val="00611178"/>
    <w:rsid w:val="00611468"/>
    <w:rsid w:val="0061148A"/>
    <w:rsid w:val="006114AC"/>
    <w:rsid w:val="006115E8"/>
    <w:rsid w:val="00611988"/>
    <w:rsid w:val="00611FDB"/>
    <w:rsid w:val="0061220B"/>
    <w:rsid w:val="006123C5"/>
    <w:rsid w:val="006127CC"/>
    <w:rsid w:val="0061286E"/>
    <w:rsid w:val="00612935"/>
    <w:rsid w:val="00612F4A"/>
    <w:rsid w:val="00613090"/>
    <w:rsid w:val="00613431"/>
    <w:rsid w:val="00613539"/>
    <w:rsid w:val="00613600"/>
    <w:rsid w:val="006139AD"/>
    <w:rsid w:val="00613DF9"/>
    <w:rsid w:val="00613E84"/>
    <w:rsid w:val="00614225"/>
    <w:rsid w:val="00614397"/>
    <w:rsid w:val="006144D6"/>
    <w:rsid w:val="006145BA"/>
    <w:rsid w:val="006145DA"/>
    <w:rsid w:val="00614699"/>
    <w:rsid w:val="0061480B"/>
    <w:rsid w:val="0061493C"/>
    <w:rsid w:val="00614C62"/>
    <w:rsid w:val="00614ED5"/>
    <w:rsid w:val="00614FBC"/>
    <w:rsid w:val="00614FC6"/>
    <w:rsid w:val="006151C9"/>
    <w:rsid w:val="00615396"/>
    <w:rsid w:val="00615591"/>
    <w:rsid w:val="006155E4"/>
    <w:rsid w:val="006157FD"/>
    <w:rsid w:val="00615CEC"/>
    <w:rsid w:val="00615F38"/>
    <w:rsid w:val="00615F4D"/>
    <w:rsid w:val="006160E9"/>
    <w:rsid w:val="00616569"/>
    <w:rsid w:val="00616597"/>
    <w:rsid w:val="006165C5"/>
    <w:rsid w:val="00616779"/>
    <w:rsid w:val="006167E0"/>
    <w:rsid w:val="006167FB"/>
    <w:rsid w:val="00616964"/>
    <w:rsid w:val="00616B5B"/>
    <w:rsid w:val="00616BBB"/>
    <w:rsid w:val="00616C09"/>
    <w:rsid w:val="00616C67"/>
    <w:rsid w:val="00616FEA"/>
    <w:rsid w:val="006170D5"/>
    <w:rsid w:val="006170DE"/>
    <w:rsid w:val="00617150"/>
    <w:rsid w:val="0061739A"/>
    <w:rsid w:val="006176A6"/>
    <w:rsid w:val="00617E51"/>
    <w:rsid w:val="00617E57"/>
    <w:rsid w:val="0062034B"/>
    <w:rsid w:val="0062072A"/>
    <w:rsid w:val="006207C4"/>
    <w:rsid w:val="006208F1"/>
    <w:rsid w:val="00620C78"/>
    <w:rsid w:val="00620FAB"/>
    <w:rsid w:val="00621067"/>
    <w:rsid w:val="006211D5"/>
    <w:rsid w:val="006217CA"/>
    <w:rsid w:val="00621C66"/>
    <w:rsid w:val="00621CEC"/>
    <w:rsid w:val="00622372"/>
    <w:rsid w:val="006224CA"/>
    <w:rsid w:val="00622532"/>
    <w:rsid w:val="006229CA"/>
    <w:rsid w:val="00622D96"/>
    <w:rsid w:val="00623042"/>
    <w:rsid w:val="006232E6"/>
    <w:rsid w:val="00623D19"/>
    <w:rsid w:val="00624379"/>
    <w:rsid w:val="00624452"/>
    <w:rsid w:val="00625009"/>
    <w:rsid w:val="00625242"/>
    <w:rsid w:val="006253B9"/>
    <w:rsid w:val="006253DF"/>
    <w:rsid w:val="0062573A"/>
    <w:rsid w:val="00625993"/>
    <w:rsid w:val="006259CF"/>
    <w:rsid w:val="00625A6A"/>
    <w:rsid w:val="00625ADA"/>
    <w:rsid w:val="00625B0A"/>
    <w:rsid w:val="0062600E"/>
    <w:rsid w:val="00626443"/>
    <w:rsid w:val="006264A2"/>
    <w:rsid w:val="0062660C"/>
    <w:rsid w:val="00626A69"/>
    <w:rsid w:val="00626AAF"/>
    <w:rsid w:val="00626C7F"/>
    <w:rsid w:val="00626F3D"/>
    <w:rsid w:val="0062710D"/>
    <w:rsid w:val="006278E2"/>
    <w:rsid w:val="00627A0E"/>
    <w:rsid w:val="00627D75"/>
    <w:rsid w:val="00630462"/>
    <w:rsid w:val="0063061B"/>
    <w:rsid w:val="0063085B"/>
    <w:rsid w:val="00630DFE"/>
    <w:rsid w:val="00630F29"/>
    <w:rsid w:val="0063198E"/>
    <w:rsid w:val="00631ABD"/>
    <w:rsid w:val="00631CA6"/>
    <w:rsid w:val="00631F58"/>
    <w:rsid w:val="00632057"/>
    <w:rsid w:val="00632218"/>
    <w:rsid w:val="006323CA"/>
    <w:rsid w:val="006326A2"/>
    <w:rsid w:val="006329E9"/>
    <w:rsid w:val="00632A66"/>
    <w:rsid w:val="00632CC6"/>
    <w:rsid w:val="006331BF"/>
    <w:rsid w:val="00633219"/>
    <w:rsid w:val="006332B4"/>
    <w:rsid w:val="006333A4"/>
    <w:rsid w:val="0063391D"/>
    <w:rsid w:val="00633DB1"/>
    <w:rsid w:val="00633E02"/>
    <w:rsid w:val="00633F0E"/>
    <w:rsid w:val="00634484"/>
    <w:rsid w:val="0063451D"/>
    <w:rsid w:val="00634768"/>
    <w:rsid w:val="0063479E"/>
    <w:rsid w:val="006350FA"/>
    <w:rsid w:val="006351F4"/>
    <w:rsid w:val="00635256"/>
    <w:rsid w:val="00635735"/>
    <w:rsid w:val="00635B10"/>
    <w:rsid w:val="006364D0"/>
    <w:rsid w:val="00636600"/>
    <w:rsid w:val="00636696"/>
    <w:rsid w:val="006366F6"/>
    <w:rsid w:val="00636925"/>
    <w:rsid w:val="00636B30"/>
    <w:rsid w:val="00636C06"/>
    <w:rsid w:val="00636E59"/>
    <w:rsid w:val="006370DE"/>
    <w:rsid w:val="00637281"/>
    <w:rsid w:val="00637C91"/>
    <w:rsid w:val="00637F1D"/>
    <w:rsid w:val="00640508"/>
    <w:rsid w:val="00640823"/>
    <w:rsid w:val="00640A06"/>
    <w:rsid w:val="00640B98"/>
    <w:rsid w:val="00640E46"/>
    <w:rsid w:val="006410A0"/>
    <w:rsid w:val="006410C1"/>
    <w:rsid w:val="00641716"/>
    <w:rsid w:val="00641754"/>
    <w:rsid w:val="006417CA"/>
    <w:rsid w:val="0064191C"/>
    <w:rsid w:val="00641B19"/>
    <w:rsid w:val="00641CAF"/>
    <w:rsid w:val="00641D5C"/>
    <w:rsid w:val="00641F4C"/>
    <w:rsid w:val="00642218"/>
    <w:rsid w:val="0064240E"/>
    <w:rsid w:val="00642464"/>
    <w:rsid w:val="006424C9"/>
    <w:rsid w:val="006424F3"/>
    <w:rsid w:val="00642501"/>
    <w:rsid w:val="0064250B"/>
    <w:rsid w:val="006425A3"/>
    <w:rsid w:val="00642DE4"/>
    <w:rsid w:val="006439B8"/>
    <w:rsid w:val="00643A0A"/>
    <w:rsid w:val="00643A4F"/>
    <w:rsid w:val="00643AA1"/>
    <w:rsid w:val="00643ADB"/>
    <w:rsid w:val="00643E38"/>
    <w:rsid w:val="00643E6A"/>
    <w:rsid w:val="0064412D"/>
    <w:rsid w:val="00644533"/>
    <w:rsid w:val="00644768"/>
    <w:rsid w:val="0064491D"/>
    <w:rsid w:val="00644ED0"/>
    <w:rsid w:val="00645112"/>
    <w:rsid w:val="00645563"/>
    <w:rsid w:val="006457A9"/>
    <w:rsid w:val="006457D3"/>
    <w:rsid w:val="00645A3D"/>
    <w:rsid w:val="00645C53"/>
    <w:rsid w:val="0064613C"/>
    <w:rsid w:val="0064668D"/>
    <w:rsid w:val="00646AA7"/>
    <w:rsid w:val="00646D56"/>
    <w:rsid w:val="00646EB3"/>
    <w:rsid w:val="006470E2"/>
    <w:rsid w:val="0064712C"/>
    <w:rsid w:val="00647638"/>
    <w:rsid w:val="006477E5"/>
    <w:rsid w:val="00647C1C"/>
    <w:rsid w:val="0065000E"/>
    <w:rsid w:val="006501B6"/>
    <w:rsid w:val="006505C5"/>
    <w:rsid w:val="0065066E"/>
    <w:rsid w:val="006506C8"/>
    <w:rsid w:val="00650D9A"/>
    <w:rsid w:val="00650E85"/>
    <w:rsid w:val="00651545"/>
    <w:rsid w:val="006518BF"/>
    <w:rsid w:val="00651C1E"/>
    <w:rsid w:val="00651CD9"/>
    <w:rsid w:val="006520E7"/>
    <w:rsid w:val="006521E2"/>
    <w:rsid w:val="006521F3"/>
    <w:rsid w:val="00652229"/>
    <w:rsid w:val="00652530"/>
    <w:rsid w:val="00652ADE"/>
    <w:rsid w:val="00652C74"/>
    <w:rsid w:val="00652CD3"/>
    <w:rsid w:val="006531AE"/>
    <w:rsid w:val="0065336A"/>
    <w:rsid w:val="00653426"/>
    <w:rsid w:val="0065353B"/>
    <w:rsid w:val="00653584"/>
    <w:rsid w:val="006536AC"/>
    <w:rsid w:val="006539F4"/>
    <w:rsid w:val="00653A8A"/>
    <w:rsid w:val="00654450"/>
    <w:rsid w:val="00654795"/>
    <w:rsid w:val="006547C6"/>
    <w:rsid w:val="006548C7"/>
    <w:rsid w:val="00654F14"/>
    <w:rsid w:val="00655555"/>
    <w:rsid w:val="00655721"/>
    <w:rsid w:val="00655763"/>
    <w:rsid w:val="006558CC"/>
    <w:rsid w:val="00655974"/>
    <w:rsid w:val="006559E5"/>
    <w:rsid w:val="00655BA7"/>
    <w:rsid w:val="00655C1C"/>
    <w:rsid w:val="00655C58"/>
    <w:rsid w:val="00655CEB"/>
    <w:rsid w:val="00655D4F"/>
    <w:rsid w:val="0065637E"/>
    <w:rsid w:val="00656A33"/>
    <w:rsid w:val="00656CF2"/>
    <w:rsid w:val="0065729C"/>
    <w:rsid w:val="006572FF"/>
    <w:rsid w:val="0065758B"/>
    <w:rsid w:val="00657681"/>
    <w:rsid w:val="0065772D"/>
    <w:rsid w:val="006577D1"/>
    <w:rsid w:val="00657BA4"/>
    <w:rsid w:val="00657EC2"/>
    <w:rsid w:val="00660006"/>
    <w:rsid w:val="0066005E"/>
    <w:rsid w:val="006601BA"/>
    <w:rsid w:val="006602FF"/>
    <w:rsid w:val="0066056C"/>
    <w:rsid w:val="006605BE"/>
    <w:rsid w:val="00660810"/>
    <w:rsid w:val="00660939"/>
    <w:rsid w:val="00660988"/>
    <w:rsid w:val="00660AD6"/>
    <w:rsid w:val="00660D22"/>
    <w:rsid w:val="00660D57"/>
    <w:rsid w:val="0066181F"/>
    <w:rsid w:val="00662029"/>
    <w:rsid w:val="00662106"/>
    <w:rsid w:val="00662488"/>
    <w:rsid w:val="006624E1"/>
    <w:rsid w:val="006627A0"/>
    <w:rsid w:val="006629D9"/>
    <w:rsid w:val="00662ACB"/>
    <w:rsid w:val="00662DD4"/>
    <w:rsid w:val="00662F88"/>
    <w:rsid w:val="00663262"/>
    <w:rsid w:val="006635A8"/>
    <w:rsid w:val="00663782"/>
    <w:rsid w:val="00663AA7"/>
    <w:rsid w:val="00663EA3"/>
    <w:rsid w:val="00663F3D"/>
    <w:rsid w:val="00663FC6"/>
    <w:rsid w:val="0066401D"/>
    <w:rsid w:val="00664189"/>
    <w:rsid w:val="00664227"/>
    <w:rsid w:val="00664554"/>
    <w:rsid w:val="00664811"/>
    <w:rsid w:val="006649B1"/>
    <w:rsid w:val="00664A5B"/>
    <w:rsid w:val="0066516C"/>
    <w:rsid w:val="00665401"/>
    <w:rsid w:val="0066549A"/>
    <w:rsid w:val="00665808"/>
    <w:rsid w:val="006659BB"/>
    <w:rsid w:val="00665CF4"/>
    <w:rsid w:val="00666246"/>
    <w:rsid w:val="00666248"/>
    <w:rsid w:val="00666369"/>
    <w:rsid w:val="00666A00"/>
    <w:rsid w:val="00666DA9"/>
    <w:rsid w:val="006670BE"/>
    <w:rsid w:val="0066763A"/>
    <w:rsid w:val="00667F0F"/>
    <w:rsid w:val="00670052"/>
    <w:rsid w:val="006702BA"/>
    <w:rsid w:val="006704C7"/>
    <w:rsid w:val="006706B3"/>
    <w:rsid w:val="006706FA"/>
    <w:rsid w:val="00671120"/>
    <w:rsid w:val="006714D0"/>
    <w:rsid w:val="00671599"/>
    <w:rsid w:val="00671806"/>
    <w:rsid w:val="00671C8A"/>
    <w:rsid w:val="00671C9D"/>
    <w:rsid w:val="00671D60"/>
    <w:rsid w:val="00671E14"/>
    <w:rsid w:val="006721B9"/>
    <w:rsid w:val="00672276"/>
    <w:rsid w:val="00672322"/>
    <w:rsid w:val="0067239B"/>
    <w:rsid w:val="006723AB"/>
    <w:rsid w:val="00672555"/>
    <w:rsid w:val="006731ED"/>
    <w:rsid w:val="006737B1"/>
    <w:rsid w:val="00673D8B"/>
    <w:rsid w:val="00673F44"/>
    <w:rsid w:val="006740E3"/>
    <w:rsid w:val="0067436D"/>
    <w:rsid w:val="00674677"/>
    <w:rsid w:val="00674734"/>
    <w:rsid w:val="00674979"/>
    <w:rsid w:val="00674DC4"/>
    <w:rsid w:val="0067504D"/>
    <w:rsid w:val="006753DF"/>
    <w:rsid w:val="006754B1"/>
    <w:rsid w:val="006754FE"/>
    <w:rsid w:val="00675633"/>
    <w:rsid w:val="006757FF"/>
    <w:rsid w:val="006758E8"/>
    <w:rsid w:val="00675987"/>
    <w:rsid w:val="00675BBA"/>
    <w:rsid w:val="00675EEC"/>
    <w:rsid w:val="00675F1B"/>
    <w:rsid w:val="00675F4A"/>
    <w:rsid w:val="0067609E"/>
    <w:rsid w:val="0067619A"/>
    <w:rsid w:val="006767B8"/>
    <w:rsid w:val="0067687B"/>
    <w:rsid w:val="00676F61"/>
    <w:rsid w:val="00676FA6"/>
    <w:rsid w:val="00677398"/>
    <w:rsid w:val="00680050"/>
    <w:rsid w:val="00680157"/>
    <w:rsid w:val="0068023F"/>
    <w:rsid w:val="006803D1"/>
    <w:rsid w:val="006808AC"/>
    <w:rsid w:val="00680C03"/>
    <w:rsid w:val="00680F02"/>
    <w:rsid w:val="00681097"/>
    <w:rsid w:val="00681291"/>
    <w:rsid w:val="006813DA"/>
    <w:rsid w:val="006815C5"/>
    <w:rsid w:val="006815C8"/>
    <w:rsid w:val="0068163C"/>
    <w:rsid w:val="00681A00"/>
    <w:rsid w:val="00681A14"/>
    <w:rsid w:val="00681A54"/>
    <w:rsid w:val="00681CEA"/>
    <w:rsid w:val="00681D23"/>
    <w:rsid w:val="00681EEA"/>
    <w:rsid w:val="00681FCE"/>
    <w:rsid w:val="00682235"/>
    <w:rsid w:val="0068232D"/>
    <w:rsid w:val="006823D4"/>
    <w:rsid w:val="006829B5"/>
    <w:rsid w:val="00682C98"/>
    <w:rsid w:val="00682E55"/>
    <w:rsid w:val="00682EF6"/>
    <w:rsid w:val="00682F8D"/>
    <w:rsid w:val="006832DC"/>
    <w:rsid w:val="0068337B"/>
    <w:rsid w:val="006833F7"/>
    <w:rsid w:val="0068362F"/>
    <w:rsid w:val="00683699"/>
    <w:rsid w:val="006838C6"/>
    <w:rsid w:val="00683969"/>
    <w:rsid w:val="00683A56"/>
    <w:rsid w:val="00683AA9"/>
    <w:rsid w:val="00683ECB"/>
    <w:rsid w:val="00683FEB"/>
    <w:rsid w:val="00684218"/>
    <w:rsid w:val="00684B7B"/>
    <w:rsid w:val="00684D7C"/>
    <w:rsid w:val="00684EC2"/>
    <w:rsid w:val="00684FE7"/>
    <w:rsid w:val="00685161"/>
    <w:rsid w:val="006854EE"/>
    <w:rsid w:val="00685537"/>
    <w:rsid w:val="00685561"/>
    <w:rsid w:val="006857C0"/>
    <w:rsid w:val="00685883"/>
    <w:rsid w:val="00685A70"/>
    <w:rsid w:val="00685A73"/>
    <w:rsid w:val="00685A95"/>
    <w:rsid w:val="00685CFC"/>
    <w:rsid w:val="00685E2B"/>
    <w:rsid w:val="00685F08"/>
    <w:rsid w:val="00686286"/>
    <w:rsid w:val="006869C1"/>
    <w:rsid w:val="00686A82"/>
    <w:rsid w:val="00686BFF"/>
    <w:rsid w:val="00686D50"/>
    <w:rsid w:val="006873FF"/>
    <w:rsid w:val="006876C5"/>
    <w:rsid w:val="0068773E"/>
    <w:rsid w:val="006878C4"/>
    <w:rsid w:val="00687C62"/>
    <w:rsid w:val="00687CBF"/>
    <w:rsid w:val="00687CD5"/>
    <w:rsid w:val="006907C7"/>
    <w:rsid w:val="00690ADA"/>
    <w:rsid w:val="00690D41"/>
    <w:rsid w:val="00690D8E"/>
    <w:rsid w:val="00690DA3"/>
    <w:rsid w:val="00690E61"/>
    <w:rsid w:val="00691242"/>
    <w:rsid w:val="00691248"/>
    <w:rsid w:val="0069126D"/>
    <w:rsid w:val="00691CBB"/>
    <w:rsid w:val="00691F32"/>
    <w:rsid w:val="00691FA3"/>
    <w:rsid w:val="00692107"/>
    <w:rsid w:val="00692165"/>
    <w:rsid w:val="00692172"/>
    <w:rsid w:val="0069231E"/>
    <w:rsid w:val="006923A2"/>
    <w:rsid w:val="0069242D"/>
    <w:rsid w:val="0069271A"/>
    <w:rsid w:val="0069273A"/>
    <w:rsid w:val="0069296D"/>
    <w:rsid w:val="00692E73"/>
    <w:rsid w:val="00692FBE"/>
    <w:rsid w:val="006932E4"/>
    <w:rsid w:val="0069344D"/>
    <w:rsid w:val="00693470"/>
    <w:rsid w:val="00693675"/>
    <w:rsid w:val="00694576"/>
    <w:rsid w:val="00694606"/>
    <w:rsid w:val="0069473A"/>
    <w:rsid w:val="00694E8F"/>
    <w:rsid w:val="00695078"/>
    <w:rsid w:val="00695178"/>
    <w:rsid w:val="006953A3"/>
    <w:rsid w:val="006955FA"/>
    <w:rsid w:val="00695647"/>
    <w:rsid w:val="0069594C"/>
    <w:rsid w:val="00695B7E"/>
    <w:rsid w:val="00695CD1"/>
    <w:rsid w:val="00695DE5"/>
    <w:rsid w:val="006963B2"/>
    <w:rsid w:val="00696446"/>
    <w:rsid w:val="00696618"/>
    <w:rsid w:val="00696A73"/>
    <w:rsid w:val="00696A80"/>
    <w:rsid w:val="00696E99"/>
    <w:rsid w:val="00696F7F"/>
    <w:rsid w:val="00697634"/>
    <w:rsid w:val="0069774D"/>
    <w:rsid w:val="0069779B"/>
    <w:rsid w:val="00697912"/>
    <w:rsid w:val="006A0175"/>
    <w:rsid w:val="006A0275"/>
    <w:rsid w:val="006A03A7"/>
    <w:rsid w:val="006A0437"/>
    <w:rsid w:val="006A04A5"/>
    <w:rsid w:val="006A0674"/>
    <w:rsid w:val="006A09BE"/>
    <w:rsid w:val="006A10E9"/>
    <w:rsid w:val="006A136F"/>
    <w:rsid w:val="006A1A44"/>
    <w:rsid w:val="006A1A70"/>
    <w:rsid w:val="006A1B11"/>
    <w:rsid w:val="006A1DEA"/>
    <w:rsid w:val="006A1E65"/>
    <w:rsid w:val="006A2466"/>
    <w:rsid w:val="006A2743"/>
    <w:rsid w:val="006A2836"/>
    <w:rsid w:val="006A2C30"/>
    <w:rsid w:val="006A2CFD"/>
    <w:rsid w:val="006A2D19"/>
    <w:rsid w:val="006A2DD6"/>
    <w:rsid w:val="006A3172"/>
    <w:rsid w:val="006A352A"/>
    <w:rsid w:val="006A3588"/>
    <w:rsid w:val="006A39E0"/>
    <w:rsid w:val="006A3A2B"/>
    <w:rsid w:val="006A3BE8"/>
    <w:rsid w:val="006A3CA0"/>
    <w:rsid w:val="006A3D1C"/>
    <w:rsid w:val="006A3D95"/>
    <w:rsid w:val="006A4076"/>
    <w:rsid w:val="006A45F1"/>
    <w:rsid w:val="006A478F"/>
    <w:rsid w:val="006A4821"/>
    <w:rsid w:val="006A4883"/>
    <w:rsid w:val="006A4C42"/>
    <w:rsid w:val="006A4FAF"/>
    <w:rsid w:val="006A4FF5"/>
    <w:rsid w:val="006A5014"/>
    <w:rsid w:val="006A51BE"/>
    <w:rsid w:val="006A56BE"/>
    <w:rsid w:val="006A5994"/>
    <w:rsid w:val="006A59EC"/>
    <w:rsid w:val="006A59FD"/>
    <w:rsid w:val="006A5A57"/>
    <w:rsid w:val="006A5F28"/>
    <w:rsid w:val="006A6651"/>
    <w:rsid w:val="006A6706"/>
    <w:rsid w:val="006A7321"/>
    <w:rsid w:val="006A758E"/>
    <w:rsid w:val="006A7782"/>
    <w:rsid w:val="006A7883"/>
    <w:rsid w:val="006A78B0"/>
    <w:rsid w:val="006A7C5B"/>
    <w:rsid w:val="006A7CA2"/>
    <w:rsid w:val="006A7DB5"/>
    <w:rsid w:val="006A7EAA"/>
    <w:rsid w:val="006B073B"/>
    <w:rsid w:val="006B0947"/>
    <w:rsid w:val="006B0ACB"/>
    <w:rsid w:val="006B0B9C"/>
    <w:rsid w:val="006B0E1F"/>
    <w:rsid w:val="006B0F66"/>
    <w:rsid w:val="006B15EA"/>
    <w:rsid w:val="006B1705"/>
    <w:rsid w:val="006B19AF"/>
    <w:rsid w:val="006B1B30"/>
    <w:rsid w:val="006B1CFA"/>
    <w:rsid w:val="006B245A"/>
    <w:rsid w:val="006B277C"/>
    <w:rsid w:val="006B27E4"/>
    <w:rsid w:val="006B2908"/>
    <w:rsid w:val="006B2977"/>
    <w:rsid w:val="006B2BC8"/>
    <w:rsid w:val="006B2D6A"/>
    <w:rsid w:val="006B317E"/>
    <w:rsid w:val="006B31B5"/>
    <w:rsid w:val="006B31D7"/>
    <w:rsid w:val="006B3247"/>
    <w:rsid w:val="006B34B3"/>
    <w:rsid w:val="006B35B2"/>
    <w:rsid w:val="006B3624"/>
    <w:rsid w:val="006B366D"/>
    <w:rsid w:val="006B3896"/>
    <w:rsid w:val="006B38D9"/>
    <w:rsid w:val="006B39C1"/>
    <w:rsid w:val="006B39F0"/>
    <w:rsid w:val="006B3A36"/>
    <w:rsid w:val="006B3A3A"/>
    <w:rsid w:val="006B3B2D"/>
    <w:rsid w:val="006B3B8C"/>
    <w:rsid w:val="006B3D51"/>
    <w:rsid w:val="006B3DFF"/>
    <w:rsid w:val="006B4062"/>
    <w:rsid w:val="006B4201"/>
    <w:rsid w:val="006B428D"/>
    <w:rsid w:val="006B441F"/>
    <w:rsid w:val="006B4456"/>
    <w:rsid w:val="006B4947"/>
    <w:rsid w:val="006B4CC5"/>
    <w:rsid w:val="006B4FD4"/>
    <w:rsid w:val="006B50F4"/>
    <w:rsid w:val="006B58A8"/>
    <w:rsid w:val="006B5B6B"/>
    <w:rsid w:val="006B5BB2"/>
    <w:rsid w:val="006B6007"/>
    <w:rsid w:val="006B60F5"/>
    <w:rsid w:val="006B6317"/>
    <w:rsid w:val="006B67C0"/>
    <w:rsid w:val="006B6C29"/>
    <w:rsid w:val="006B6D5A"/>
    <w:rsid w:val="006B6E62"/>
    <w:rsid w:val="006B7169"/>
    <w:rsid w:val="006B723C"/>
    <w:rsid w:val="006B7343"/>
    <w:rsid w:val="006B7396"/>
    <w:rsid w:val="006B74C6"/>
    <w:rsid w:val="006B75DF"/>
    <w:rsid w:val="006B7731"/>
    <w:rsid w:val="006B7D0E"/>
    <w:rsid w:val="006B7E32"/>
    <w:rsid w:val="006B7EC9"/>
    <w:rsid w:val="006C01D0"/>
    <w:rsid w:val="006C03A1"/>
    <w:rsid w:val="006C046E"/>
    <w:rsid w:val="006C0564"/>
    <w:rsid w:val="006C0D66"/>
    <w:rsid w:val="006C1D54"/>
    <w:rsid w:val="006C1E2F"/>
    <w:rsid w:val="006C1FAF"/>
    <w:rsid w:val="006C20F8"/>
    <w:rsid w:val="006C21B2"/>
    <w:rsid w:val="006C2B5A"/>
    <w:rsid w:val="006C2DA5"/>
    <w:rsid w:val="006C2DFB"/>
    <w:rsid w:val="006C2FB8"/>
    <w:rsid w:val="006C3017"/>
    <w:rsid w:val="006C3118"/>
    <w:rsid w:val="006C31F7"/>
    <w:rsid w:val="006C32F7"/>
    <w:rsid w:val="006C34CB"/>
    <w:rsid w:val="006C3532"/>
    <w:rsid w:val="006C359F"/>
    <w:rsid w:val="006C364A"/>
    <w:rsid w:val="006C36AF"/>
    <w:rsid w:val="006C38B4"/>
    <w:rsid w:val="006C3B38"/>
    <w:rsid w:val="006C3DCF"/>
    <w:rsid w:val="006C3F3A"/>
    <w:rsid w:val="006C43F7"/>
    <w:rsid w:val="006C45C3"/>
    <w:rsid w:val="006C4B2E"/>
    <w:rsid w:val="006C4BB0"/>
    <w:rsid w:val="006C4ED4"/>
    <w:rsid w:val="006C4F2D"/>
    <w:rsid w:val="006C4FB7"/>
    <w:rsid w:val="006C5238"/>
    <w:rsid w:val="006C5391"/>
    <w:rsid w:val="006C53D4"/>
    <w:rsid w:val="006C53D5"/>
    <w:rsid w:val="006C558D"/>
    <w:rsid w:val="006C58DA"/>
    <w:rsid w:val="006C5A39"/>
    <w:rsid w:val="006C5C96"/>
    <w:rsid w:val="006C5D81"/>
    <w:rsid w:val="006C5D8C"/>
    <w:rsid w:val="006C6210"/>
    <w:rsid w:val="006C629F"/>
    <w:rsid w:val="006C675F"/>
    <w:rsid w:val="006C6C8C"/>
    <w:rsid w:val="006C7002"/>
    <w:rsid w:val="006C704E"/>
    <w:rsid w:val="006C71C2"/>
    <w:rsid w:val="006C7298"/>
    <w:rsid w:val="006C79A9"/>
    <w:rsid w:val="006C7B4F"/>
    <w:rsid w:val="006C7B7D"/>
    <w:rsid w:val="006C7DC3"/>
    <w:rsid w:val="006C7DD1"/>
    <w:rsid w:val="006D0297"/>
    <w:rsid w:val="006D0384"/>
    <w:rsid w:val="006D0585"/>
    <w:rsid w:val="006D06B0"/>
    <w:rsid w:val="006D0A7A"/>
    <w:rsid w:val="006D0C58"/>
    <w:rsid w:val="006D0C63"/>
    <w:rsid w:val="006D0CAE"/>
    <w:rsid w:val="006D0D5B"/>
    <w:rsid w:val="006D114C"/>
    <w:rsid w:val="006D12C3"/>
    <w:rsid w:val="006D1909"/>
    <w:rsid w:val="006D1B78"/>
    <w:rsid w:val="006D1D9B"/>
    <w:rsid w:val="006D1FB8"/>
    <w:rsid w:val="006D2196"/>
    <w:rsid w:val="006D21EB"/>
    <w:rsid w:val="006D221C"/>
    <w:rsid w:val="006D2597"/>
    <w:rsid w:val="006D2C12"/>
    <w:rsid w:val="006D2E01"/>
    <w:rsid w:val="006D2FBF"/>
    <w:rsid w:val="006D3151"/>
    <w:rsid w:val="006D34D6"/>
    <w:rsid w:val="006D35EE"/>
    <w:rsid w:val="006D364D"/>
    <w:rsid w:val="006D36D1"/>
    <w:rsid w:val="006D39D1"/>
    <w:rsid w:val="006D3D85"/>
    <w:rsid w:val="006D3F33"/>
    <w:rsid w:val="006D435F"/>
    <w:rsid w:val="006D445D"/>
    <w:rsid w:val="006D49A0"/>
    <w:rsid w:val="006D4ACC"/>
    <w:rsid w:val="006D4B2A"/>
    <w:rsid w:val="006D4C56"/>
    <w:rsid w:val="006D4E21"/>
    <w:rsid w:val="006D4F58"/>
    <w:rsid w:val="006D5251"/>
    <w:rsid w:val="006D5499"/>
    <w:rsid w:val="006D5A0F"/>
    <w:rsid w:val="006D5B88"/>
    <w:rsid w:val="006D5E44"/>
    <w:rsid w:val="006D5EC0"/>
    <w:rsid w:val="006D63D5"/>
    <w:rsid w:val="006D65F4"/>
    <w:rsid w:val="006D66CA"/>
    <w:rsid w:val="006D6B63"/>
    <w:rsid w:val="006D6CA5"/>
    <w:rsid w:val="006D6E87"/>
    <w:rsid w:val="006D70E8"/>
    <w:rsid w:val="006D718A"/>
    <w:rsid w:val="006D729C"/>
    <w:rsid w:val="006D7661"/>
    <w:rsid w:val="006D77C3"/>
    <w:rsid w:val="006D78A2"/>
    <w:rsid w:val="006D794F"/>
    <w:rsid w:val="006D7D79"/>
    <w:rsid w:val="006E001A"/>
    <w:rsid w:val="006E047C"/>
    <w:rsid w:val="006E062B"/>
    <w:rsid w:val="006E0912"/>
    <w:rsid w:val="006E0A89"/>
    <w:rsid w:val="006E0C88"/>
    <w:rsid w:val="006E0D0E"/>
    <w:rsid w:val="006E0D2D"/>
    <w:rsid w:val="006E0E1C"/>
    <w:rsid w:val="006E1140"/>
    <w:rsid w:val="006E123F"/>
    <w:rsid w:val="006E1375"/>
    <w:rsid w:val="006E159D"/>
    <w:rsid w:val="006E1B16"/>
    <w:rsid w:val="006E1CD9"/>
    <w:rsid w:val="006E1FAE"/>
    <w:rsid w:val="006E1FE4"/>
    <w:rsid w:val="006E20C3"/>
    <w:rsid w:val="006E213F"/>
    <w:rsid w:val="006E2502"/>
    <w:rsid w:val="006E272D"/>
    <w:rsid w:val="006E2F7A"/>
    <w:rsid w:val="006E3018"/>
    <w:rsid w:val="006E3438"/>
    <w:rsid w:val="006E3441"/>
    <w:rsid w:val="006E3486"/>
    <w:rsid w:val="006E368A"/>
    <w:rsid w:val="006E369C"/>
    <w:rsid w:val="006E3AEE"/>
    <w:rsid w:val="006E3E76"/>
    <w:rsid w:val="006E4454"/>
    <w:rsid w:val="006E4480"/>
    <w:rsid w:val="006E4AC3"/>
    <w:rsid w:val="006E4DED"/>
    <w:rsid w:val="006E4FF0"/>
    <w:rsid w:val="006E5019"/>
    <w:rsid w:val="006E5158"/>
    <w:rsid w:val="006E5225"/>
    <w:rsid w:val="006E5555"/>
    <w:rsid w:val="006E56D3"/>
    <w:rsid w:val="006E5867"/>
    <w:rsid w:val="006E5C98"/>
    <w:rsid w:val="006E5EED"/>
    <w:rsid w:val="006E602B"/>
    <w:rsid w:val="006E62E3"/>
    <w:rsid w:val="006E63AF"/>
    <w:rsid w:val="006E6414"/>
    <w:rsid w:val="006E6886"/>
    <w:rsid w:val="006E68F4"/>
    <w:rsid w:val="006E6A83"/>
    <w:rsid w:val="006E6D23"/>
    <w:rsid w:val="006E733D"/>
    <w:rsid w:val="006E7907"/>
    <w:rsid w:val="006E79BA"/>
    <w:rsid w:val="006E79BE"/>
    <w:rsid w:val="006E7CFB"/>
    <w:rsid w:val="006E7E31"/>
    <w:rsid w:val="006F0495"/>
    <w:rsid w:val="006F0530"/>
    <w:rsid w:val="006F0FB7"/>
    <w:rsid w:val="006F1039"/>
    <w:rsid w:val="006F10EC"/>
    <w:rsid w:val="006F1210"/>
    <w:rsid w:val="006F1389"/>
    <w:rsid w:val="006F1662"/>
    <w:rsid w:val="006F1692"/>
    <w:rsid w:val="006F185F"/>
    <w:rsid w:val="006F1D4A"/>
    <w:rsid w:val="006F20A7"/>
    <w:rsid w:val="006F2121"/>
    <w:rsid w:val="006F21AE"/>
    <w:rsid w:val="006F2328"/>
    <w:rsid w:val="006F23EE"/>
    <w:rsid w:val="006F243F"/>
    <w:rsid w:val="006F2586"/>
    <w:rsid w:val="006F2623"/>
    <w:rsid w:val="006F268D"/>
    <w:rsid w:val="006F27E1"/>
    <w:rsid w:val="006F28B5"/>
    <w:rsid w:val="006F2AE3"/>
    <w:rsid w:val="006F2AE6"/>
    <w:rsid w:val="006F2D20"/>
    <w:rsid w:val="006F2FFD"/>
    <w:rsid w:val="006F301C"/>
    <w:rsid w:val="006F3080"/>
    <w:rsid w:val="006F310B"/>
    <w:rsid w:val="006F3572"/>
    <w:rsid w:val="006F3632"/>
    <w:rsid w:val="006F368A"/>
    <w:rsid w:val="006F3887"/>
    <w:rsid w:val="006F3A3A"/>
    <w:rsid w:val="006F3C37"/>
    <w:rsid w:val="006F3C74"/>
    <w:rsid w:val="006F3CFA"/>
    <w:rsid w:val="006F3E0D"/>
    <w:rsid w:val="006F3E30"/>
    <w:rsid w:val="006F3EC9"/>
    <w:rsid w:val="006F4325"/>
    <w:rsid w:val="006F461D"/>
    <w:rsid w:val="006F484C"/>
    <w:rsid w:val="006F4854"/>
    <w:rsid w:val="006F4A73"/>
    <w:rsid w:val="006F4CB9"/>
    <w:rsid w:val="006F4F25"/>
    <w:rsid w:val="006F5037"/>
    <w:rsid w:val="006F50B7"/>
    <w:rsid w:val="006F59CB"/>
    <w:rsid w:val="006F5A77"/>
    <w:rsid w:val="006F5C89"/>
    <w:rsid w:val="006F5EEA"/>
    <w:rsid w:val="006F5FCB"/>
    <w:rsid w:val="006F6076"/>
    <w:rsid w:val="006F6080"/>
    <w:rsid w:val="006F60FE"/>
    <w:rsid w:val="006F616A"/>
    <w:rsid w:val="006F6475"/>
    <w:rsid w:val="006F699C"/>
    <w:rsid w:val="006F6ADB"/>
    <w:rsid w:val="006F6CD5"/>
    <w:rsid w:val="006F7045"/>
    <w:rsid w:val="006F7337"/>
    <w:rsid w:val="006F739E"/>
    <w:rsid w:val="006F75F2"/>
    <w:rsid w:val="006F77CB"/>
    <w:rsid w:val="006F7A6D"/>
    <w:rsid w:val="006F7B02"/>
    <w:rsid w:val="006F7BFC"/>
    <w:rsid w:val="006F7D56"/>
    <w:rsid w:val="006F7DF6"/>
    <w:rsid w:val="006F7E72"/>
    <w:rsid w:val="00700280"/>
    <w:rsid w:val="00700444"/>
    <w:rsid w:val="00700552"/>
    <w:rsid w:val="00700744"/>
    <w:rsid w:val="00700CA8"/>
    <w:rsid w:val="00700E2D"/>
    <w:rsid w:val="00700F7C"/>
    <w:rsid w:val="00701050"/>
    <w:rsid w:val="00701101"/>
    <w:rsid w:val="007016FD"/>
    <w:rsid w:val="007017BA"/>
    <w:rsid w:val="007018B9"/>
    <w:rsid w:val="0070197A"/>
    <w:rsid w:val="00701A09"/>
    <w:rsid w:val="00701C29"/>
    <w:rsid w:val="00701DB9"/>
    <w:rsid w:val="00701F73"/>
    <w:rsid w:val="00702314"/>
    <w:rsid w:val="00702412"/>
    <w:rsid w:val="00702496"/>
    <w:rsid w:val="00702622"/>
    <w:rsid w:val="007028C5"/>
    <w:rsid w:val="00702E67"/>
    <w:rsid w:val="00703015"/>
    <w:rsid w:val="007031AB"/>
    <w:rsid w:val="0070361B"/>
    <w:rsid w:val="007036F7"/>
    <w:rsid w:val="00703CA4"/>
    <w:rsid w:val="00703D73"/>
    <w:rsid w:val="00703F7D"/>
    <w:rsid w:val="0070405D"/>
    <w:rsid w:val="007042AF"/>
    <w:rsid w:val="00704401"/>
    <w:rsid w:val="0070458D"/>
    <w:rsid w:val="007045A6"/>
    <w:rsid w:val="00704608"/>
    <w:rsid w:val="007046A1"/>
    <w:rsid w:val="007047C0"/>
    <w:rsid w:val="007048FE"/>
    <w:rsid w:val="00704946"/>
    <w:rsid w:val="00704A63"/>
    <w:rsid w:val="00704AF9"/>
    <w:rsid w:val="00704B55"/>
    <w:rsid w:val="00704B79"/>
    <w:rsid w:val="00704C6E"/>
    <w:rsid w:val="00704EC6"/>
    <w:rsid w:val="00704F1C"/>
    <w:rsid w:val="00704FD3"/>
    <w:rsid w:val="007050DC"/>
    <w:rsid w:val="00705300"/>
    <w:rsid w:val="00705574"/>
    <w:rsid w:val="0070569E"/>
    <w:rsid w:val="00705723"/>
    <w:rsid w:val="00705E2E"/>
    <w:rsid w:val="00705FDC"/>
    <w:rsid w:val="0070639B"/>
    <w:rsid w:val="007066F2"/>
    <w:rsid w:val="00706D0B"/>
    <w:rsid w:val="0070720A"/>
    <w:rsid w:val="00707539"/>
    <w:rsid w:val="007078DE"/>
    <w:rsid w:val="00710085"/>
    <w:rsid w:val="007102CA"/>
    <w:rsid w:val="00710443"/>
    <w:rsid w:val="007106BE"/>
    <w:rsid w:val="00710739"/>
    <w:rsid w:val="00710856"/>
    <w:rsid w:val="00710872"/>
    <w:rsid w:val="00710AF4"/>
    <w:rsid w:val="00710BE4"/>
    <w:rsid w:val="00710C48"/>
    <w:rsid w:val="00710E2E"/>
    <w:rsid w:val="00711005"/>
    <w:rsid w:val="00711119"/>
    <w:rsid w:val="00711377"/>
    <w:rsid w:val="007113A4"/>
    <w:rsid w:val="00711528"/>
    <w:rsid w:val="007115B7"/>
    <w:rsid w:val="007115E4"/>
    <w:rsid w:val="007118E0"/>
    <w:rsid w:val="007119C8"/>
    <w:rsid w:val="00711BA7"/>
    <w:rsid w:val="0071224F"/>
    <w:rsid w:val="00712757"/>
    <w:rsid w:val="0071294C"/>
    <w:rsid w:val="007129E2"/>
    <w:rsid w:val="00713AE2"/>
    <w:rsid w:val="00713C95"/>
    <w:rsid w:val="00714031"/>
    <w:rsid w:val="00714043"/>
    <w:rsid w:val="0071433C"/>
    <w:rsid w:val="00714620"/>
    <w:rsid w:val="007146F8"/>
    <w:rsid w:val="007147CC"/>
    <w:rsid w:val="00714874"/>
    <w:rsid w:val="00714962"/>
    <w:rsid w:val="00714FAD"/>
    <w:rsid w:val="0071531F"/>
    <w:rsid w:val="00715642"/>
    <w:rsid w:val="00715A07"/>
    <w:rsid w:val="00715B77"/>
    <w:rsid w:val="00715D99"/>
    <w:rsid w:val="00715E42"/>
    <w:rsid w:val="00715E6E"/>
    <w:rsid w:val="00715E7E"/>
    <w:rsid w:val="0071636B"/>
    <w:rsid w:val="00716832"/>
    <w:rsid w:val="0071686A"/>
    <w:rsid w:val="00716D49"/>
    <w:rsid w:val="00716E04"/>
    <w:rsid w:val="00716E2D"/>
    <w:rsid w:val="00716F24"/>
    <w:rsid w:val="00717130"/>
    <w:rsid w:val="00717398"/>
    <w:rsid w:val="00717538"/>
    <w:rsid w:val="0071769E"/>
    <w:rsid w:val="007177E7"/>
    <w:rsid w:val="00717848"/>
    <w:rsid w:val="00717B2D"/>
    <w:rsid w:val="00717D1E"/>
    <w:rsid w:val="00717DB5"/>
    <w:rsid w:val="0072022A"/>
    <w:rsid w:val="0072029F"/>
    <w:rsid w:val="00720524"/>
    <w:rsid w:val="007208A9"/>
    <w:rsid w:val="007208DD"/>
    <w:rsid w:val="00720CF0"/>
    <w:rsid w:val="00720E3F"/>
    <w:rsid w:val="00720E7A"/>
    <w:rsid w:val="007210AA"/>
    <w:rsid w:val="00721217"/>
    <w:rsid w:val="007216AD"/>
    <w:rsid w:val="007216E5"/>
    <w:rsid w:val="00721772"/>
    <w:rsid w:val="00721C56"/>
    <w:rsid w:val="00721E7C"/>
    <w:rsid w:val="0072200A"/>
    <w:rsid w:val="00722192"/>
    <w:rsid w:val="0072221B"/>
    <w:rsid w:val="00722560"/>
    <w:rsid w:val="007225B2"/>
    <w:rsid w:val="00722610"/>
    <w:rsid w:val="00722778"/>
    <w:rsid w:val="00722A05"/>
    <w:rsid w:val="00722B60"/>
    <w:rsid w:val="00722B71"/>
    <w:rsid w:val="00722C8D"/>
    <w:rsid w:val="00722EDD"/>
    <w:rsid w:val="0072310E"/>
    <w:rsid w:val="007232BC"/>
    <w:rsid w:val="007235A8"/>
    <w:rsid w:val="00723647"/>
    <w:rsid w:val="007236B0"/>
    <w:rsid w:val="00723A4F"/>
    <w:rsid w:val="00723B01"/>
    <w:rsid w:val="00723B47"/>
    <w:rsid w:val="00723CBC"/>
    <w:rsid w:val="00723CF9"/>
    <w:rsid w:val="00723D62"/>
    <w:rsid w:val="00723E16"/>
    <w:rsid w:val="0072417A"/>
    <w:rsid w:val="0072419D"/>
    <w:rsid w:val="00724226"/>
    <w:rsid w:val="0072439D"/>
    <w:rsid w:val="007243BD"/>
    <w:rsid w:val="0072445F"/>
    <w:rsid w:val="00724F41"/>
    <w:rsid w:val="007251DE"/>
    <w:rsid w:val="00725428"/>
    <w:rsid w:val="00725781"/>
    <w:rsid w:val="0072598A"/>
    <w:rsid w:val="00725E3C"/>
    <w:rsid w:val="00726318"/>
    <w:rsid w:val="00726323"/>
    <w:rsid w:val="007265AD"/>
    <w:rsid w:val="00726968"/>
    <w:rsid w:val="00726A03"/>
    <w:rsid w:val="00726B02"/>
    <w:rsid w:val="00726B3B"/>
    <w:rsid w:val="00727125"/>
    <w:rsid w:val="00727617"/>
    <w:rsid w:val="00727C62"/>
    <w:rsid w:val="00727CD6"/>
    <w:rsid w:val="00727DA9"/>
    <w:rsid w:val="0073014C"/>
    <w:rsid w:val="007301EE"/>
    <w:rsid w:val="0073033C"/>
    <w:rsid w:val="0073034F"/>
    <w:rsid w:val="00730876"/>
    <w:rsid w:val="00730931"/>
    <w:rsid w:val="00730DE0"/>
    <w:rsid w:val="00731641"/>
    <w:rsid w:val="007317E4"/>
    <w:rsid w:val="00731832"/>
    <w:rsid w:val="00731BAD"/>
    <w:rsid w:val="00731CE1"/>
    <w:rsid w:val="00731CF0"/>
    <w:rsid w:val="00731DE1"/>
    <w:rsid w:val="00731F59"/>
    <w:rsid w:val="00732329"/>
    <w:rsid w:val="007327F5"/>
    <w:rsid w:val="007328CE"/>
    <w:rsid w:val="00732B39"/>
    <w:rsid w:val="00732B7E"/>
    <w:rsid w:val="00732BC3"/>
    <w:rsid w:val="00732BD9"/>
    <w:rsid w:val="00732C56"/>
    <w:rsid w:val="00732E2E"/>
    <w:rsid w:val="007335D9"/>
    <w:rsid w:val="0073370F"/>
    <w:rsid w:val="00733D34"/>
    <w:rsid w:val="007340C0"/>
    <w:rsid w:val="007341CC"/>
    <w:rsid w:val="007342E0"/>
    <w:rsid w:val="0073433E"/>
    <w:rsid w:val="007343D6"/>
    <w:rsid w:val="00734752"/>
    <w:rsid w:val="007349C2"/>
    <w:rsid w:val="007349F2"/>
    <w:rsid w:val="007350F0"/>
    <w:rsid w:val="007350F7"/>
    <w:rsid w:val="00735101"/>
    <w:rsid w:val="00735867"/>
    <w:rsid w:val="00735BA7"/>
    <w:rsid w:val="00735C08"/>
    <w:rsid w:val="00735C61"/>
    <w:rsid w:val="007367AD"/>
    <w:rsid w:val="007368AC"/>
    <w:rsid w:val="0073719E"/>
    <w:rsid w:val="007372A2"/>
    <w:rsid w:val="00737773"/>
    <w:rsid w:val="0073779E"/>
    <w:rsid w:val="00737A55"/>
    <w:rsid w:val="00737D73"/>
    <w:rsid w:val="00737EEF"/>
    <w:rsid w:val="00740273"/>
    <w:rsid w:val="007405F9"/>
    <w:rsid w:val="007407F7"/>
    <w:rsid w:val="007409E1"/>
    <w:rsid w:val="00740B0F"/>
    <w:rsid w:val="00740B73"/>
    <w:rsid w:val="00740C9E"/>
    <w:rsid w:val="00740D44"/>
    <w:rsid w:val="00740F99"/>
    <w:rsid w:val="007411AE"/>
    <w:rsid w:val="00741849"/>
    <w:rsid w:val="007418F2"/>
    <w:rsid w:val="0074190B"/>
    <w:rsid w:val="00741C35"/>
    <w:rsid w:val="00742169"/>
    <w:rsid w:val="007421B1"/>
    <w:rsid w:val="0074265D"/>
    <w:rsid w:val="00742678"/>
    <w:rsid w:val="00742911"/>
    <w:rsid w:val="00742946"/>
    <w:rsid w:val="00742B77"/>
    <w:rsid w:val="00742BF9"/>
    <w:rsid w:val="00743010"/>
    <w:rsid w:val="00743230"/>
    <w:rsid w:val="0074324F"/>
    <w:rsid w:val="007432FD"/>
    <w:rsid w:val="007435EA"/>
    <w:rsid w:val="007437A8"/>
    <w:rsid w:val="007439DA"/>
    <w:rsid w:val="00743D78"/>
    <w:rsid w:val="00743F3B"/>
    <w:rsid w:val="00744569"/>
    <w:rsid w:val="007445A7"/>
    <w:rsid w:val="0074467C"/>
    <w:rsid w:val="007447E0"/>
    <w:rsid w:val="0074495B"/>
    <w:rsid w:val="00744B0F"/>
    <w:rsid w:val="00744BFB"/>
    <w:rsid w:val="00744E5B"/>
    <w:rsid w:val="00744F72"/>
    <w:rsid w:val="0074518C"/>
    <w:rsid w:val="0074583F"/>
    <w:rsid w:val="00745865"/>
    <w:rsid w:val="00745A77"/>
    <w:rsid w:val="00745D5A"/>
    <w:rsid w:val="00745D7E"/>
    <w:rsid w:val="00745FE0"/>
    <w:rsid w:val="007461D9"/>
    <w:rsid w:val="007464D8"/>
    <w:rsid w:val="007465AA"/>
    <w:rsid w:val="00746782"/>
    <w:rsid w:val="00746B32"/>
    <w:rsid w:val="00746C39"/>
    <w:rsid w:val="00746CEF"/>
    <w:rsid w:val="00746D90"/>
    <w:rsid w:val="00746DD7"/>
    <w:rsid w:val="00746F13"/>
    <w:rsid w:val="007471D6"/>
    <w:rsid w:val="007476FA"/>
    <w:rsid w:val="00747950"/>
    <w:rsid w:val="00747C71"/>
    <w:rsid w:val="00747E60"/>
    <w:rsid w:val="007500F7"/>
    <w:rsid w:val="00750315"/>
    <w:rsid w:val="007504DC"/>
    <w:rsid w:val="007504DE"/>
    <w:rsid w:val="0075070A"/>
    <w:rsid w:val="00750715"/>
    <w:rsid w:val="00750929"/>
    <w:rsid w:val="007509DC"/>
    <w:rsid w:val="00750B34"/>
    <w:rsid w:val="00750F3F"/>
    <w:rsid w:val="00751156"/>
    <w:rsid w:val="007511D3"/>
    <w:rsid w:val="007513D6"/>
    <w:rsid w:val="007519A1"/>
    <w:rsid w:val="00751AA9"/>
    <w:rsid w:val="00751DAE"/>
    <w:rsid w:val="00751DFE"/>
    <w:rsid w:val="00751F66"/>
    <w:rsid w:val="0075210D"/>
    <w:rsid w:val="007524FA"/>
    <w:rsid w:val="007525BC"/>
    <w:rsid w:val="0075277B"/>
    <w:rsid w:val="007528BB"/>
    <w:rsid w:val="00752C41"/>
    <w:rsid w:val="00752D0F"/>
    <w:rsid w:val="0075321D"/>
    <w:rsid w:val="00753273"/>
    <w:rsid w:val="007532B0"/>
    <w:rsid w:val="0075372E"/>
    <w:rsid w:val="00753781"/>
    <w:rsid w:val="007538A5"/>
    <w:rsid w:val="00753E5D"/>
    <w:rsid w:val="00753FAC"/>
    <w:rsid w:val="0075465A"/>
    <w:rsid w:val="007547FE"/>
    <w:rsid w:val="0075490C"/>
    <w:rsid w:val="00754998"/>
    <w:rsid w:val="007549AF"/>
    <w:rsid w:val="00754A70"/>
    <w:rsid w:val="007555C2"/>
    <w:rsid w:val="00755807"/>
    <w:rsid w:val="00755930"/>
    <w:rsid w:val="00755950"/>
    <w:rsid w:val="007563E0"/>
    <w:rsid w:val="00756489"/>
    <w:rsid w:val="00756613"/>
    <w:rsid w:val="00756910"/>
    <w:rsid w:val="00756BAF"/>
    <w:rsid w:val="00756D97"/>
    <w:rsid w:val="00756E65"/>
    <w:rsid w:val="00756E70"/>
    <w:rsid w:val="00756EC8"/>
    <w:rsid w:val="00756FDC"/>
    <w:rsid w:val="00757351"/>
    <w:rsid w:val="00757370"/>
    <w:rsid w:val="0075746E"/>
    <w:rsid w:val="00757862"/>
    <w:rsid w:val="00757867"/>
    <w:rsid w:val="00757A41"/>
    <w:rsid w:val="00757A6F"/>
    <w:rsid w:val="00757AA8"/>
    <w:rsid w:val="00757BAF"/>
    <w:rsid w:val="00757CED"/>
    <w:rsid w:val="00757DAF"/>
    <w:rsid w:val="00757E45"/>
    <w:rsid w:val="00757EF0"/>
    <w:rsid w:val="007604D6"/>
    <w:rsid w:val="00760539"/>
    <w:rsid w:val="0076060B"/>
    <w:rsid w:val="007608FE"/>
    <w:rsid w:val="007615B0"/>
    <w:rsid w:val="00761816"/>
    <w:rsid w:val="0076195D"/>
    <w:rsid w:val="00761B7A"/>
    <w:rsid w:val="00761E08"/>
    <w:rsid w:val="00761F1E"/>
    <w:rsid w:val="00762007"/>
    <w:rsid w:val="00762118"/>
    <w:rsid w:val="00762186"/>
    <w:rsid w:val="0076219D"/>
    <w:rsid w:val="007621EA"/>
    <w:rsid w:val="00762260"/>
    <w:rsid w:val="0076226A"/>
    <w:rsid w:val="00762389"/>
    <w:rsid w:val="007623E8"/>
    <w:rsid w:val="0076252A"/>
    <w:rsid w:val="00762589"/>
    <w:rsid w:val="007625B3"/>
    <w:rsid w:val="0076272F"/>
    <w:rsid w:val="007628EC"/>
    <w:rsid w:val="00762DE7"/>
    <w:rsid w:val="007638A2"/>
    <w:rsid w:val="00763C6E"/>
    <w:rsid w:val="00763DAF"/>
    <w:rsid w:val="00763F88"/>
    <w:rsid w:val="0076409A"/>
    <w:rsid w:val="007640EF"/>
    <w:rsid w:val="007641BD"/>
    <w:rsid w:val="0076428B"/>
    <w:rsid w:val="00764682"/>
    <w:rsid w:val="007647CE"/>
    <w:rsid w:val="00764A47"/>
    <w:rsid w:val="00764AEA"/>
    <w:rsid w:val="00764D4C"/>
    <w:rsid w:val="00764EC6"/>
    <w:rsid w:val="007651D9"/>
    <w:rsid w:val="007652B3"/>
    <w:rsid w:val="0076558C"/>
    <w:rsid w:val="00765E2B"/>
    <w:rsid w:val="00765EB2"/>
    <w:rsid w:val="00765EFD"/>
    <w:rsid w:val="00766232"/>
    <w:rsid w:val="00766237"/>
    <w:rsid w:val="00766399"/>
    <w:rsid w:val="007663C4"/>
    <w:rsid w:val="0076662C"/>
    <w:rsid w:val="00766753"/>
    <w:rsid w:val="007668C7"/>
    <w:rsid w:val="00766A6E"/>
    <w:rsid w:val="00766C55"/>
    <w:rsid w:val="00766CF9"/>
    <w:rsid w:val="00767001"/>
    <w:rsid w:val="007670E9"/>
    <w:rsid w:val="007671E4"/>
    <w:rsid w:val="00767245"/>
    <w:rsid w:val="007675B1"/>
    <w:rsid w:val="0076768C"/>
    <w:rsid w:val="007676A2"/>
    <w:rsid w:val="00767935"/>
    <w:rsid w:val="00767981"/>
    <w:rsid w:val="00767A44"/>
    <w:rsid w:val="00770565"/>
    <w:rsid w:val="00770756"/>
    <w:rsid w:val="007707C1"/>
    <w:rsid w:val="00771079"/>
    <w:rsid w:val="007713D6"/>
    <w:rsid w:val="0077164C"/>
    <w:rsid w:val="00771991"/>
    <w:rsid w:val="007719CB"/>
    <w:rsid w:val="00771E42"/>
    <w:rsid w:val="007720AB"/>
    <w:rsid w:val="0077216D"/>
    <w:rsid w:val="00772807"/>
    <w:rsid w:val="007730B2"/>
    <w:rsid w:val="0077347E"/>
    <w:rsid w:val="00773603"/>
    <w:rsid w:val="007736D9"/>
    <w:rsid w:val="00773868"/>
    <w:rsid w:val="007738A9"/>
    <w:rsid w:val="00773BA4"/>
    <w:rsid w:val="00773D25"/>
    <w:rsid w:val="00773D7D"/>
    <w:rsid w:val="007740C0"/>
    <w:rsid w:val="00774295"/>
    <w:rsid w:val="007743B0"/>
    <w:rsid w:val="0077466C"/>
    <w:rsid w:val="0077491B"/>
    <w:rsid w:val="0077496B"/>
    <w:rsid w:val="00774C2E"/>
    <w:rsid w:val="00774F52"/>
    <w:rsid w:val="0077528D"/>
    <w:rsid w:val="007755C3"/>
    <w:rsid w:val="0077586B"/>
    <w:rsid w:val="00775A3C"/>
    <w:rsid w:val="00775CCB"/>
    <w:rsid w:val="00775D19"/>
    <w:rsid w:val="00775D21"/>
    <w:rsid w:val="007761F1"/>
    <w:rsid w:val="00776827"/>
    <w:rsid w:val="007770FF"/>
    <w:rsid w:val="0077719F"/>
    <w:rsid w:val="007771D8"/>
    <w:rsid w:val="00777326"/>
    <w:rsid w:val="0077743F"/>
    <w:rsid w:val="00777501"/>
    <w:rsid w:val="0077785B"/>
    <w:rsid w:val="00777961"/>
    <w:rsid w:val="00777B56"/>
    <w:rsid w:val="00777BF8"/>
    <w:rsid w:val="00777DA0"/>
    <w:rsid w:val="00777F1E"/>
    <w:rsid w:val="00780145"/>
    <w:rsid w:val="0078034F"/>
    <w:rsid w:val="00780478"/>
    <w:rsid w:val="007805C1"/>
    <w:rsid w:val="00780B77"/>
    <w:rsid w:val="00780C58"/>
    <w:rsid w:val="0078109E"/>
    <w:rsid w:val="007811AC"/>
    <w:rsid w:val="0078154E"/>
    <w:rsid w:val="007815FA"/>
    <w:rsid w:val="007815FC"/>
    <w:rsid w:val="00781780"/>
    <w:rsid w:val="0078179D"/>
    <w:rsid w:val="00781837"/>
    <w:rsid w:val="0078184F"/>
    <w:rsid w:val="00781AA6"/>
    <w:rsid w:val="00781DBF"/>
    <w:rsid w:val="00781F88"/>
    <w:rsid w:val="00782222"/>
    <w:rsid w:val="00782468"/>
    <w:rsid w:val="007826A5"/>
    <w:rsid w:val="0078289C"/>
    <w:rsid w:val="00782B50"/>
    <w:rsid w:val="00782C95"/>
    <w:rsid w:val="00782D10"/>
    <w:rsid w:val="00782EBE"/>
    <w:rsid w:val="007830FF"/>
    <w:rsid w:val="00783222"/>
    <w:rsid w:val="0078388C"/>
    <w:rsid w:val="00783AB9"/>
    <w:rsid w:val="00783B27"/>
    <w:rsid w:val="00783CB6"/>
    <w:rsid w:val="00783DC4"/>
    <w:rsid w:val="00783F82"/>
    <w:rsid w:val="00784110"/>
    <w:rsid w:val="007841D7"/>
    <w:rsid w:val="00784795"/>
    <w:rsid w:val="0078490F"/>
    <w:rsid w:val="00784ABA"/>
    <w:rsid w:val="00784EE7"/>
    <w:rsid w:val="00784F2B"/>
    <w:rsid w:val="00785479"/>
    <w:rsid w:val="0078547A"/>
    <w:rsid w:val="00785A95"/>
    <w:rsid w:val="00785C91"/>
    <w:rsid w:val="00785EEF"/>
    <w:rsid w:val="007860F2"/>
    <w:rsid w:val="007863B0"/>
    <w:rsid w:val="007865D8"/>
    <w:rsid w:val="00786711"/>
    <w:rsid w:val="00786983"/>
    <w:rsid w:val="007869AF"/>
    <w:rsid w:val="00786D87"/>
    <w:rsid w:val="00786F75"/>
    <w:rsid w:val="0078708C"/>
    <w:rsid w:val="00787236"/>
    <w:rsid w:val="00787771"/>
    <w:rsid w:val="0078778C"/>
    <w:rsid w:val="00787853"/>
    <w:rsid w:val="00787879"/>
    <w:rsid w:val="00787A9C"/>
    <w:rsid w:val="00787AAC"/>
    <w:rsid w:val="00787D9D"/>
    <w:rsid w:val="00787F7D"/>
    <w:rsid w:val="0079000F"/>
    <w:rsid w:val="00790408"/>
    <w:rsid w:val="007904A7"/>
    <w:rsid w:val="00790C80"/>
    <w:rsid w:val="00790DB1"/>
    <w:rsid w:val="00791180"/>
    <w:rsid w:val="007913D8"/>
    <w:rsid w:val="00791543"/>
    <w:rsid w:val="00791611"/>
    <w:rsid w:val="007916A3"/>
    <w:rsid w:val="0079179B"/>
    <w:rsid w:val="00791825"/>
    <w:rsid w:val="00791841"/>
    <w:rsid w:val="00791877"/>
    <w:rsid w:val="007918B0"/>
    <w:rsid w:val="00791C8E"/>
    <w:rsid w:val="00791CBE"/>
    <w:rsid w:val="00791D0C"/>
    <w:rsid w:val="00791FD7"/>
    <w:rsid w:val="0079222F"/>
    <w:rsid w:val="00792416"/>
    <w:rsid w:val="0079241A"/>
    <w:rsid w:val="0079263A"/>
    <w:rsid w:val="0079265A"/>
    <w:rsid w:val="007926F0"/>
    <w:rsid w:val="00792753"/>
    <w:rsid w:val="00792956"/>
    <w:rsid w:val="00792B04"/>
    <w:rsid w:val="00792B6D"/>
    <w:rsid w:val="00792D08"/>
    <w:rsid w:val="00792D94"/>
    <w:rsid w:val="00792D95"/>
    <w:rsid w:val="00792EDE"/>
    <w:rsid w:val="00793758"/>
    <w:rsid w:val="00793B9E"/>
    <w:rsid w:val="00794709"/>
    <w:rsid w:val="00794A6C"/>
    <w:rsid w:val="00794ADA"/>
    <w:rsid w:val="00794C6E"/>
    <w:rsid w:val="00794CBE"/>
    <w:rsid w:val="00794F36"/>
    <w:rsid w:val="00795525"/>
    <w:rsid w:val="0079579D"/>
    <w:rsid w:val="00795BFC"/>
    <w:rsid w:val="0079602F"/>
    <w:rsid w:val="007962C5"/>
    <w:rsid w:val="00796685"/>
    <w:rsid w:val="007967D5"/>
    <w:rsid w:val="00796834"/>
    <w:rsid w:val="00796A52"/>
    <w:rsid w:val="00796DA5"/>
    <w:rsid w:val="00796E21"/>
    <w:rsid w:val="00796E23"/>
    <w:rsid w:val="00796F36"/>
    <w:rsid w:val="00797030"/>
    <w:rsid w:val="0079713B"/>
    <w:rsid w:val="007971FD"/>
    <w:rsid w:val="0079732B"/>
    <w:rsid w:val="00797453"/>
    <w:rsid w:val="0079749C"/>
    <w:rsid w:val="00797839"/>
    <w:rsid w:val="00797984"/>
    <w:rsid w:val="00797A4C"/>
    <w:rsid w:val="00797B37"/>
    <w:rsid w:val="007A01B6"/>
    <w:rsid w:val="007A0221"/>
    <w:rsid w:val="007A0718"/>
    <w:rsid w:val="007A088F"/>
    <w:rsid w:val="007A0B6D"/>
    <w:rsid w:val="007A0D08"/>
    <w:rsid w:val="007A0FA4"/>
    <w:rsid w:val="007A177D"/>
    <w:rsid w:val="007A18AC"/>
    <w:rsid w:val="007A1ABC"/>
    <w:rsid w:val="007A1BB3"/>
    <w:rsid w:val="007A1D4E"/>
    <w:rsid w:val="007A2C18"/>
    <w:rsid w:val="007A3099"/>
    <w:rsid w:val="007A3925"/>
    <w:rsid w:val="007A3D01"/>
    <w:rsid w:val="007A3F87"/>
    <w:rsid w:val="007A42FD"/>
    <w:rsid w:val="007A4531"/>
    <w:rsid w:val="007A4640"/>
    <w:rsid w:val="007A4895"/>
    <w:rsid w:val="007A4ECB"/>
    <w:rsid w:val="007A4F6A"/>
    <w:rsid w:val="007A50BF"/>
    <w:rsid w:val="007A520E"/>
    <w:rsid w:val="007A5331"/>
    <w:rsid w:val="007A574F"/>
    <w:rsid w:val="007A5A00"/>
    <w:rsid w:val="007A5A5B"/>
    <w:rsid w:val="007A5BB3"/>
    <w:rsid w:val="007A5E5C"/>
    <w:rsid w:val="007A5EF7"/>
    <w:rsid w:val="007A6125"/>
    <w:rsid w:val="007A61C5"/>
    <w:rsid w:val="007A62A9"/>
    <w:rsid w:val="007A6475"/>
    <w:rsid w:val="007A6574"/>
    <w:rsid w:val="007A6668"/>
    <w:rsid w:val="007A674E"/>
    <w:rsid w:val="007A69F7"/>
    <w:rsid w:val="007A6D21"/>
    <w:rsid w:val="007A6EBB"/>
    <w:rsid w:val="007A7042"/>
    <w:rsid w:val="007A71E1"/>
    <w:rsid w:val="007A7312"/>
    <w:rsid w:val="007A7356"/>
    <w:rsid w:val="007A743B"/>
    <w:rsid w:val="007A74E4"/>
    <w:rsid w:val="007A7B9F"/>
    <w:rsid w:val="007A7C18"/>
    <w:rsid w:val="007A7F01"/>
    <w:rsid w:val="007A7FC1"/>
    <w:rsid w:val="007B03EA"/>
    <w:rsid w:val="007B064C"/>
    <w:rsid w:val="007B0730"/>
    <w:rsid w:val="007B093D"/>
    <w:rsid w:val="007B0BC7"/>
    <w:rsid w:val="007B0C48"/>
    <w:rsid w:val="007B0DFD"/>
    <w:rsid w:val="007B0F2D"/>
    <w:rsid w:val="007B112E"/>
    <w:rsid w:val="007B1350"/>
    <w:rsid w:val="007B13EC"/>
    <w:rsid w:val="007B1435"/>
    <w:rsid w:val="007B1470"/>
    <w:rsid w:val="007B152B"/>
    <w:rsid w:val="007B159B"/>
    <w:rsid w:val="007B1F4A"/>
    <w:rsid w:val="007B1F5B"/>
    <w:rsid w:val="007B238A"/>
    <w:rsid w:val="007B26D8"/>
    <w:rsid w:val="007B289A"/>
    <w:rsid w:val="007B2A1E"/>
    <w:rsid w:val="007B2E4E"/>
    <w:rsid w:val="007B3030"/>
    <w:rsid w:val="007B378C"/>
    <w:rsid w:val="007B37E8"/>
    <w:rsid w:val="007B380F"/>
    <w:rsid w:val="007B4083"/>
    <w:rsid w:val="007B40BC"/>
    <w:rsid w:val="007B48FD"/>
    <w:rsid w:val="007B49CD"/>
    <w:rsid w:val="007B4AE4"/>
    <w:rsid w:val="007B4BAC"/>
    <w:rsid w:val="007B4C83"/>
    <w:rsid w:val="007B4DF4"/>
    <w:rsid w:val="007B50EE"/>
    <w:rsid w:val="007B5375"/>
    <w:rsid w:val="007B588A"/>
    <w:rsid w:val="007B5A89"/>
    <w:rsid w:val="007B5AC9"/>
    <w:rsid w:val="007B5B53"/>
    <w:rsid w:val="007B601E"/>
    <w:rsid w:val="007B6573"/>
    <w:rsid w:val="007B68B6"/>
    <w:rsid w:val="007B6CB2"/>
    <w:rsid w:val="007B72AE"/>
    <w:rsid w:val="007B72BA"/>
    <w:rsid w:val="007B769A"/>
    <w:rsid w:val="007B7AA6"/>
    <w:rsid w:val="007B7F41"/>
    <w:rsid w:val="007C01F4"/>
    <w:rsid w:val="007C062E"/>
    <w:rsid w:val="007C07F8"/>
    <w:rsid w:val="007C0A9B"/>
    <w:rsid w:val="007C0BC4"/>
    <w:rsid w:val="007C0D41"/>
    <w:rsid w:val="007C110C"/>
    <w:rsid w:val="007C130F"/>
    <w:rsid w:val="007C152C"/>
    <w:rsid w:val="007C16FB"/>
    <w:rsid w:val="007C1AA1"/>
    <w:rsid w:val="007C1AF5"/>
    <w:rsid w:val="007C1DD6"/>
    <w:rsid w:val="007C1DE1"/>
    <w:rsid w:val="007C1E61"/>
    <w:rsid w:val="007C1E66"/>
    <w:rsid w:val="007C20AB"/>
    <w:rsid w:val="007C2256"/>
    <w:rsid w:val="007C247F"/>
    <w:rsid w:val="007C254E"/>
    <w:rsid w:val="007C2778"/>
    <w:rsid w:val="007C2A41"/>
    <w:rsid w:val="007C2ADB"/>
    <w:rsid w:val="007C2B07"/>
    <w:rsid w:val="007C2BAC"/>
    <w:rsid w:val="007C2F61"/>
    <w:rsid w:val="007C2FDD"/>
    <w:rsid w:val="007C30A9"/>
    <w:rsid w:val="007C312D"/>
    <w:rsid w:val="007C322A"/>
    <w:rsid w:val="007C368D"/>
    <w:rsid w:val="007C3732"/>
    <w:rsid w:val="007C3BE0"/>
    <w:rsid w:val="007C3D9D"/>
    <w:rsid w:val="007C3E0F"/>
    <w:rsid w:val="007C3E49"/>
    <w:rsid w:val="007C425D"/>
    <w:rsid w:val="007C4364"/>
    <w:rsid w:val="007C4431"/>
    <w:rsid w:val="007C457A"/>
    <w:rsid w:val="007C4A82"/>
    <w:rsid w:val="007C4B60"/>
    <w:rsid w:val="007C51F2"/>
    <w:rsid w:val="007C5262"/>
    <w:rsid w:val="007C5289"/>
    <w:rsid w:val="007C5356"/>
    <w:rsid w:val="007C5820"/>
    <w:rsid w:val="007C5973"/>
    <w:rsid w:val="007C5FBD"/>
    <w:rsid w:val="007C63A1"/>
    <w:rsid w:val="007C6433"/>
    <w:rsid w:val="007C64B9"/>
    <w:rsid w:val="007C6694"/>
    <w:rsid w:val="007C68D3"/>
    <w:rsid w:val="007C69B8"/>
    <w:rsid w:val="007C6AC8"/>
    <w:rsid w:val="007C6BBD"/>
    <w:rsid w:val="007C717C"/>
    <w:rsid w:val="007C7478"/>
    <w:rsid w:val="007C76C7"/>
    <w:rsid w:val="007C786F"/>
    <w:rsid w:val="007C78D6"/>
    <w:rsid w:val="007C7AEC"/>
    <w:rsid w:val="007C7EDD"/>
    <w:rsid w:val="007C7FFD"/>
    <w:rsid w:val="007D0007"/>
    <w:rsid w:val="007D073A"/>
    <w:rsid w:val="007D074C"/>
    <w:rsid w:val="007D0999"/>
    <w:rsid w:val="007D0BAC"/>
    <w:rsid w:val="007D0D13"/>
    <w:rsid w:val="007D0E64"/>
    <w:rsid w:val="007D0EC9"/>
    <w:rsid w:val="007D14DF"/>
    <w:rsid w:val="007D175B"/>
    <w:rsid w:val="007D17A1"/>
    <w:rsid w:val="007D1A2D"/>
    <w:rsid w:val="007D1E79"/>
    <w:rsid w:val="007D20A2"/>
    <w:rsid w:val="007D23AF"/>
    <w:rsid w:val="007D23E3"/>
    <w:rsid w:val="007D2856"/>
    <w:rsid w:val="007D2EEA"/>
    <w:rsid w:val="007D31D6"/>
    <w:rsid w:val="007D31F9"/>
    <w:rsid w:val="007D324A"/>
    <w:rsid w:val="007D33E0"/>
    <w:rsid w:val="007D353F"/>
    <w:rsid w:val="007D360A"/>
    <w:rsid w:val="007D3631"/>
    <w:rsid w:val="007D3FA3"/>
    <w:rsid w:val="007D4121"/>
    <w:rsid w:val="007D4427"/>
    <w:rsid w:val="007D46B6"/>
    <w:rsid w:val="007D49E6"/>
    <w:rsid w:val="007D4B78"/>
    <w:rsid w:val="007D4FFA"/>
    <w:rsid w:val="007D543F"/>
    <w:rsid w:val="007D5720"/>
    <w:rsid w:val="007D5E06"/>
    <w:rsid w:val="007D5E9A"/>
    <w:rsid w:val="007D5FBD"/>
    <w:rsid w:val="007D5FD2"/>
    <w:rsid w:val="007D609D"/>
    <w:rsid w:val="007D657D"/>
    <w:rsid w:val="007D6A83"/>
    <w:rsid w:val="007D7194"/>
    <w:rsid w:val="007D7934"/>
    <w:rsid w:val="007D796E"/>
    <w:rsid w:val="007D7C55"/>
    <w:rsid w:val="007D7C83"/>
    <w:rsid w:val="007E002F"/>
    <w:rsid w:val="007E018A"/>
    <w:rsid w:val="007E03F0"/>
    <w:rsid w:val="007E0548"/>
    <w:rsid w:val="007E0AE8"/>
    <w:rsid w:val="007E0B0B"/>
    <w:rsid w:val="007E0B74"/>
    <w:rsid w:val="007E0C38"/>
    <w:rsid w:val="007E0D35"/>
    <w:rsid w:val="007E119B"/>
    <w:rsid w:val="007E1656"/>
    <w:rsid w:val="007E1A9D"/>
    <w:rsid w:val="007E1AFF"/>
    <w:rsid w:val="007E1BD1"/>
    <w:rsid w:val="007E1C24"/>
    <w:rsid w:val="007E1E69"/>
    <w:rsid w:val="007E1E94"/>
    <w:rsid w:val="007E2105"/>
    <w:rsid w:val="007E224D"/>
    <w:rsid w:val="007E2366"/>
    <w:rsid w:val="007E23C2"/>
    <w:rsid w:val="007E26B3"/>
    <w:rsid w:val="007E27C6"/>
    <w:rsid w:val="007E282A"/>
    <w:rsid w:val="007E2982"/>
    <w:rsid w:val="007E2A17"/>
    <w:rsid w:val="007E2A76"/>
    <w:rsid w:val="007E2CB1"/>
    <w:rsid w:val="007E2CFE"/>
    <w:rsid w:val="007E2FB9"/>
    <w:rsid w:val="007E3402"/>
    <w:rsid w:val="007E38D4"/>
    <w:rsid w:val="007E3913"/>
    <w:rsid w:val="007E3A19"/>
    <w:rsid w:val="007E3A62"/>
    <w:rsid w:val="007E3AFD"/>
    <w:rsid w:val="007E3CAA"/>
    <w:rsid w:val="007E4065"/>
    <w:rsid w:val="007E4299"/>
    <w:rsid w:val="007E45BC"/>
    <w:rsid w:val="007E4983"/>
    <w:rsid w:val="007E4E0F"/>
    <w:rsid w:val="007E4E67"/>
    <w:rsid w:val="007E506C"/>
    <w:rsid w:val="007E51C9"/>
    <w:rsid w:val="007E5301"/>
    <w:rsid w:val="007E55CB"/>
    <w:rsid w:val="007E5A5F"/>
    <w:rsid w:val="007E5DDC"/>
    <w:rsid w:val="007E5F03"/>
    <w:rsid w:val="007E5F8F"/>
    <w:rsid w:val="007E60F2"/>
    <w:rsid w:val="007E632F"/>
    <w:rsid w:val="007E6340"/>
    <w:rsid w:val="007E63FD"/>
    <w:rsid w:val="007E64B6"/>
    <w:rsid w:val="007E6510"/>
    <w:rsid w:val="007E668C"/>
    <w:rsid w:val="007E6AAB"/>
    <w:rsid w:val="007E6BDA"/>
    <w:rsid w:val="007E709F"/>
    <w:rsid w:val="007E7372"/>
    <w:rsid w:val="007E75D8"/>
    <w:rsid w:val="007E77CF"/>
    <w:rsid w:val="007E7AE9"/>
    <w:rsid w:val="007F0406"/>
    <w:rsid w:val="007F0AD1"/>
    <w:rsid w:val="007F0BDF"/>
    <w:rsid w:val="007F0DBC"/>
    <w:rsid w:val="007F0E93"/>
    <w:rsid w:val="007F1135"/>
    <w:rsid w:val="007F138A"/>
    <w:rsid w:val="007F1451"/>
    <w:rsid w:val="007F151A"/>
    <w:rsid w:val="007F1566"/>
    <w:rsid w:val="007F1A2B"/>
    <w:rsid w:val="007F1D9E"/>
    <w:rsid w:val="007F20C9"/>
    <w:rsid w:val="007F2100"/>
    <w:rsid w:val="007F21D9"/>
    <w:rsid w:val="007F22C5"/>
    <w:rsid w:val="007F2A31"/>
    <w:rsid w:val="007F2C36"/>
    <w:rsid w:val="007F2CE5"/>
    <w:rsid w:val="007F2E0C"/>
    <w:rsid w:val="007F3002"/>
    <w:rsid w:val="007F3677"/>
    <w:rsid w:val="007F37E2"/>
    <w:rsid w:val="007F3B27"/>
    <w:rsid w:val="007F3C9A"/>
    <w:rsid w:val="007F3D81"/>
    <w:rsid w:val="007F43A5"/>
    <w:rsid w:val="007F4493"/>
    <w:rsid w:val="007F4768"/>
    <w:rsid w:val="007F483B"/>
    <w:rsid w:val="007F49AB"/>
    <w:rsid w:val="007F4B27"/>
    <w:rsid w:val="007F4DE0"/>
    <w:rsid w:val="007F4EB8"/>
    <w:rsid w:val="007F5070"/>
    <w:rsid w:val="007F53D7"/>
    <w:rsid w:val="007F553D"/>
    <w:rsid w:val="007F57F8"/>
    <w:rsid w:val="007F6198"/>
    <w:rsid w:val="007F6402"/>
    <w:rsid w:val="007F6672"/>
    <w:rsid w:val="007F674B"/>
    <w:rsid w:val="007F6BA0"/>
    <w:rsid w:val="007F6E1E"/>
    <w:rsid w:val="007F701F"/>
    <w:rsid w:val="007F7218"/>
    <w:rsid w:val="007F74BC"/>
    <w:rsid w:val="007F7760"/>
    <w:rsid w:val="007F7908"/>
    <w:rsid w:val="007F79DD"/>
    <w:rsid w:val="007F7C79"/>
    <w:rsid w:val="007F7FCF"/>
    <w:rsid w:val="007F7FD7"/>
    <w:rsid w:val="008001BA"/>
    <w:rsid w:val="0080041F"/>
    <w:rsid w:val="00800D57"/>
    <w:rsid w:val="00800FCE"/>
    <w:rsid w:val="008010CC"/>
    <w:rsid w:val="0080113E"/>
    <w:rsid w:val="00801287"/>
    <w:rsid w:val="008013E7"/>
    <w:rsid w:val="0080169C"/>
    <w:rsid w:val="0080178F"/>
    <w:rsid w:val="008018CC"/>
    <w:rsid w:val="00801D49"/>
    <w:rsid w:val="00801D97"/>
    <w:rsid w:val="00801ECC"/>
    <w:rsid w:val="008021BB"/>
    <w:rsid w:val="00802206"/>
    <w:rsid w:val="0080220E"/>
    <w:rsid w:val="008024AF"/>
    <w:rsid w:val="0080290F"/>
    <w:rsid w:val="00802B2E"/>
    <w:rsid w:val="00803012"/>
    <w:rsid w:val="0080311C"/>
    <w:rsid w:val="008033CA"/>
    <w:rsid w:val="00803449"/>
    <w:rsid w:val="00803BA1"/>
    <w:rsid w:val="00803E9F"/>
    <w:rsid w:val="008040CA"/>
    <w:rsid w:val="00804637"/>
    <w:rsid w:val="008047C2"/>
    <w:rsid w:val="00804A74"/>
    <w:rsid w:val="00804ABC"/>
    <w:rsid w:val="00804E05"/>
    <w:rsid w:val="00804FEC"/>
    <w:rsid w:val="008052DC"/>
    <w:rsid w:val="008053F4"/>
    <w:rsid w:val="00805422"/>
    <w:rsid w:val="008055E1"/>
    <w:rsid w:val="00805725"/>
    <w:rsid w:val="008058F3"/>
    <w:rsid w:val="00805AE2"/>
    <w:rsid w:val="00805C1B"/>
    <w:rsid w:val="00805CBD"/>
    <w:rsid w:val="00806501"/>
    <w:rsid w:val="0080670E"/>
    <w:rsid w:val="00806954"/>
    <w:rsid w:val="00806A79"/>
    <w:rsid w:val="0080700D"/>
    <w:rsid w:val="00807038"/>
    <w:rsid w:val="008071F5"/>
    <w:rsid w:val="0080725D"/>
    <w:rsid w:val="00807288"/>
    <w:rsid w:val="00807A2C"/>
    <w:rsid w:val="00807E0D"/>
    <w:rsid w:val="00810184"/>
    <w:rsid w:val="0081025B"/>
    <w:rsid w:val="00810466"/>
    <w:rsid w:val="008108A3"/>
    <w:rsid w:val="008108DF"/>
    <w:rsid w:val="00810AA6"/>
    <w:rsid w:val="00810AEB"/>
    <w:rsid w:val="00810C3F"/>
    <w:rsid w:val="00810D57"/>
    <w:rsid w:val="00810D62"/>
    <w:rsid w:val="00810DF2"/>
    <w:rsid w:val="00811009"/>
    <w:rsid w:val="0081102A"/>
    <w:rsid w:val="00811582"/>
    <w:rsid w:val="00811664"/>
    <w:rsid w:val="008116E0"/>
    <w:rsid w:val="008119DF"/>
    <w:rsid w:val="008120CC"/>
    <w:rsid w:val="0081216E"/>
    <w:rsid w:val="00812245"/>
    <w:rsid w:val="00812ABC"/>
    <w:rsid w:val="00812AF2"/>
    <w:rsid w:val="00812C09"/>
    <w:rsid w:val="00812C39"/>
    <w:rsid w:val="00812D6E"/>
    <w:rsid w:val="00812E19"/>
    <w:rsid w:val="008130CB"/>
    <w:rsid w:val="008131FA"/>
    <w:rsid w:val="00813363"/>
    <w:rsid w:val="008136CE"/>
    <w:rsid w:val="008136D1"/>
    <w:rsid w:val="008137D4"/>
    <w:rsid w:val="008137E8"/>
    <w:rsid w:val="00813987"/>
    <w:rsid w:val="00813DCF"/>
    <w:rsid w:val="00813E51"/>
    <w:rsid w:val="00813F8B"/>
    <w:rsid w:val="0081411A"/>
    <w:rsid w:val="008146DA"/>
    <w:rsid w:val="00814735"/>
    <w:rsid w:val="008147FE"/>
    <w:rsid w:val="00814B7E"/>
    <w:rsid w:val="00814B93"/>
    <w:rsid w:val="00814F68"/>
    <w:rsid w:val="00815266"/>
    <w:rsid w:val="0081526F"/>
    <w:rsid w:val="008155FB"/>
    <w:rsid w:val="0081563B"/>
    <w:rsid w:val="00815B82"/>
    <w:rsid w:val="00816169"/>
    <w:rsid w:val="00816416"/>
    <w:rsid w:val="00816881"/>
    <w:rsid w:val="008168F9"/>
    <w:rsid w:val="00816AA1"/>
    <w:rsid w:val="00816B86"/>
    <w:rsid w:val="008170C3"/>
    <w:rsid w:val="00817421"/>
    <w:rsid w:val="00817B11"/>
    <w:rsid w:val="00817C1C"/>
    <w:rsid w:val="00820335"/>
    <w:rsid w:val="0082034D"/>
    <w:rsid w:val="00820761"/>
    <w:rsid w:val="00820897"/>
    <w:rsid w:val="00820AB6"/>
    <w:rsid w:val="00820D5A"/>
    <w:rsid w:val="00820EF9"/>
    <w:rsid w:val="00820EFC"/>
    <w:rsid w:val="00820F6D"/>
    <w:rsid w:val="00821AF9"/>
    <w:rsid w:val="00821B01"/>
    <w:rsid w:val="00821BE7"/>
    <w:rsid w:val="00821E72"/>
    <w:rsid w:val="00821FF3"/>
    <w:rsid w:val="00822086"/>
    <w:rsid w:val="00822103"/>
    <w:rsid w:val="00822DC0"/>
    <w:rsid w:val="00822FC4"/>
    <w:rsid w:val="008234F9"/>
    <w:rsid w:val="0082354C"/>
    <w:rsid w:val="0082355F"/>
    <w:rsid w:val="00823731"/>
    <w:rsid w:val="00823847"/>
    <w:rsid w:val="00823B03"/>
    <w:rsid w:val="00823BD7"/>
    <w:rsid w:val="00823C1D"/>
    <w:rsid w:val="00824095"/>
    <w:rsid w:val="00824A55"/>
    <w:rsid w:val="00824E1F"/>
    <w:rsid w:val="008253CD"/>
    <w:rsid w:val="00825691"/>
    <w:rsid w:val="00825736"/>
    <w:rsid w:val="00825BFF"/>
    <w:rsid w:val="00825DB7"/>
    <w:rsid w:val="00825EFA"/>
    <w:rsid w:val="0082634D"/>
    <w:rsid w:val="0082693A"/>
    <w:rsid w:val="00826AAD"/>
    <w:rsid w:val="00826C89"/>
    <w:rsid w:val="00826F80"/>
    <w:rsid w:val="0082704A"/>
    <w:rsid w:val="008273A0"/>
    <w:rsid w:val="008273A1"/>
    <w:rsid w:val="0082749E"/>
    <w:rsid w:val="00827731"/>
    <w:rsid w:val="0082784C"/>
    <w:rsid w:val="00827C0B"/>
    <w:rsid w:val="00827FEF"/>
    <w:rsid w:val="00830003"/>
    <w:rsid w:val="00830394"/>
    <w:rsid w:val="008303EC"/>
    <w:rsid w:val="0083043D"/>
    <w:rsid w:val="00830CAA"/>
    <w:rsid w:val="00831584"/>
    <w:rsid w:val="00831610"/>
    <w:rsid w:val="008317DD"/>
    <w:rsid w:val="00831B09"/>
    <w:rsid w:val="00831BB5"/>
    <w:rsid w:val="00831EB9"/>
    <w:rsid w:val="00832092"/>
    <w:rsid w:val="00832A97"/>
    <w:rsid w:val="00832E3A"/>
    <w:rsid w:val="008330C3"/>
    <w:rsid w:val="008332A5"/>
    <w:rsid w:val="00833301"/>
    <w:rsid w:val="00833516"/>
    <w:rsid w:val="00833B1E"/>
    <w:rsid w:val="00834159"/>
    <w:rsid w:val="008343E8"/>
    <w:rsid w:val="008347FB"/>
    <w:rsid w:val="008348A1"/>
    <w:rsid w:val="0083508B"/>
    <w:rsid w:val="00835355"/>
    <w:rsid w:val="008353FA"/>
    <w:rsid w:val="00835403"/>
    <w:rsid w:val="00835524"/>
    <w:rsid w:val="008356E9"/>
    <w:rsid w:val="00835722"/>
    <w:rsid w:val="008357B3"/>
    <w:rsid w:val="00836316"/>
    <w:rsid w:val="00836451"/>
    <w:rsid w:val="0083675F"/>
    <w:rsid w:val="00836996"/>
    <w:rsid w:val="008369ED"/>
    <w:rsid w:val="00836A8D"/>
    <w:rsid w:val="008370A6"/>
    <w:rsid w:val="00837166"/>
    <w:rsid w:val="008371EE"/>
    <w:rsid w:val="008372E0"/>
    <w:rsid w:val="0083760A"/>
    <w:rsid w:val="00837858"/>
    <w:rsid w:val="008379B7"/>
    <w:rsid w:val="00837B48"/>
    <w:rsid w:val="00837BA1"/>
    <w:rsid w:val="00837EB7"/>
    <w:rsid w:val="00837F02"/>
    <w:rsid w:val="00840065"/>
    <w:rsid w:val="0084019B"/>
    <w:rsid w:val="00840343"/>
    <w:rsid w:val="008403E8"/>
    <w:rsid w:val="00840615"/>
    <w:rsid w:val="00840712"/>
    <w:rsid w:val="00840A49"/>
    <w:rsid w:val="00840B2D"/>
    <w:rsid w:val="0084126B"/>
    <w:rsid w:val="00841476"/>
    <w:rsid w:val="00841572"/>
    <w:rsid w:val="0084169B"/>
    <w:rsid w:val="0084183E"/>
    <w:rsid w:val="00841922"/>
    <w:rsid w:val="00841A7F"/>
    <w:rsid w:val="00841B80"/>
    <w:rsid w:val="00841F91"/>
    <w:rsid w:val="00842010"/>
    <w:rsid w:val="008420F7"/>
    <w:rsid w:val="00842149"/>
    <w:rsid w:val="008421A4"/>
    <w:rsid w:val="00842218"/>
    <w:rsid w:val="008422F8"/>
    <w:rsid w:val="00842399"/>
    <w:rsid w:val="008425E6"/>
    <w:rsid w:val="00842881"/>
    <w:rsid w:val="00842997"/>
    <w:rsid w:val="00842D06"/>
    <w:rsid w:val="00842DC2"/>
    <w:rsid w:val="00842FD2"/>
    <w:rsid w:val="0084350B"/>
    <w:rsid w:val="00843697"/>
    <w:rsid w:val="0084372B"/>
    <w:rsid w:val="008439AB"/>
    <w:rsid w:val="00843DD9"/>
    <w:rsid w:val="00843F99"/>
    <w:rsid w:val="00844113"/>
    <w:rsid w:val="00844802"/>
    <w:rsid w:val="008449D6"/>
    <w:rsid w:val="00844C01"/>
    <w:rsid w:val="00844D2E"/>
    <w:rsid w:val="00844D30"/>
    <w:rsid w:val="00844F89"/>
    <w:rsid w:val="00844FA3"/>
    <w:rsid w:val="00844FFE"/>
    <w:rsid w:val="00845278"/>
    <w:rsid w:val="00845463"/>
    <w:rsid w:val="008454C5"/>
    <w:rsid w:val="008457B5"/>
    <w:rsid w:val="00845B30"/>
    <w:rsid w:val="00845EC0"/>
    <w:rsid w:val="00845FCD"/>
    <w:rsid w:val="00846095"/>
    <w:rsid w:val="008463F0"/>
    <w:rsid w:val="008465B8"/>
    <w:rsid w:val="00846623"/>
    <w:rsid w:val="008468C5"/>
    <w:rsid w:val="00846A1D"/>
    <w:rsid w:val="00846D06"/>
    <w:rsid w:val="0084706D"/>
    <w:rsid w:val="008471CA"/>
    <w:rsid w:val="00847839"/>
    <w:rsid w:val="00847D3E"/>
    <w:rsid w:val="00847F32"/>
    <w:rsid w:val="0085013D"/>
    <w:rsid w:val="008503E0"/>
    <w:rsid w:val="00850495"/>
    <w:rsid w:val="008505FB"/>
    <w:rsid w:val="00850720"/>
    <w:rsid w:val="00850823"/>
    <w:rsid w:val="008508C5"/>
    <w:rsid w:val="00850907"/>
    <w:rsid w:val="00850B05"/>
    <w:rsid w:val="00850DAD"/>
    <w:rsid w:val="00850EC4"/>
    <w:rsid w:val="00851298"/>
    <w:rsid w:val="0085132C"/>
    <w:rsid w:val="0085246D"/>
    <w:rsid w:val="00852A07"/>
    <w:rsid w:val="00852FDC"/>
    <w:rsid w:val="00853338"/>
    <w:rsid w:val="0085368B"/>
    <w:rsid w:val="0085385F"/>
    <w:rsid w:val="00853862"/>
    <w:rsid w:val="008538DD"/>
    <w:rsid w:val="00853ABC"/>
    <w:rsid w:val="00853B7D"/>
    <w:rsid w:val="00853B98"/>
    <w:rsid w:val="00853CA1"/>
    <w:rsid w:val="00853D33"/>
    <w:rsid w:val="00853E37"/>
    <w:rsid w:val="008540FE"/>
    <w:rsid w:val="00854542"/>
    <w:rsid w:val="00854606"/>
    <w:rsid w:val="00854958"/>
    <w:rsid w:val="008552CE"/>
    <w:rsid w:val="0085530A"/>
    <w:rsid w:val="008553BF"/>
    <w:rsid w:val="0085541B"/>
    <w:rsid w:val="008555C4"/>
    <w:rsid w:val="0085574B"/>
    <w:rsid w:val="00855796"/>
    <w:rsid w:val="0085597D"/>
    <w:rsid w:val="00855AEB"/>
    <w:rsid w:val="00855BAD"/>
    <w:rsid w:val="00855BED"/>
    <w:rsid w:val="00855ECA"/>
    <w:rsid w:val="00855EEF"/>
    <w:rsid w:val="008560F4"/>
    <w:rsid w:val="0085624C"/>
    <w:rsid w:val="00856B8B"/>
    <w:rsid w:val="00856BCD"/>
    <w:rsid w:val="008573FA"/>
    <w:rsid w:val="008576F6"/>
    <w:rsid w:val="008577C2"/>
    <w:rsid w:val="00857A44"/>
    <w:rsid w:val="00857B6F"/>
    <w:rsid w:val="00857C35"/>
    <w:rsid w:val="00857D64"/>
    <w:rsid w:val="00857DD2"/>
    <w:rsid w:val="00857EC6"/>
    <w:rsid w:val="00857EDC"/>
    <w:rsid w:val="00857FC2"/>
    <w:rsid w:val="00857FDF"/>
    <w:rsid w:val="00860087"/>
    <w:rsid w:val="0086014A"/>
    <w:rsid w:val="00860257"/>
    <w:rsid w:val="00860570"/>
    <w:rsid w:val="0086057F"/>
    <w:rsid w:val="008610B0"/>
    <w:rsid w:val="00861430"/>
    <w:rsid w:val="008619E4"/>
    <w:rsid w:val="00861BDA"/>
    <w:rsid w:val="00861D92"/>
    <w:rsid w:val="00861E94"/>
    <w:rsid w:val="00862210"/>
    <w:rsid w:val="008624DD"/>
    <w:rsid w:val="00862559"/>
    <w:rsid w:val="008628A7"/>
    <w:rsid w:val="00862933"/>
    <w:rsid w:val="00862A2B"/>
    <w:rsid w:val="00862BD6"/>
    <w:rsid w:val="00862EA2"/>
    <w:rsid w:val="008630A1"/>
    <w:rsid w:val="0086329D"/>
    <w:rsid w:val="00863326"/>
    <w:rsid w:val="008635C9"/>
    <w:rsid w:val="008636C8"/>
    <w:rsid w:val="0086373E"/>
    <w:rsid w:val="00863B99"/>
    <w:rsid w:val="00863CB2"/>
    <w:rsid w:val="00863CE1"/>
    <w:rsid w:val="00864025"/>
    <w:rsid w:val="008641A5"/>
    <w:rsid w:val="00864520"/>
    <w:rsid w:val="00864CA2"/>
    <w:rsid w:val="00864E7F"/>
    <w:rsid w:val="00865469"/>
    <w:rsid w:val="00865493"/>
    <w:rsid w:val="0086566D"/>
    <w:rsid w:val="00865A3E"/>
    <w:rsid w:val="0086602D"/>
    <w:rsid w:val="00866341"/>
    <w:rsid w:val="0086638A"/>
    <w:rsid w:val="008663E2"/>
    <w:rsid w:val="00866482"/>
    <w:rsid w:val="0086651F"/>
    <w:rsid w:val="00866521"/>
    <w:rsid w:val="00866539"/>
    <w:rsid w:val="0086666B"/>
    <w:rsid w:val="00866687"/>
    <w:rsid w:val="00866725"/>
    <w:rsid w:val="00866DBB"/>
    <w:rsid w:val="0086722F"/>
    <w:rsid w:val="008672B9"/>
    <w:rsid w:val="0086732D"/>
    <w:rsid w:val="00867434"/>
    <w:rsid w:val="0086748B"/>
    <w:rsid w:val="00867D29"/>
    <w:rsid w:val="00867E1C"/>
    <w:rsid w:val="00870030"/>
    <w:rsid w:val="00870551"/>
    <w:rsid w:val="00870773"/>
    <w:rsid w:val="00870862"/>
    <w:rsid w:val="00870C41"/>
    <w:rsid w:val="00870CCF"/>
    <w:rsid w:val="0087106E"/>
    <w:rsid w:val="008711C6"/>
    <w:rsid w:val="00871996"/>
    <w:rsid w:val="008719FE"/>
    <w:rsid w:val="00871BE5"/>
    <w:rsid w:val="00871FB0"/>
    <w:rsid w:val="008720B9"/>
    <w:rsid w:val="008722E9"/>
    <w:rsid w:val="0087252E"/>
    <w:rsid w:val="00872643"/>
    <w:rsid w:val="00872766"/>
    <w:rsid w:val="00873467"/>
    <w:rsid w:val="0087365B"/>
    <w:rsid w:val="00873E30"/>
    <w:rsid w:val="0087407D"/>
    <w:rsid w:val="0087428E"/>
    <w:rsid w:val="008744CA"/>
    <w:rsid w:val="008744D2"/>
    <w:rsid w:val="008745A7"/>
    <w:rsid w:val="00874658"/>
    <w:rsid w:val="00874B31"/>
    <w:rsid w:val="00874BAA"/>
    <w:rsid w:val="00874CCC"/>
    <w:rsid w:val="00874DC5"/>
    <w:rsid w:val="00874FF1"/>
    <w:rsid w:val="00875122"/>
    <w:rsid w:val="00875153"/>
    <w:rsid w:val="0087547B"/>
    <w:rsid w:val="00875546"/>
    <w:rsid w:val="00875703"/>
    <w:rsid w:val="00875D69"/>
    <w:rsid w:val="00875DA3"/>
    <w:rsid w:val="00875DB3"/>
    <w:rsid w:val="00875E59"/>
    <w:rsid w:val="00875F56"/>
    <w:rsid w:val="008760CA"/>
    <w:rsid w:val="008763AE"/>
    <w:rsid w:val="0087657E"/>
    <w:rsid w:val="00876699"/>
    <w:rsid w:val="008768F1"/>
    <w:rsid w:val="00876A4D"/>
    <w:rsid w:val="00877547"/>
    <w:rsid w:val="00877735"/>
    <w:rsid w:val="00877B45"/>
    <w:rsid w:val="00877E16"/>
    <w:rsid w:val="00877EDA"/>
    <w:rsid w:val="00877FC8"/>
    <w:rsid w:val="00880154"/>
    <w:rsid w:val="008801D2"/>
    <w:rsid w:val="008805B8"/>
    <w:rsid w:val="00880719"/>
    <w:rsid w:val="00880847"/>
    <w:rsid w:val="00880AD1"/>
    <w:rsid w:val="00880BB7"/>
    <w:rsid w:val="00880F0F"/>
    <w:rsid w:val="00881306"/>
    <w:rsid w:val="00881325"/>
    <w:rsid w:val="0088146D"/>
    <w:rsid w:val="008817EB"/>
    <w:rsid w:val="0088186F"/>
    <w:rsid w:val="00881B43"/>
    <w:rsid w:val="00881CA6"/>
    <w:rsid w:val="00881F22"/>
    <w:rsid w:val="00881FEA"/>
    <w:rsid w:val="008821CF"/>
    <w:rsid w:val="008821DE"/>
    <w:rsid w:val="00882322"/>
    <w:rsid w:val="00882962"/>
    <w:rsid w:val="00882B7E"/>
    <w:rsid w:val="00882C40"/>
    <w:rsid w:val="00882D68"/>
    <w:rsid w:val="00883090"/>
    <w:rsid w:val="008830AD"/>
    <w:rsid w:val="008831C6"/>
    <w:rsid w:val="008832F1"/>
    <w:rsid w:val="00883A00"/>
    <w:rsid w:val="00883A5E"/>
    <w:rsid w:val="00883D9A"/>
    <w:rsid w:val="00883DBD"/>
    <w:rsid w:val="00883E64"/>
    <w:rsid w:val="008840FB"/>
    <w:rsid w:val="00884BE5"/>
    <w:rsid w:val="00884C22"/>
    <w:rsid w:val="00884E6E"/>
    <w:rsid w:val="008850E6"/>
    <w:rsid w:val="008851A1"/>
    <w:rsid w:val="008854D0"/>
    <w:rsid w:val="00885AAE"/>
    <w:rsid w:val="00885C0D"/>
    <w:rsid w:val="00885D2D"/>
    <w:rsid w:val="00885F00"/>
    <w:rsid w:val="00885F8B"/>
    <w:rsid w:val="00886180"/>
    <w:rsid w:val="00886192"/>
    <w:rsid w:val="0088640F"/>
    <w:rsid w:val="00886436"/>
    <w:rsid w:val="00886568"/>
    <w:rsid w:val="00886573"/>
    <w:rsid w:val="00886708"/>
    <w:rsid w:val="00886949"/>
    <w:rsid w:val="008869FE"/>
    <w:rsid w:val="00886C83"/>
    <w:rsid w:val="008873C3"/>
    <w:rsid w:val="00887447"/>
    <w:rsid w:val="0088771B"/>
    <w:rsid w:val="008878D0"/>
    <w:rsid w:val="00887A75"/>
    <w:rsid w:val="008900D6"/>
    <w:rsid w:val="008900FA"/>
    <w:rsid w:val="00890209"/>
    <w:rsid w:val="00890968"/>
    <w:rsid w:val="00890C45"/>
    <w:rsid w:val="00890E45"/>
    <w:rsid w:val="00890E66"/>
    <w:rsid w:val="00891312"/>
    <w:rsid w:val="0089134A"/>
    <w:rsid w:val="0089143C"/>
    <w:rsid w:val="0089152E"/>
    <w:rsid w:val="008915F3"/>
    <w:rsid w:val="00891834"/>
    <w:rsid w:val="00891A05"/>
    <w:rsid w:val="00891C2E"/>
    <w:rsid w:val="00891C57"/>
    <w:rsid w:val="0089203E"/>
    <w:rsid w:val="008920FD"/>
    <w:rsid w:val="00892514"/>
    <w:rsid w:val="00892869"/>
    <w:rsid w:val="00892A3F"/>
    <w:rsid w:val="00892A4D"/>
    <w:rsid w:val="00892B80"/>
    <w:rsid w:val="008930B7"/>
    <w:rsid w:val="008932D2"/>
    <w:rsid w:val="00893419"/>
    <w:rsid w:val="0089348A"/>
    <w:rsid w:val="00893518"/>
    <w:rsid w:val="008935D7"/>
    <w:rsid w:val="00893638"/>
    <w:rsid w:val="00893ADB"/>
    <w:rsid w:val="00894002"/>
    <w:rsid w:val="00894079"/>
    <w:rsid w:val="00894114"/>
    <w:rsid w:val="008942A1"/>
    <w:rsid w:val="00894571"/>
    <w:rsid w:val="00894938"/>
    <w:rsid w:val="00894957"/>
    <w:rsid w:val="00894AC5"/>
    <w:rsid w:val="00894EEA"/>
    <w:rsid w:val="00896238"/>
    <w:rsid w:val="00896570"/>
    <w:rsid w:val="008965F2"/>
    <w:rsid w:val="0089667D"/>
    <w:rsid w:val="00896822"/>
    <w:rsid w:val="00896846"/>
    <w:rsid w:val="00896ECB"/>
    <w:rsid w:val="00896FA1"/>
    <w:rsid w:val="00896FAD"/>
    <w:rsid w:val="008970A2"/>
    <w:rsid w:val="00897588"/>
    <w:rsid w:val="008976E4"/>
    <w:rsid w:val="00897AC9"/>
    <w:rsid w:val="00897BDB"/>
    <w:rsid w:val="008A0840"/>
    <w:rsid w:val="008A0A1C"/>
    <w:rsid w:val="008A0D31"/>
    <w:rsid w:val="008A1301"/>
    <w:rsid w:val="008A15B2"/>
    <w:rsid w:val="008A1629"/>
    <w:rsid w:val="008A1682"/>
    <w:rsid w:val="008A18B7"/>
    <w:rsid w:val="008A18BD"/>
    <w:rsid w:val="008A19EB"/>
    <w:rsid w:val="008A1C99"/>
    <w:rsid w:val="008A21D8"/>
    <w:rsid w:val="008A227B"/>
    <w:rsid w:val="008A24C8"/>
    <w:rsid w:val="008A269C"/>
    <w:rsid w:val="008A26C2"/>
    <w:rsid w:val="008A28B8"/>
    <w:rsid w:val="008A299D"/>
    <w:rsid w:val="008A2AA1"/>
    <w:rsid w:val="008A2C4E"/>
    <w:rsid w:val="008A2CFD"/>
    <w:rsid w:val="008A2D06"/>
    <w:rsid w:val="008A2F01"/>
    <w:rsid w:val="008A316B"/>
    <w:rsid w:val="008A3277"/>
    <w:rsid w:val="008A32E6"/>
    <w:rsid w:val="008A3464"/>
    <w:rsid w:val="008A355E"/>
    <w:rsid w:val="008A3822"/>
    <w:rsid w:val="008A3ECD"/>
    <w:rsid w:val="008A417D"/>
    <w:rsid w:val="008A42C2"/>
    <w:rsid w:val="008A4AC7"/>
    <w:rsid w:val="008A4B23"/>
    <w:rsid w:val="008A4DFD"/>
    <w:rsid w:val="008A505C"/>
    <w:rsid w:val="008A5161"/>
    <w:rsid w:val="008A51A6"/>
    <w:rsid w:val="008A53F3"/>
    <w:rsid w:val="008A5497"/>
    <w:rsid w:val="008A5568"/>
    <w:rsid w:val="008A5849"/>
    <w:rsid w:val="008A5B32"/>
    <w:rsid w:val="008A5CD4"/>
    <w:rsid w:val="008A6274"/>
    <w:rsid w:val="008A6328"/>
    <w:rsid w:val="008A698F"/>
    <w:rsid w:val="008A6C83"/>
    <w:rsid w:val="008A72A7"/>
    <w:rsid w:val="008A73A3"/>
    <w:rsid w:val="008A7D6A"/>
    <w:rsid w:val="008A7DB8"/>
    <w:rsid w:val="008A7E5E"/>
    <w:rsid w:val="008B005A"/>
    <w:rsid w:val="008B0307"/>
    <w:rsid w:val="008B039B"/>
    <w:rsid w:val="008B057C"/>
    <w:rsid w:val="008B0830"/>
    <w:rsid w:val="008B0956"/>
    <w:rsid w:val="008B0B23"/>
    <w:rsid w:val="008B0DB5"/>
    <w:rsid w:val="008B1050"/>
    <w:rsid w:val="008B1296"/>
    <w:rsid w:val="008B1510"/>
    <w:rsid w:val="008B15C8"/>
    <w:rsid w:val="008B15E5"/>
    <w:rsid w:val="008B164C"/>
    <w:rsid w:val="008B1A09"/>
    <w:rsid w:val="008B1ACC"/>
    <w:rsid w:val="008B1C4E"/>
    <w:rsid w:val="008B1FF9"/>
    <w:rsid w:val="008B20CB"/>
    <w:rsid w:val="008B23BB"/>
    <w:rsid w:val="008B2D2A"/>
    <w:rsid w:val="008B2EF9"/>
    <w:rsid w:val="008B31E0"/>
    <w:rsid w:val="008B327A"/>
    <w:rsid w:val="008B3306"/>
    <w:rsid w:val="008B3366"/>
    <w:rsid w:val="008B3776"/>
    <w:rsid w:val="008B37F6"/>
    <w:rsid w:val="008B3AB8"/>
    <w:rsid w:val="008B3F7C"/>
    <w:rsid w:val="008B3FBD"/>
    <w:rsid w:val="008B42AB"/>
    <w:rsid w:val="008B4354"/>
    <w:rsid w:val="008B4648"/>
    <w:rsid w:val="008B496D"/>
    <w:rsid w:val="008B4B96"/>
    <w:rsid w:val="008B4BD8"/>
    <w:rsid w:val="008B5008"/>
    <w:rsid w:val="008B526C"/>
    <w:rsid w:val="008B52DC"/>
    <w:rsid w:val="008B56E6"/>
    <w:rsid w:val="008B591B"/>
    <w:rsid w:val="008B59C3"/>
    <w:rsid w:val="008B5A2F"/>
    <w:rsid w:val="008B6036"/>
    <w:rsid w:val="008B6127"/>
    <w:rsid w:val="008B61DC"/>
    <w:rsid w:val="008B649E"/>
    <w:rsid w:val="008B660A"/>
    <w:rsid w:val="008B6809"/>
    <w:rsid w:val="008B6C49"/>
    <w:rsid w:val="008B6F5B"/>
    <w:rsid w:val="008B7114"/>
    <w:rsid w:val="008B7157"/>
    <w:rsid w:val="008B7183"/>
    <w:rsid w:val="008B7228"/>
    <w:rsid w:val="008B7455"/>
    <w:rsid w:val="008B7483"/>
    <w:rsid w:val="008B7D33"/>
    <w:rsid w:val="008C006F"/>
    <w:rsid w:val="008C0127"/>
    <w:rsid w:val="008C0204"/>
    <w:rsid w:val="008C05AF"/>
    <w:rsid w:val="008C05D7"/>
    <w:rsid w:val="008C07D7"/>
    <w:rsid w:val="008C0A54"/>
    <w:rsid w:val="008C0BCA"/>
    <w:rsid w:val="008C17F2"/>
    <w:rsid w:val="008C181C"/>
    <w:rsid w:val="008C19E2"/>
    <w:rsid w:val="008C19F4"/>
    <w:rsid w:val="008C1BC0"/>
    <w:rsid w:val="008C1E70"/>
    <w:rsid w:val="008C1ED6"/>
    <w:rsid w:val="008C1F41"/>
    <w:rsid w:val="008C1FAE"/>
    <w:rsid w:val="008C21FA"/>
    <w:rsid w:val="008C23E7"/>
    <w:rsid w:val="008C2592"/>
    <w:rsid w:val="008C25CE"/>
    <w:rsid w:val="008C2C88"/>
    <w:rsid w:val="008C3000"/>
    <w:rsid w:val="008C37A8"/>
    <w:rsid w:val="008C3BDE"/>
    <w:rsid w:val="008C3C72"/>
    <w:rsid w:val="008C3C82"/>
    <w:rsid w:val="008C4320"/>
    <w:rsid w:val="008C455D"/>
    <w:rsid w:val="008C46B8"/>
    <w:rsid w:val="008C47EB"/>
    <w:rsid w:val="008C4970"/>
    <w:rsid w:val="008C4BAB"/>
    <w:rsid w:val="008C4D0F"/>
    <w:rsid w:val="008C52D0"/>
    <w:rsid w:val="008C5497"/>
    <w:rsid w:val="008C55A4"/>
    <w:rsid w:val="008C57EB"/>
    <w:rsid w:val="008C5A5D"/>
    <w:rsid w:val="008C5B07"/>
    <w:rsid w:val="008C5CD0"/>
    <w:rsid w:val="008C6018"/>
    <w:rsid w:val="008C6325"/>
    <w:rsid w:val="008C6796"/>
    <w:rsid w:val="008C67F7"/>
    <w:rsid w:val="008C6AAE"/>
    <w:rsid w:val="008C6E16"/>
    <w:rsid w:val="008C6E3E"/>
    <w:rsid w:val="008C7181"/>
    <w:rsid w:val="008C7216"/>
    <w:rsid w:val="008C72E7"/>
    <w:rsid w:val="008C7403"/>
    <w:rsid w:val="008C7447"/>
    <w:rsid w:val="008C764D"/>
    <w:rsid w:val="008C7A92"/>
    <w:rsid w:val="008C7ABA"/>
    <w:rsid w:val="008C7AE4"/>
    <w:rsid w:val="008C7BEE"/>
    <w:rsid w:val="008C7BFF"/>
    <w:rsid w:val="008C7C5A"/>
    <w:rsid w:val="008C7D7B"/>
    <w:rsid w:val="008C7F75"/>
    <w:rsid w:val="008C7F8E"/>
    <w:rsid w:val="008D00AA"/>
    <w:rsid w:val="008D04BB"/>
    <w:rsid w:val="008D05B8"/>
    <w:rsid w:val="008D081A"/>
    <w:rsid w:val="008D103A"/>
    <w:rsid w:val="008D118F"/>
    <w:rsid w:val="008D14D6"/>
    <w:rsid w:val="008D163F"/>
    <w:rsid w:val="008D183B"/>
    <w:rsid w:val="008D210C"/>
    <w:rsid w:val="008D2124"/>
    <w:rsid w:val="008D24BC"/>
    <w:rsid w:val="008D24E3"/>
    <w:rsid w:val="008D2917"/>
    <w:rsid w:val="008D2B69"/>
    <w:rsid w:val="008D2C6F"/>
    <w:rsid w:val="008D2DA6"/>
    <w:rsid w:val="008D2DDF"/>
    <w:rsid w:val="008D2EBE"/>
    <w:rsid w:val="008D2F2B"/>
    <w:rsid w:val="008D34A3"/>
    <w:rsid w:val="008D34B0"/>
    <w:rsid w:val="008D356B"/>
    <w:rsid w:val="008D367D"/>
    <w:rsid w:val="008D3E0D"/>
    <w:rsid w:val="008D3F81"/>
    <w:rsid w:val="008D410C"/>
    <w:rsid w:val="008D4169"/>
    <w:rsid w:val="008D418D"/>
    <w:rsid w:val="008D4318"/>
    <w:rsid w:val="008D4380"/>
    <w:rsid w:val="008D46CA"/>
    <w:rsid w:val="008D48F8"/>
    <w:rsid w:val="008D4F06"/>
    <w:rsid w:val="008D5407"/>
    <w:rsid w:val="008D55D2"/>
    <w:rsid w:val="008D57DC"/>
    <w:rsid w:val="008D5852"/>
    <w:rsid w:val="008D5AA9"/>
    <w:rsid w:val="008D5C4B"/>
    <w:rsid w:val="008D5F6C"/>
    <w:rsid w:val="008D5FBC"/>
    <w:rsid w:val="008D5FFD"/>
    <w:rsid w:val="008D6C57"/>
    <w:rsid w:val="008D6EEA"/>
    <w:rsid w:val="008D7533"/>
    <w:rsid w:val="008D7C51"/>
    <w:rsid w:val="008E0055"/>
    <w:rsid w:val="008E035A"/>
    <w:rsid w:val="008E075C"/>
    <w:rsid w:val="008E0E09"/>
    <w:rsid w:val="008E0ED6"/>
    <w:rsid w:val="008E0F08"/>
    <w:rsid w:val="008E0F5B"/>
    <w:rsid w:val="008E0F6D"/>
    <w:rsid w:val="008E0FA9"/>
    <w:rsid w:val="008E0FAD"/>
    <w:rsid w:val="008E10C8"/>
    <w:rsid w:val="008E12D4"/>
    <w:rsid w:val="008E1305"/>
    <w:rsid w:val="008E13C9"/>
    <w:rsid w:val="008E14E3"/>
    <w:rsid w:val="008E155F"/>
    <w:rsid w:val="008E1BB7"/>
    <w:rsid w:val="008E1D49"/>
    <w:rsid w:val="008E1DAE"/>
    <w:rsid w:val="008E1FA2"/>
    <w:rsid w:val="008E2002"/>
    <w:rsid w:val="008E2234"/>
    <w:rsid w:val="008E2263"/>
    <w:rsid w:val="008E229B"/>
    <w:rsid w:val="008E24CC"/>
    <w:rsid w:val="008E26D6"/>
    <w:rsid w:val="008E2A40"/>
    <w:rsid w:val="008E2AC6"/>
    <w:rsid w:val="008E3095"/>
    <w:rsid w:val="008E320D"/>
    <w:rsid w:val="008E39A1"/>
    <w:rsid w:val="008E39A3"/>
    <w:rsid w:val="008E3A3A"/>
    <w:rsid w:val="008E3A70"/>
    <w:rsid w:val="008E3A76"/>
    <w:rsid w:val="008E3C2E"/>
    <w:rsid w:val="008E3D76"/>
    <w:rsid w:val="008E3D9B"/>
    <w:rsid w:val="008E3EDA"/>
    <w:rsid w:val="008E3F24"/>
    <w:rsid w:val="008E40C5"/>
    <w:rsid w:val="008E42D3"/>
    <w:rsid w:val="008E462A"/>
    <w:rsid w:val="008E479B"/>
    <w:rsid w:val="008E47BD"/>
    <w:rsid w:val="008E4996"/>
    <w:rsid w:val="008E4A3D"/>
    <w:rsid w:val="008E4E26"/>
    <w:rsid w:val="008E4FC5"/>
    <w:rsid w:val="008E4FDF"/>
    <w:rsid w:val="008E5046"/>
    <w:rsid w:val="008E5662"/>
    <w:rsid w:val="008E56B4"/>
    <w:rsid w:val="008E5AE0"/>
    <w:rsid w:val="008E5AFC"/>
    <w:rsid w:val="008E67E2"/>
    <w:rsid w:val="008E69A6"/>
    <w:rsid w:val="008E6B3B"/>
    <w:rsid w:val="008E6B80"/>
    <w:rsid w:val="008E6C8C"/>
    <w:rsid w:val="008E6CD0"/>
    <w:rsid w:val="008E72E1"/>
    <w:rsid w:val="008E73A7"/>
    <w:rsid w:val="008E7994"/>
    <w:rsid w:val="008E7B22"/>
    <w:rsid w:val="008E7C67"/>
    <w:rsid w:val="008E7E6F"/>
    <w:rsid w:val="008F009B"/>
    <w:rsid w:val="008F0179"/>
    <w:rsid w:val="008F07A4"/>
    <w:rsid w:val="008F0A94"/>
    <w:rsid w:val="008F0D81"/>
    <w:rsid w:val="008F0FEF"/>
    <w:rsid w:val="008F17B1"/>
    <w:rsid w:val="008F1934"/>
    <w:rsid w:val="008F25D9"/>
    <w:rsid w:val="008F26BC"/>
    <w:rsid w:val="008F2712"/>
    <w:rsid w:val="008F27DF"/>
    <w:rsid w:val="008F28FC"/>
    <w:rsid w:val="008F2A6E"/>
    <w:rsid w:val="008F2CBB"/>
    <w:rsid w:val="008F2D8E"/>
    <w:rsid w:val="008F2ED1"/>
    <w:rsid w:val="008F3014"/>
    <w:rsid w:val="008F30B7"/>
    <w:rsid w:val="008F3264"/>
    <w:rsid w:val="008F3440"/>
    <w:rsid w:val="008F345D"/>
    <w:rsid w:val="008F36F8"/>
    <w:rsid w:val="008F3910"/>
    <w:rsid w:val="008F3A86"/>
    <w:rsid w:val="008F3CE8"/>
    <w:rsid w:val="008F3E44"/>
    <w:rsid w:val="008F3E61"/>
    <w:rsid w:val="008F3FAF"/>
    <w:rsid w:val="008F43A2"/>
    <w:rsid w:val="008F45D3"/>
    <w:rsid w:val="008F47AD"/>
    <w:rsid w:val="008F48F7"/>
    <w:rsid w:val="008F4EAC"/>
    <w:rsid w:val="008F5208"/>
    <w:rsid w:val="008F5275"/>
    <w:rsid w:val="008F573B"/>
    <w:rsid w:val="008F5804"/>
    <w:rsid w:val="008F5AA3"/>
    <w:rsid w:val="008F6165"/>
    <w:rsid w:val="008F6337"/>
    <w:rsid w:val="008F64CD"/>
    <w:rsid w:val="008F65C4"/>
    <w:rsid w:val="008F6A7D"/>
    <w:rsid w:val="008F6B3A"/>
    <w:rsid w:val="008F6D9B"/>
    <w:rsid w:val="008F70AD"/>
    <w:rsid w:val="008F74EF"/>
    <w:rsid w:val="008F760F"/>
    <w:rsid w:val="008F780B"/>
    <w:rsid w:val="008F7DDD"/>
    <w:rsid w:val="009003C0"/>
    <w:rsid w:val="009005A4"/>
    <w:rsid w:val="00900807"/>
    <w:rsid w:val="00900AD8"/>
    <w:rsid w:val="00900BB8"/>
    <w:rsid w:val="00900C86"/>
    <w:rsid w:val="00900EE7"/>
    <w:rsid w:val="00901034"/>
    <w:rsid w:val="00901552"/>
    <w:rsid w:val="00901630"/>
    <w:rsid w:val="00901653"/>
    <w:rsid w:val="0090195D"/>
    <w:rsid w:val="00901E78"/>
    <w:rsid w:val="0090217B"/>
    <w:rsid w:val="0090230B"/>
    <w:rsid w:val="009023AB"/>
    <w:rsid w:val="0090254E"/>
    <w:rsid w:val="00902615"/>
    <w:rsid w:val="00902728"/>
    <w:rsid w:val="00902806"/>
    <w:rsid w:val="00902BC5"/>
    <w:rsid w:val="00902EAB"/>
    <w:rsid w:val="009030A5"/>
    <w:rsid w:val="009030BD"/>
    <w:rsid w:val="00903238"/>
    <w:rsid w:val="009032E0"/>
    <w:rsid w:val="0090338C"/>
    <w:rsid w:val="009033F9"/>
    <w:rsid w:val="00903553"/>
    <w:rsid w:val="00903A74"/>
    <w:rsid w:val="00903B62"/>
    <w:rsid w:val="00903B78"/>
    <w:rsid w:val="00903C4B"/>
    <w:rsid w:val="009047E7"/>
    <w:rsid w:val="009047F5"/>
    <w:rsid w:val="00904A68"/>
    <w:rsid w:val="00904F05"/>
    <w:rsid w:val="0090520D"/>
    <w:rsid w:val="00905346"/>
    <w:rsid w:val="009055B8"/>
    <w:rsid w:val="009056DA"/>
    <w:rsid w:val="009056E6"/>
    <w:rsid w:val="0090587F"/>
    <w:rsid w:val="00905B5E"/>
    <w:rsid w:val="00905EBB"/>
    <w:rsid w:val="00906009"/>
    <w:rsid w:val="00906579"/>
    <w:rsid w:val="009065EB"/>
    <w:rsid w:val="00906B6D"/>
    <w:rsid w:val="00906C51"/>
    <w:rsid w:val="00907157"/>
    <w:rsid w:val="0090718D"/>
    <w:rsid w:val="009077B7"/>
    <w:rsid w:val="00907A57"/>
    <w:rsid w:val="00907E51"/>
    <w:rsid w:val="00907F32"/>
    <w:rsid w:val="009100F1"/>
    <w:rsid w:val="0091039F"/>
    <w:rsid w:val="00910477"/>
    <w:rsid w:val="0091047F"/>
    <w:rsid w:val="009105BB"/>
    <w:rsid w:val="009105CD"/>
    <w:rsid w:val="0091077D"/>
    <w:rsid w:val="0091079C"/>
    <w:rsid w:val="009108F4"/>
    <w:rsid w:val="00910F52"/>
    <w:rsid w:val="0091138A"/>
    <w:rsid w:val="009113A8"/>
    <w:rsid w:val="009117B7"/>
    <w:rsid w:val="0091183F"/>
    <w:rsid w:val="00911875"/>
    <w:rsid w:val="0091194A"/>
    <w:rsid w:val="00912193"/>
    <w:rsid w:val="009121DE"/>
    <w:rsid w:val="009123AE"/>
    <w:rsid w:val="009126E0"/>
    <w:rsid w:val="00912728"/>
    <w:rsid w:val="00912949"/>
    <w:rsid w:val="009129E1"/>
    <w:rsid w:val="00912B5B"/>
    <w:rsid w:val="00912BE1"/>
    <w:rsid w:val="00912D5C"/>
    <w:rsid w:val="00912E47"/>
    <w:rsid w:val="0091302A"/>
    <w:rsid w:val="009131A1"/>
    <w:rsid w:val="00913882"/>
    <w:rsid w:val="00913B09"/>
    <w:rsid w:val="00913B36"/>
    <w:rsid w:val="00914066"/>
    <w:rsid w:val="009142AA"/>
    <w:rsid w:val="00914645"/>
    <w:rsid w:val="0091467C"/>
    <w:rsid w:val="009146CE"/>
    <w:rsid w:val="00914839"/>
    <w:rsid w:val="00914987"/>
    <w:rsid w:val="00914C04"/>
    <w:rsid w:val="00914EDC"/>
    <w:rsid w:val="00915071"/>
    <w:rsid w:val="0091561D"/>
    <w:rsid w:val="009157FD"/>
    <w:rsid w:val="00915B8D"/>
    <w:rsid w:val="00915C96"/>
    <w:rsid w:val="00915CE9"/>
    <w:rsid w:val="00915D65"/>
    <w:rsid w:val="009162FB"/>
    <w:rsid w:val="009164A0"/>
    <w:rsid w:val="0091697C"/>
    <w:rsid w:val="00916A05"/>
    <w:rsid w:val="00916B5D"/>
    <w:rsid w:val="00916C23"/>
    <w:rsid w:val="00916E4C"/>
    <w:rsid w:val="00916F18"/>
    <w:rsid w:val="00916F8A"/>
    <w:rsid w:val="009170F6"/>
    <w:rsid w:val="00917407"/>
    <w:rsid w:val="0091765E"/>
    <w:rsid w:val="00917A70"/>
    <w:rsid w:val="00917A83"/>
    <w:rsid w:val="00917AE6"/>
    <w:rsid w:val="00917B2A"/>
    <w:rsid w:val="00917B52"/>
    <w:rsid w:val="00917D9F"/>
    <w:rsid w:val="00917E12"/>
    <w:rsid w:val="00917E66"/>
    <w:rsid w:val="0092027B"/>
    <w:rsid w:val="00920427"/>
    <w:rsid w:val="009205C3"/>
    <w:rsid w:val="00920709"/>
    <w:rsid w:val="00920726"/>
    <w:rsid w:val="009208C0"/>
    <w:rsid w:val="009209C4"/>
    <w:rsid w:val="00920A6E"/>
    <w:rsid w:val="00920BC2"/>
    <w:rsid w:val="0092122D"/>
    <w:rsid w:val="009212DB"/>
    <w:rsid w:val="009214D1"/>
    <w:rsid w:val="0092155B"/>
    <w:rsid w:val="00921731"/>
    <w:rsid w:val="009217E5"/>
    <w:rsid w:val="0092189E"/>
    <w:rsid w:val="009219DA"/>
    <w:rsid w:val="00921B03"/>
    <w:rsid w:val="0092262D"/>
    <w:rsid w:val="00922685"/>
    <w:rsid w:val="00922963"/>
    <w:rsid w:val="00922D6A"/>
    <w:rsid w:val="00922D83"/>
    <w:rsid w:val="00922DA6"/>
    <w:rsid w:val="0092302A"/>
    <w:rsid w:val="0092317E"/>
    <w:rsid w:val="009236EB"/>
    <w:rsid w:val="00923882"/>
    <w:rsid w:val="009238F8"/>
    <w:rsid w:val="009239B4"/>
    <w:rsid w:val="00923BA7"/>
    <w:rsid w:val="00923FB1"/>
    <w:rsid w:val="0092410B"/>
    <w:rsid w:val="009243B3"/>
    <w:rsid w:val="00924417"/>
    <w:rsid w:val="009244DC"/>
    <w:rsid w:val="009244E2"/>
    <w:rsid w:val="00924638"/>
    <w:rsid w:val="009246F3"/>
    <w:rsid w:val="00924F4F"/>
    <w:rsid w:val="00925033"/>
    <w:rsid w:val="009251BF"/>
    <w:rsid w:val="009252C6"/>
    <w:rsid w:val="00925644"/>
    <w:rsid w:val="00925808"/>
    <w:rsid w:val="00925A41"/>
    <w:rsid w:val="00925E4F"/>
    <w:rsid w:val="00925FD3"/>
    <w:rsid w:val="00926478"/>
    <w:rsid w:val="00926617"/>
    <w:rsid w:val="009268C9"/>
    <w:rsid w:val="009269C9"/>
    <w:rsid w:val="00926D4D"/>
    <w:rsid w:val="00926F3B"/>
    <w:rsid w:val="00927171"/>
    <w:rsid w:val="00927452"/>
    <w:rsid w:val="009275E3"/>
    <w:rsid w:val="00927773"/>
    <w:rsid w:val="0092791A"/>
    <w:rsid w:val="00927E5F"/>
    <w:rsid w:val="00930075"/>
    <w:rsid w:val="0093040B"/>
    <w:rsid w:val="0093058D"/>
    <w:rsid w:val="00930611"/>
    <w:rsid w:val="009308E0"/>
    <w:rsid w:val="00930C3A"/>
    <w:rsid w:val="00930C6B"/>
    <w:rsid w:val="00931403"/>
    <w:rsid w:val="00931953"/>
    <w:rsid w:val="00931E40"/>
    <w:rsid w:val="00932263"/>
    <w:rsid w:val="009325B8"/>
    <w:rsid w:val="0093262B"/>
    <w:rsid w:val="00932877"/>
    <w:rsid w:val="0093294B"/>
    <w:rsid w:val="00932F8A"/>
    <w:rsid w:val="009331F2"/>
    <w:rsid w:val="00933253"/>
    <w:rsid w:val="00933269"/>
    <w:rsid w:val="00933469"/>
    <w:rsid w:val="0093359C"/>
    <w:rsid w:val="009335A4"/>
    <w:rsid w:val="00933C9B"/>
    <w:rsid w:val="00933FD2"/>
    <w:rsid w:val="0093410D"/>
    <w:rsid w:val="0093431C"/>
    <w:rsid w:val="009349FB"/>
    <w:rsid w:val="00934F6D"/>
    <w:rsid w:val="00934FE4"/>
    <w:rsid w:val="00934FF7"/>
    <w:rsid w:val="0093507D"/>
    <w:rsid w:val="0093547E"/>
    <w:rsid w:val="009354A2"/>
    <w:rsid w:val="00935597"/>
    <w:rsid w:val="00935A52"/>
    <w:rsid w:val="009360CC"/>
    <w:rsid w:val="00936115"/>
    <w:rsid w:val="009364EA"/>
    <w:rsid w:val="0093658B"/>
    <w:rsid w:val="009365BC"/>
    <w:rsid w:val="009367EF"/>
    <w:rsid w:val="00936955"/>
    <w:rsid w:val="00936B70"/>
    <w:rsid w:val="00936E6A"/>
    <w:rsid w:val="009371C2"/>
    <w:rsid w:val="0093723D"/>
    <w:rsid w:val="00937596"/>
    <w:rsid w:val="009375A8"/>
    <w:rsid w:val="00937617"/>
    <w:rsid w:val="00937643"/>
    <w:rsid w:val="00937B8C"/>
    <w:rsid w:val="00937BD8"/>
    <w:rsid w:val="00937D58"/>
    <w:rsid w:val="00937DE4"/>
    <w:rsid w:val="00937FE0"/>
    <w:rsid w:val="0094010F"/>
    <w:rsid w:val="00940140"/>
    <w:rsid w:val="009404C7"/>
    <w:rsid w:val="00940526"/>
    <w:rsid w:val="009409D3"/>
    <w:rsid w:val="009409D7"/>
    <w:rsid w:val="00940E87"/>
    <w:rsid w:val="00940E91"/>
    <w:rsid w:val="00940ECC"/>
    <w:rsid w:val="0094104D"/>
    <w:rsid w:val="009411E5"/>
    <w:rsid w:val="0094130F"/>
    <w:rsid w:val="00941689"/>
    <w:rsid w:val="009416D3"/>
    <w:rsid w:val="009416E3"/>
    <w:rsid w:val="0094177C"/>
    <w:rsid w:val="009417C9"/>
    <w:rsid w:val="00941A95"/>
    <w:rsid w:val="00941B6D"/>
    <w:rsid w:val="00941EC5"/>
    <w:rsid w:val="00942118"/>
    <w:rsid w:val="009425C5"/>
    <w:rsid w:val="00942812"/>
    <w:rsid w:val="00942C00"/>
    <w:rsid w:val="00942CA0"/>
    <w:rsid w:val="00942D8C"/>
    <w:rsid w:val="00942E92"/>
    <w:rsid w:val="00942F70"/>
    <w:rsid w:val="00942FC6"/>
    <w:rsid w:val="0094363D"/>
    <w:rsid w:val="00943AA9"/>
    <w:rsid w:val="00943B69"/>
    <w:rsid w:val="0094409C"/>
    <w:rsid w:val="009441F2"/>
    <w:rsid w:val="00944286"/>
    <w:rsid w:val="00944607"/>
    <w:rsid w:val="009447B2"/>
    <w:rsid w:val="00944D30"/>
    <w:rsid w:val="00945647"/>
    <w:rsid w:val="00945728"/>
    <w:rsid w:val="0094579B"/>
    <w:rsid w:val="00946373"/>
    <w:rsid w:val="009463E9"/>
    <w:rsid w:val="00946468"/>
    <w:rsid w:val="0094653B"/>
    <w:rsid w:val="00946588"/>
    <w:rsid w:val="00946636"/>
    <w:rsid w:val="00946894"/>
    <w:rsid w:val="00946B7D"/>
    <w:rsid w:val="00946DE1"/>
    <w:rsid w:val="00947333"/>
    <w:rsid w:val="00947474"/>
    <w:rsid w:val="009474B2"/>
    <w:rsid w:val="00947B75"/>
    <w:rsid w:val="00947B84"/>
    <w:rsid w:val="00947DEB"/>
    <w:rsid w:val="0095001E"/>
    <w:rsid w:val="00950246"/>
    <w:rsid w:val="0095070E"/>
    <w:rsid w:val="00950989"/>
    <w:rsid w:val="00950A4E"/>
    <w:rsid w:val="00950A6C"/>
    <w:rsid w:val="00950E5C"/>
    <w:rsid w:val="009510C9"/>
    <w:rsid w:val="0095115E"/>
    <w:rsid w:val="00951161"/>
    <w:rsid w:val="00951C64"/>
    <w:rsid w:val="00951E30"/>
    <w:rsid w:val="009520DC"/>
    <w:rsid w:val="00952130"/>
    <w:rsid w:val="00952399"/>
    <w:rsid w:val="0095256B"/>
    <w:rsid w:val="009529B4"/>
    <w:rsid w:val="00952A4B"/>
    <w:rsid w:val="00952E0D"/>
    <w:rsid w:val="009532F6"/>
    <w:rsid w:val="009533BE"/>
    <w:rsid w:val="0095341A"/>
    <w:rsid w:val="009537FA"/>
    <w:rsid w:val="0095390A"/>
    <w:rsid w:val="00953DDF"/>
    <w:rsid w:val="00954046"/>
    <w:rsid w:val="00954280"/>
    <w:rsid w:val="0095464A"/>
    <w:rsid w:val="009547A3"/>
    <w:rsid w:val="0095498B"/>
    <w:rsid w:val="0095499A"/>
    <w:rsid w:val="00954A5D"/>
    <w:rsid w:val="00954B8D"/>
    <w:rsid w:val="00954D45"/>
    <w:rsid w:val="00954E19"/>
    <w:rsid w:val="00954FD3"/>
    <w:rsid w:val="0095541D"/>
    <w:rsid w:val="0095555B"/>
    <w:rsid w:val="00955861"/>
    <w:rsid w:val="00955B93"/>
    <w:rsid w:val="00955D82"/>
    <w:rsid w:val="00955DEB"/>
    <w:rsid w:val="00955F82"/>
    <w:rsid w:val="009560BC"/>
    <w:rsid w:val="00956184"/>
    <w:rsid w:val="0095632D"/>
    <w:rsid w:val="00956659"/>
    <w:rsid w:val="009569AC"/>
    <w:rsid w:val="00956D60"/>
    <w:rsid w:val="00956D67"/>
    <w:rsid w:val="00957044"/>
    <w:rsid w:val="00957410"/>
    <w:rsid w:val="0095745F"/>
    <w:rsid w:val="00957847"/>
    <w:rsid w:val="00957DA0"/>
    <w:rsid w:val="00957DF7"/>
    <w:rsid w:val="009601CB"/>
    <w:rsid w:val="009603A3"/>
    <w:rsid w:val="00960788"/>
    <w:rsid w:val="00960A31"/>
    <w:rsid w:val="00960BDD"/>
    <w:rsid w:val="00960C76"/>
    <w:rsid w:val="00960CCE"/>
    <w:rsid w:val="00960D44"/>
    <w:rsid w:val="0096115A"/>
    <w:rsid w:val="00961464"/>
    <w:rsid w:val="00961968"/>
    <w:rsid w:val="00961ED4"/>
    <w:rsid w:val="00961F5D"/>
    <w:rsid w:val="009621C0"/>
    <w:rsid w:val="009621CC"/>
    <w:rsid w:val="0096241C"/>
    <w:rsid w:val="00962958"/>
    <w:rsid w:val="00962975"/>
    <w:rsid w:val="00962AFA"/>
    <w:rsid w:val="00962C8E"/>
    <w:rsid w:val="00962E12"/>
    <w:rsid w:val="00962F83"/>
    <w:rsid w:val="009631BA"/>
    <w:rsid w:val="00963447"/>
    <w:rsid w:val="00963AD1"/>
    <w:rsid w:val="00963C4E"/>
    <w:rsid w:val="00963DE5"/>
    <w:rsid w:val="00963FD1"/>
    <w:rsid w:val="00963FE5"/>
    <w:rsid w:val="009640CB"/>
    <w:rsid w:val="00964188"/>
    <w:rsid w:val="009642AF"/>
    <w:rsid w:val="009644A0"/>
    <w:rsid w:val="009644A3"/>
    <w:rsid w:val="0096460B"/>
    <w:rsid w:val="00964D91"/>
    <w:rsid w:val="00964E29"/>
    <w:rsid w:val="009652D5"/>
    <w:rsid w:val="00965563"/>
    <w:rsid w:val="009657DF"/>
    <w:rsid w:val="00965857"/>
    <w:rsid w:val="00965A1B"/>
    <w:rsid w:val="00965A7D"/>
    <w:rsid w:val="00965A9E"/>
    <w:rsid w:val="00965B26"/>
    <w:rsid w:val="00965B93"/>
    <w:rsid w:val="00965CF6"/>
    <w:rsid w:val="00965E6B"/>
    <w:rsid w:val="00966234"/>
    <w:rsid w:val="009664D4"/>
    <w:rsid w:val="009668A3"/>
    <w:rsid w:val="00966E9B"/>
    <w:rsid w:val="009672C7"/>
    <w:rsid w:val="00967429"/>
    <w:rsid w:val="009675C3"/>
    <w:rsid w:val="0096770A"/>
    <w:rsid w:val="009678AA"/>
    <w:rsid w:val="00967A27"/>
    <w:rsid w:val="00967C05"/>
    <w:rsid w:val="00967E1A"/>
    <w:rsid w:val="0097003F"/>
    <w:rsid w:val="00970059"/>
    <w:rsid w:val="009703CF"/>
    <w:rsid w:val="00970719"/>
    <w:rsid w:val="00970844"/>
    <w:rsid w:val="00970B0D"/>
    <w:rsid w:val="00970F51"/>
    <w:rsid w:val="00970FF9"/>
    <w:rsid w:val="00971001"/>
    <w:rsid w:val="009710BC"/>
    <w:rsid w:val="009710E0"/>
    <w:rsid w:val="00971615"/>
    <w:rsid w:val="0097174E"/>
    <w:rsid w:val="00971841"/>
    <w:rsid w:val="00971C88"/>
    <w:rsid w:val="00971C9C"/>
    <w:rsid w:val="00971D34"/>
    <w:rsid w:val="00971D9C"/>
    <w:rsid w:val="0097212B"/>
    <w:rsid w:val="00972329"/>
    <w:rsid w:val="009726C4"/>
    <w:rsid w:val="0097277B"/>
    <w:rsid w:val="00972A89"/>
    <w:rsid w:val="00972DD6"/>
    <w:rsid w:val="00972EEA"/>
    <w:rsid w:val="00973149"/>
    <w:rsid w:val="00973448"/>
    <w:rsid w:val="009734F1"/>
    <w:rsid w:val="00973C3E"/>
    <w:rsid w:val="00973FE8"/>
    <w:rsid w:val="009743AF"/>
    <w:rsid w:val="00974547"/>
    <w:rsid w:val="00974671"/>
    <w:rsid w:val="009746FB"/>
    <w:rsid w:val="00974785"/>
    <w:rsid w:val="0097485A"/>
    <w:rsid w:val="0097486D"/>
    <w:rsid w:val="009748FB"/>
    <w:rsid w:val="00974A18"/>
    <w:rsid w:val="00974B77"/>
    <w:rsid w:val="00974F13"/>
    <w:rsid w:val="009750A0"/>
    <w:rsid w:val="009750A7"/>
    <w:rsid w:val="00975153"/>
    <w:rsid w:val="00975293"/>
    <w:rsid w:val="009755E5"/>
    <w:rsid w:val="0097563F"/>
    <w:rsid w:val="00975692"/>
    <w:rsid w:val="009758E5"/>
    <w:rsid w:val="00976455"/>
    <w:rsid w:val="00976495"/>
    <w:rsid w:val="0097658E"/>
    <w:rsid w:val="009765F9"/>
    <w:rsid w:val="009766C1"/>
    <w:rsid w:val="009767BF"/>
    <w:rsid w:val="00976E81"/>
    <w:rsid w:val="00976EA1"/>
    <w:rsid w:val="0097712E"/>
    <w:rsid w:val="0097721B"/>
    <w:rsid w:val="0097728A"/>
    <w:rsid w:val="0097755A"/>
    <w:rsid w:val="0097780F"/>
    <w:rsid w:val="00977B01"/>
    <w:rsid w:val="009802D9"/>
    <w:rsid w:val="00980A6A"/>
    <w:rsid w:val="00980B77"/>
    <w:rsid w:val="00980D69"/>
    <w:rsid w:val="00980FFB"/>
    <w:rsid w:val="009810E5"/>
    <w:rsid w:val="0098140B"/>
    <w:rsid w:val="00981613"/>
    <w:rsid w:val="009817AC"/>
    <w:rsid w:val="00981A16"/>
    <w:rsid w:val="00981BDD"/>
    <w:rsid w:val="00981C6D"/>
    <w:rsid w:val="00981C77"/>
    <w:rsid w:val="00981EA3"/>
    <w:rsid w:val="00982225"/>
    <w:rsid w:val="0098225B"/>
    <w:rsid w:val="00982848"/>
    <w:rsid w:val="00982FE8"/>
    <w:rsid w:val="0098308B"/>
    <w:rsid w:val="00983253"/>
    <w:rsid w:val="00983851"/>
    <w:rsid w:val="00983990"/>
    <w:rsid w:val="00983A06"/>
    <w:rsid w:val="00983B2B"/>
    <w:rsid w:val="00983EA4"/>
    <w:rsid w:val="00983EE5"/>
    <w:rsid w:val="00983F09"/>
    <w:rsid w:val="009840A9"/>
    <w:rsid w:val="009841F7"/>
    <w:rsid w:val="009842DE"/>
    <w:rsid w:val="0098437B"/>
    <w:rsid w:val="0098487A"/>
    <w:rsid w:val="00984A13"/>
    <w:rsid w:val="00984B87"/>
    <w:rsid w:val="00984F8F"/>
    <w:rsid w:val="00984FE7"/>
    <w:rsid w:val="00985236"/>
    <w:rsid w:val="009854CA"/>
    <w:rsid w:val="0098588F"/>
    <w:rsid w:val="009858AF"/>
    <w:rsid w:val="00985A46"/>
    <w:rsid w:val="00985B7A"/>
    <w:rsid w:val="00985EF0"/>
    <w:rsid w:val="009862D3"/>
    <w:rsid w:val="009869AC"/>
    <w:rsid w:val="009869EA"/>
    <w:rsid w:val="00986A65"/>
    <w:rsid w:val="00987154"/>
    <w:rsid w:val="00987224"/>
    <w:rsid w:val="00987225"/>
    <w:rsid w:val="0098722E"/>
    <w:rsid w:val="00987882"/>
    <w:rsid w:val="00987947"/>
    <w:rsid w:val="00987B46"/>
    <w:rsid w:val="00987CAD"/>
    <w:rsid w:val="00990325"/>
    <w:rsid w:val="009903BB"/>
    <w:rsid w:val="00990627"/>
    <w:rsid w:val="00990647"/>
    <w:rsid w:val="00990845"/>
    <w:rsid w:val="00990BEC"/>
    <w:rsid w:val="00991078"/>
    <w:rsid w:val="00991724"/>
    <w:rsid w:val="00991AE5"/>
    <w:rsid w:val="00991AED"/>
    <w:rsid w:val="00991BBD"/>
    <w:rsid w:val="009920B7"/>
    <w:rsid w:val="009923F3"/>
    <w:rsid w:val="00992642"/>
    <w:rsid w:val="00992F8B"/>
    <w:rsid w:val="00993461"/>
    <w:rsid w:val="009938AF"/>
    <w:rsid w:val="00993F57"/>
    <w:rsid w:val="009941C2"/>
    <w:rsid w:val="00994227"/>
    <w:rsid w:val="00994668"/>
    <w:rsid w:val="00994758"/>
    <w:rsid w:val="0099478E"/>
    <w:rsid w:val="0099483B"/>
    <w:rsid w:val="00994892"/>
    <w:rsid w:val="00994958"/>
    <w:rsid w:val="00994ACF"/>
    <w:rsid w:val="00994BAE"/>
    <w:rsid w:val="00994E32"/>
    <w:rsid w:val="0099530B"/>
    <w:rsid w:val="0099565E"/>
    <w:rsid w:val="009958A4"/>
    <w:rsid w:val="00995A69"/>
    <w:rsid w:val="00995C81"/>
    <w:rsid w:val="00995EDF"/>
    <w:rsid w:val="00996336"/>
    <w:rsid w:val="00996418"/>
    <w:rsid w:val="00996441"/>
    <w:rsid w:val="0099651E"/>
    <w:rsid w:val="00996657"/>
    <w:rsid w:val="0099667F"/>
    <w:rsid w:val="00996849"/>
    <w:rsid w:val="009969CA"/>
    <w:rsid w:val="00996B64"/>
    <w:rsid w:val="00996BF5"/>
    <w:rsid w:val="00996C04"/>
    <w:rsid w:val="009971A4"/>
    <w:rsid w:val="00997543"/>
    <w:rsid w:val="00997635"/>
    <w:rsid w:val="0099775F"/>
    <w:rsid w:val="00997771"/>
    <w:rsid w:val="009978D3"/>
    <w:rsid w:val="009979A7"/>
    <w:rsid w:val="009979E7"/>
    <w:rsid w:val="00997B32"/>
    <w:rsid w:val="00997CE7"/>
    <w:rsid w:val="00997D8A"/>
    <w:rsid w:val="009A01C2"/>
    <w:rsid w:val="009A020D"/>
    <w:rsid w:val="009A0451"/>
    <w:rsid w:val="009A056D"/>
    <w:rsid w:val="009A0580"/>
    <w:rsid w:val="009A0885"/>
    <w:rsid w:val="009A0888"/>
    <w:rsid w:val="009A0AE4"/>
    <w:rsid w:val="009A0C44"/>
    <w:rsid w:val="009A0CA6"/>
    <w:rsid w:val="009A19EC"/>
    <w:rsid w:val="009A1BB4"/>
    <w:rsid w:val="009A1D2A"/>
    <w:rsid w:val="009A1DD6"/>
    <w:rsid w:val="009A23FD"/>
    <w:rsid w:val="009A2452"/>
    <w:rsid w:val="009A27F5"/>
    <w:rsid w:val="009A2C7F"/>
    <w:rsid w:val="009A301F"/>
    <w:rsid w:val="009A3896"/>
    <w:rsid w:val="009A3991"/>
    <w:rsid w:val="009A3A9B"/>
    <w:rsid w:val="009A3DAD"/>
    <w:rsid w:val="009A40D8"/>
    <w:rsid w:val="009A4280"/>
    <w:rsid w:val="009A4591"/>
    <w:rsid w:val="009A4F22"/>
    <w:rsid w:val="009A5168"/>
    <w:rsid w:val="009A51AB"/>
    <w:rsid w:val="009A57FC"/>
    <w:rsid w:val="009A5FDD"/>
    <w:rsid w:val="009A620F"/>
    <w:rsid w:val="009A634D"/>
    <w:rsid w:val="009A688E"/>
    <w:rsid w:val="009A68E0"/>
    <w:rsid w:val="009A6B30"/>
    <w:rsid w:val="009A6CB5"/>
    <w:rsid w:val="009A6F1F"/>
    <w:rsid w:val="009A7026"/>
    <w:rsid w:val="009A724B"/>
    <w:rsid w:val="009A7446"/>
    <w:rsid w:val="009A7D06"/>
    <w:rsid w:val="009A7DDC"/>
    <w:rsid w:val="009A7F55"/>
    <w:rsid w:val="009B0193"/>
    <w:rsid w:val="009B03BB"/>
    <w:rsid w:val="009B0B22"/>
    <w:rsid w:val="009B0CBB"/>
    <w:rsid w:val="009B0F09"/>
    <w:rsid w:val="009B103C"/>
    <w:rsid w:val="009B12D9"/>
    <w:rsid w:val="009B1446"/>
    <w:rsid w:val="009B17ED"/>
    <w:rsid w:val="009B188D"/>
    <w:rsid w:val="009B2061"/>
    <w:rsid w:val="009B20C5"/>
    <w:rsid w:val="009B25B2"/>
    <w:rsid w:val="009B274D"/>
    <w:rsid w:val="009B2789"/>
    <w:rsid w:val="009B279F"/>
    <w:rsid w:val="009B28C6"/>
    <w:rsid w:val="009B2989"/>
    <w:rsid w:val="009B2B1D"/>
    <w:rsid w:val="009B2CD9"/>
    <w:rsid w:val="009B2E73"/>
    <w:rsid w:val="009B30C9"/>
    <w:rsid w:val="009B3161"/>
    <w:rsid w:val="009B3456"/>
    <w:rsid w:val="009B3462"/>
    <w:rsid w:val="009B34C0"/>
    <w:rsid w:val="009B3543"/>
    <w:rsid w:val="009B3774"/>
    <w:rsid w:val="009B37E4"/>
    <w:rsid w:val="009B3C1F"/>
    <w:rsid w:val="009B3F7F"/>
    <w:rsid w:val="009B457A"/>
    <w:rsid w:val="009B4622"/>
    <w:rsid w:val="009B4826"/>
    <w:rsid w:val="009B483B"/>
    <w:rsid w:val="009B4890"/>
    <w:rsid w:val="009B4991"/>
    <w:rsid w:val="009B4BEB"/>
    <w:rsid w:val="009B4E67"/>
    <w:rsid w:val="009B521A"/>
    <w:rsid w:val="009B539A"/>
    <w:rsid w:val="009B55A8"/>
    <w:rsid w:val="009B5726"/>
    <w:rsid w:val="009B583F"/>
    <w:rsid w:val="009B5853"/>
    <w:rsid w:val="009B586C"/>
    <w:rsid w:val="009B5894"/>
    <w:rsid w:val="009B5A2C"/>
    <w:rsid w:val="009B5B99"/>
    <w:rsid w:val="009B5FC3"/>
    <w:rsid w:val="009B6173"/>
    <w:rsid w:val="009B64B4"/>
    <w:rsid w:val="009B696F"/>
    <w:rsid w:val="009B6989"/>
    <w:rsid w:val="009B6B5B"/>
    <w:rsid w:val="009B6C6E"/>
    <w:rsid w:val="009B6FDA"/>
    <w:rsid w:val="009B717D"/>
    <w:rsid w:val="009B7373"/>
    <w:rsid w:val="009B73CF"/>
    <w:rsid w:val="009B75F7"/>
    <w:rsid w:val="009B7762"/>
    <w:rsid w:val="009B7A32"/>
    <w:rsid w:val="009B7BA4"/>
    <w:rsid w:val="009B7D43"/>
    <w:rsid w:val="009B7EF7"/>
    <w:rsid w:val="009B7F69"/>
    <w:rsid w:val="009C028C"/>
    <w:rsid w:val="009C03C4"/>
    <w:rsid w:val="009C0528"/>
    <w:rsid w:val="009C0541"/>
    <w:rsid w:val="009C0569"/>
    <w:rsid w:val="009C0760"/>
    <w:rsid w:val="009C0997"/>
    <w:rsid w:val="009C0B91"/>
    <w:rsid w:val="009C0D2C"/>
    <w:rsid w:val="009C0F47"/>
    <w:rsid w:val="009C1255"/>
    <w:rsid w:val="009C1459"/>
    <w:rsid w:val="009C1586"/>
    <w:rsid w:val="009C15AD"/>
    <w:rsid w:val="009C1888"/>
    <w:rsid w:val="009C1C50"/>
    <w:rsid w:val="009C1DB0"/>
    <w:rsid w:val="009C1DFA"/>
    <w:rsid w:val="009C1F5D"/>
    <w:rsid w:val="009C1FDE"/>
    <w:rsid w:val="009C22E7"/>
    <w:rsid w:val="009C2814"/>
    <w:rsid w:val="009C2D1E"/>
    <w:rsid w:val="009C3289"/>
    <w:rsid w:val="009C32C6"/>
    <w:rsid w:val="009C382B"/>
    <w:rsid w:val="009C3C03"/>
    <w:rsid w:val="009C4074"/>
    <w:rsid w:val="009C4246"/>
    <w:rsid w:val="009C4558"/>
    <w:rsid w:val="009C45D6"/>
    <w:rsid w:val="009C49F9"/>
    <w:rsid w:val="009C4E7C"/>
    <w:rsid w:val="009C4E9B"/>
    <w:rsid w:val="009C5348"/>
    <w:rsid w:val="009C5369"/>
    <w:rsid w:val="009C5CCD"/>
    <w:rsid w:val="009C5D60"/>
    <w:rsid w:val="009C6084"/>
    <w:rsid w:val="009C61BF"/>
    <w:rsid w:val="009C6470"/>
    <w:rsid w:val="009C658F"/>
    <w:rsid w:val="009C6A4E"/>
    <w:rsid w:val="009C6A96"/>
    <w:rsid w:val="009C6B5C"/>
    <w:rsid w:val="009C6D87"/>
    <w:rsid w:val="009C6D9A"/>
    <w:rsid w:val="009C7024"/>
    <w:rsid w:val="009C72EB"/>
    <w:rsid w:val="009C7406"/>
    <w:rsid w:val="009C7517"/>
    <w:rsid w:val="009C761C"/>
    <w:rsid w:val="009C783B"/>
    <w:rsid w:val="009C7861"/>
    <w:rsid w:val="009C79A9"/>
    <w:rsid w:val="009C79F1"/>
    <w:rsid w:val="009C7B53"/>
    <w:rsid w:val="009C7D78"/>
    <w:rsid w:val="009C7F15"/>
    <w:rsid w:val="009D0276"/>
    <w:rsid w:val="009D04A1"/>
    <w:rsid w:val="009D0767"/>
    <w:rsid w:val="009D0B24"/>
    <w:rsid w:val="009D0E93"/>
    <w:rsid w:val="009D0FB9"/>
    <w:rsid w:val="009D1861"/>
    <w:rsid w:val="009D2047"/>
    <w:rsid w:val="009D25EE"/>
    <w:rsid w:val="009D2642"/>
    <w:rsid w:val="009D26F2"/>
    <w:rsid w:val="009D2CD1"/>
    <w:rsid w:val="009D3055"/>
    <w:rsid w:val="009D33D5"/>
    <w:rsid w:val="009D3474"/>
    <w:rsid w:val="009D36BF"/>
    <w:rsid w:val="009D37F3"/>
    <w:rsid w:val="009D3A59"/>
    <w:rsid w:val="009D3B65"/>
    <w:rsid w:val="009D3FC7"/>
    <w:rsid w:val="009D3FE0"/>
    <w:rsid w:val="009D4330"/>
    <w:rsid w:val="009D443F"/>
    <w:rsid w:val="009D49F2"/>
    <w:rsid w:val="009D5920"/>
    <w:rsid w:val="009D5B4D"/>
    <w:rsid w:val="009D5DB3"/>
    <w:rsid w:val="009D5FE1"/>
    <w:rsid w:val="009D6607"/>
    <w:rsid w:val="009D68A7"/>
    <w:rsid w:val="009D6938"/>
    <w:rsid w:val="009D6A10"/>
    <w:rsid w:val="009D6A23"/>
    <w:rsid w:val="009D6CAA"/>
    <w:rsid w:val="009D6DAF"/>
    <w:rsid w:val="009D7170"/>
    <w:rsid w:val="009D7346"/>
    <w:rsid w:val="009D77C2"/>
    <w:rsid w:val="009D784D"/>
    <w:rsid w:val="009D78C9"/>
    <w:rsid w:val="009D7A31"/>
    <w:rsid w:val="009D7C35"/>
    <w:rsid w:val="009D7C8A"/>
    <w:rsid w:val="009D7EA8"/>
    <w:rsid w:val="009E01DB"/>
    <w:rsid w:val="009E08BC"/>
    <w:rsid w:val="009E0927"/>
    <w:rsid w:val="009E0C57"/>
    <w:rsid w:val="009E0C6E"/>
    <w:rsid w:val="009E0EC6"/>
    <w:rsid w:val="009E1398"/>
    <w:rsid w:val="009E143E"/>
    <w:rsid w:val="009E14BF"/>
    <w:rsid w:val="009E1F47"/>
    <w:rsid w:val="009E2224"/>
    <w:rsid w:val="009E2344"/>
    <w:rsid w:val="009E256C"/>
    <w:rsid w:val="009E25CB"/>
    <w:rsid w:val="009E25E1"/>
    <w:rsid w:val="009E28A6"/>
    <w:rsid w:val="009E2953"/>
    <w:rsid w:val="009E29DB"/>
    <w:rsid w:val="009E345C"/>
    <w:rsid w:val="009E3601"/>
    <w:rsid w:val="009E3652"/>
    <w:rsid w:val="009E36B4"/>
    <w:rsid w:val="009E386E"/>
    <w:rsid w:val="009E3B25"/>
    <w:rsid w:val="009E3CEF"/>
    <w:rsid w:val="009E3D8B"/>
    <w:rsid w:val="009E3D9A"/>
    <w:rsid w:val="009E3F5F"/>
    <w:rsid w:val="009E4140"/>
    <w:rsid w:val="009E4482"/>
    <w:rsid w:val="009E44C5"/>
    <w:rsid w:val="009E44F6"/>
    <w:rsid w:val="009E47E0"/>
    <w:rsid w:val="009E4ACD"/>
    <w:rsid w:val="009E4B7A"/>
    <w:rsid w:val="009E4FA2"/>
    <w:rsid w:val="009E52A5"/>
    <w:rsid w:val="009E52C1"/>
    <w:rsid w:val="009E52C2"/>
    <w:rsid w:val="009E5324"/>
    <w:rsid w:val="009E54B1"/>
    <w:rsid w:val="009E5809"/>
    <w:rsid w:val="009E5957"/>
    <w:rsid w:val="009E5CBD"/>
    <w:rsid w:val="009E5FA5"/>
    <w:rsid w:val="009E5FFC"/>
    <w:rsid w:val="009E60E4"/>
    <w:rsid w:val="009E652C"/>
    <w:rsid w:val="009E6621"/>
    <w:rsid w:val="009E6872"/>
    <w:rsid w:val="009E6B97"/>
    <w:rsid w:val="009E6BB3"/>
    <w:rsid w:val="009E6E97"/>
    <w:rsid w:val="009E6FB0"/>
    <w:rsid w:val="009E7616"/>
    <w:rsid w:val="009E7818"/>
    <w:rsid w:val="009F0208"/>
    <w:rsid w:val="009F0699"/>
    <w:rsid w:val="009F072C"/>
    <w:rsid w:val="009F0937"/>
    <w:rsid w:val="009F0B3D"/>
    <w:rsid w:val="009F0D38"/>
    <w:rsid w:val="009F0F12"/>
    <w:rsid w:val="009F1707"/>
    <w:rsid w:val="009F18F4"/>
    <w:rsid w:val="009F20CF"/>
    <w:rsid w:val="009F20EF"/>
    <w:rsid w:val="009F255A"/>
    <w:rsid w:val="009F2693"/>
    <w:rsid w:val="009F26F8"/>
    <w:rsid w:val="009F2891"/>
    <w:rsid w:val="009F29EC"/>
    <w:rsid w:val="009F2D4D"/>
    <w:rsid w:val="009F2F47"/>
    <w:rsid w:val="009F32FC"/>
    <w:rsid w:val="009F339E"/>
    <w:rsid w:val="009F376D"/>
    <w:rsid w:val="009F3E71"/>
    <w:rsid w:val="009F4015"/>
    <w:rsid w:val="009F47E8"/>
    <w:rsid w:val="009F47F2"/>
    <w:rsid w:val="009F4AE2"/>
    <w:rsid w:val="009F4B87"/>
    <w:rsid w:val="009F4FA9"/>
    <w:rsid w:val="009F52E4"/>
    <w:rsid w:val="009F5338"/>
    <w:rsid w:val="009F5593"/>
    <w:rsid w:val="009F5669"/>
    <w:rsid w:val="009F5780"/>
    <w:rsid w:val="009F57ED"/>
    <w:rsid w:val="009F5B55"/>
    <w:rsid w:val="009F66C1"/>
    <w:rsid w:val="009F66C4"/>
    <w:rsid w:val="009F6A30"/>
    <w:rsid w:val="009F6AA8"/>
    <w:rsid w:val="009F6B37"/>
    <w:rsid w:val="009F6B39"/>
    <w:rsid w:val="009F6C2B"/>
    <w:rsid w:val="009F6FE2"/>
    <w:rsid w:val="009F73AD"/>
    <w:rsid w:val="009F7F10"/>
    <w:rsid w:val="009F7FE1"/>
    <w:rsid w:val="00A002B4"/>
    <w:rsid w:val="00A00300"/>
    <w:rsid w:val="00A00481"/>
    <w:rsid w:val="00A0060B"/>
    <w:rsid w:val="00A00EF0"/>
    <w:rsid w:val="00A0106E"/>
    <w:rsid w:val="00A011A7"/>
    <w:rsid w:val="00A0166B"/>
    <w:rsid w:val="00A01890"/>
    <w:rsid w:val="00A01901"/>
    <w:rsid w:val="00A01D8D"/>
    <w:rsid w:val="00A02220"/>
    <w:rsid w:val="00A02276"/>
    <w:rsid w:val="00A02304"/>
    <w:rsid w:val="00A02485"/>
    <w:rsid w:val="00A024D6"/>
    <w:rsid w:val="00A025A8"/>
    <w:rsid w:val="00A026C9"/>
    <w:rsid w:val="00A02898"/>
    <w:rsid w:val="00A02B19"/>
    <w:rsid w:val="00A02C17"/>
    <w:rsid w:val="00A02DBB"/>
    <w:rsid w:val="00A02E9A"/>
    <w:rsid w:val="00A030E4"/>
    <w:rsid w:val="00A03394"/>
    <w:rsid w:val="00A03D6C"/>
    <w:rsid w:val="00A0419A"/>
    <w:rsid w:val="00A0431A"/>
    <w:rsid w:val="00A04420"/>
    <w:rsid w:val="00A045E1"/>
    <w:rsid w:val="00A047D8"/>
    <w:rsid w:val="00A0488A"/>
    <w:rsid w:val="00A04949"/>
    <w:rsid w:val="00A049F6"/>
    <w:rsid w:val="00A04BC1"/>
    <w:rsid w:val="00A04E23"/>
    <w:rsid w:val="00A0511D"/>
    <w:rsid w:val="00A05937"/>
    <w:rsid w:val="00A05A06"/>
    <w:rsid w:val="00A05F30"/>
    <w:rsid w:val="00A05FA9"/>
    <w:rsid w:val="00A05FE6"/>
    <w:rsid w:val="00A06064"/>
    <w:rsid w:val="00A0675E"/>
    <w:rsid w:val="00A0697D"/>
    <w:rsid w:val="00A06C59"/>
    <w:rsid w:val="00A06CE1"/>
    <w:rsid w:val="00A06DC7"/>
    <w:rsid w:val="00A06DF1"/>
    <w:rsid w:val="00A06F64"/>
    <w:rsid w:val="00A06FF0"/>
    <w:rsid w:val="00A070C5"/>
    <w:rsid w:val="00A07438"/>
    <w:rsid w:val="00A077CC"/>
    <w:rsid w:val="00A078CA"/>
    <w:rsid w:val="00A07D38"/>
    <w:rsid w:val="00A07FA2"/>
    <w:rsid w:val="00A10521"/>
    <w:rsid w:val="00A1052F"/>
    <w:rsid w:val="00A105E8"/>
    <w:rsid w:val="00A1064A"/>
    <w:rsid w:val="00A10C25"/>
    <w:rsid w:val="00A10DEB"/>
    <w:rsid w:val="00A11115"/>
    <w:rsid w:val="00A11157"/>
    <w:rsid w:val="00A1117B"/>
    <w:rsid w:val="00A11394"/>
    <w:rsid w:val="00A114B5"/>
    <w:rsid w:val="00A11702"/>
    <w:rsid w:val="00A11A76"/>
    <w:rsid w:val="00A11F97"/>
    <w:rsid w:val="00A1203E"/>
    <w:rsid w:val="00A12160"/>
    <w:rsid w:val="00A1221F"/>
    <w:rsid w:val="00A12300"/>
    <w:rsid w:val="00A123FF"/>
    <w:rsid w:val="00A1243B"/>
    <w:rsid w:val="00A12710"/>
    <w:rsid w:val="00A128BC"/>
    <w:rsid w:val="00A12942"/>
    <w:rsid w:val="00A12AEB"/>
    <w:rsid w:val="00A12D0E"/>
    <w:rsid w:val="00A1308E"/>
    <w:rsid w:val="00A130CD"/>
    <w:rsid w:val="00A1331F"/>
    <w:rsid w:val="00A134DA"/>
    <w:rsid w:val="00A137AA"/>
    <w:rsid w:val="00A13949"/>
    <w:rsid w:val="00A13B83"/>
    <w:rsid w:val="00A13C27"/>
    <w:rsid w:val="00A13DDA"/>
    <w:rsid w:val="00A13E4D"/>
    <w:rsid w:val="00A14379"/>
    <w:rsid w:val="00A147CF"/>
    <w:rsid w:val="00A148C8"/>
    <w:rsid w:val="00A148CC"/>
    <w:rsid w:val="00A1497F"/>
    <w:rsid w:val="00A149A0"/>
    <w:rsid w:val="00A14BA2"/>
    <w:rsid w:val="00A14D26"/>
    <w:rsid w:val="00A14D2E"/>
    <w:rsid w:val="00A14EFB"/>
    <w:rsid w:val="00A15062"/>
    <w:rsid w:val="00A1511D"/>
    <w:rsid w:val="00A1545D"/>
    <w:rsid w:val="00A1576A"/>
    <w:rsid w:val="00A15A42"/>
    <w:rsid w:val="00A15BA4"/>
    <w:rsid w:val="00A15D18"/>
    <w:rsid w:val="00A15DF9"/>
    <w:rsid w:val="00A15E4F"/>
    <w:rsid w:val="00A161BD"/>
    <w:rsid w:val="00A1684C"/>
    <w:rsid w:val="00A1692E"/>
    <w:rsid w:val="00A16B4F"/>
    <w:rsid w:val="00A1705D"/>
    <w:rsid w:val="00A17276"/>
    <w:rsid w:val="00A177D5"/>
    <w:rsid w:val="00A17C33"/>
    <w:rsid w:val="00A17C99"/>
    <w:rsid w:val="00A17DDB"/>
    <w:rsid w:val="00A17F36"/>
    <w:rsid w:val="00A20018"/>
    <w:rsid w:val="00A200AB"/>
    <w:rsid w:val="00A2094D"/>
    <w:rsid w:val="00A20C51"/>
    <w:rsid w:val="00A20CC4"/>
    <w:rsid w:val="00A20EFD"/>
    <w:rsid w:val="00A20F7F"/>
    <w:rsid w:val="00A21215"/>
    <w:rsid w:val="00A212BB"/>
    <w:rsid w:val="00A2153E"/>
    <w:rsid w:val="00A21764"/>
    <w:rsid w:val="00A21876"/>
    <w:rsid w:val="00A2194C"/>
    <w:rsid w:val="00A21A07"/>
    <w:rsid w:val="00A21B81"/>
    <w:rsid w:val="00A222EC"/>
    <w:rsid w:val="00A22359"/>
    <w:rsid w:val="00A22C52"/>
    <w:rsid w:val="00A22E17"/>
    <w:rsid w:val="00A22F99"/>
    <w:rsid w:val="00A22FC2"/>
    <w:rsid w:val="00A232B7"/>
    <w:rsid w:val="00A23877"/>
    <w:rsid w:val="00A23903"/>
    <w:rsid w:val="00A23EF4"/>
    <w:rsid w:val="00A24072"/>
    <w:rsid w:val="00A24146"/>
    <w:rsid w:val="00A243E9"/>
    <w:rsid w:val="00A24576"/>
    <w:rsid w:val="00A24681"/>
    <w:rsid w:val="00A2482E"/>
    <w:rsid w:val="00A24846"/>
    <w:rsid w:val="00A2519F"/>
    <w:rsid w:val="00A25415"/>
    <w:rsid w:val="00A254E1"/>
    <w:rsid w:val="00A254FD"/>
    <w:rsid w:val="00A256E6"/>
    <w:rsid w:val="00A256F9"/>
    <w:rsid w:val="00A25BC2"/>
    <w:rsid w:val="00A25E27"/>
    <w:rsid w:val="00A2624E"/>
    <w:rsid w:val="00A263EF"/>
    <w:rsid w:val="00A2682B"/>
    <w:rsid w:val="00A268D7"/>
    <w:rsid w:val="00A26903"/>
    <w:rsid w:val="00A26908"/>
    <w:rsid w:val="00A26CC5"/>
    <w:rsid w:val="00A26D63"/>
    <w:rsid w:val="00A26E33"/>
    <w:rsid w:val="00A27128"/>
    <w:rsid w:val="00A27497"/>
    <w:rsid w:val="00A27568"/>
    <w:rsid w:val="00A27786"/>
    <w:rsid w:val="00A27795"/>
    <w:rsid w:val="00A27871"/>
    <w:rsid w:val="00A279CC"/>
    <w:rsid w:val="00A279E7"/>
    <w:rsid w:val="00A27ADD"/>
    <w:rsid w:val="00A27B46"/>
    <w:rsid w:val="00A27DD7"/>
    <w:rsid w:val="00A27F23"/>
    <w:rsid w:val="00A27F77"/>
    <w:rsid w:val="00A27FB2"/>
    <w:rsid w:val="00A3029A"/>
    <w:rsid w:val="00A3040D"/>
    <w:rsid w:val="00A30448"/>
    <w:rsid w:val="00A3049B"/>
    <w:rsid w:val="00A3055E"/>
    <w:rsid w:val="00A3061A"/>
    <w:rsid w:val="00A307FF"/>
    <w:rsid w:val="00A30BC4"/>
    <w:rsid w:val="00A30C05"/>
    <w:rsid w:val="00A30C11"/>
    <w:rsid w:val="00A30CFE"/>
    <w:rsid w:val="00A30D25"/>
    <w:rsid w:val="00A311B4"/>
    <w:rsid w:val="00A313EB"/>
    <w:rsid w:val="00A31A79"/>
    <w:rsid w:val="00A31DC6"/>
    <w:rsid w:val="00A31F74"/>
    <w:rsid w:val="00A32200"/>
    <w:rsid w:val="00A32281"/>
    <w:rsid w:val="00A328EE"/>
    <w:rsid w:val="00A32A63"/>
    <w:rsid w:val="00A32C36"/>
    <w:rsid w:val="00A3303E"/>
    <w:rsid w:val="00A330C8"/>
    <w:rsid w:val="00A33413"/>
    <w:rsid w:val="00A33494"/>
    <w:rsid w:val="00A336A2"/>
    <w:rsid w:val="00A33918"/>
    <w:rsid w:val="00A33AEE"/>
    <w:rsid w:val="00A33BDD"/>
    <w:rsid w:val="00A33D05"/>
    <w:rsid w:val="00A33DB1"/>
    <w:rsid w:val="00A33DE8"/>
    <w:rsid w:val="00A340BC"/>
    <w:rsid w:val="00A34203"/>
    <w:rsid w:val="00A345AA"/>
    <w:rsid w:val="00A34AF7"/>
    <w:rsid w:val="00A34EF6"/>
    <w:rsid w:val="00A3504D"/>
    <w:rsid w:val="00A35130"/>
    <w:rsid w:val="00A354CB"/>
    <w:rsid w:val="00A356C1"/>
    <w:rsid w:val="00A35713"/>
    <w:rsid w:val="00A358A0"/>
    <w:rsid w:val="00A35A29"/>
    <w:rsid w:val="00A35AAA"/>
    <w:rsid w:val="00A35B58"/>
    <w:rsid w:val="00A35C53"/>
    <w:rsid w:val="00A35CE5"/>
    <w:rsid w:val="00A363E9"/>
    <w:rsid w:val="00A364D9"/>
    <w:rsid w:val="00A367E6"/>
    <w:rsid w:val="00A36DE4"/>
    <w:rsid w:val="00A371BB"/>
    <w:rsid w:val="00A372B6"/>
    <w:rsid w:val="00A373EB"/>
    <w:rsid w:val="00A37611"/>
    <w:rsid w:val="00A377A2"/>
    <w:rsid w:val="00A3790B"/>
    <w:rsid w:val="00A37B69"/>
    <w:rsid w:val="00A37C4C"/>
    <w:rsid w:val="00A40514"/>
    <w:rsid w:val="00A405EA"/>
    <w:rsid w:val="00A40A73"/>
    <w:rsid w:val="00A40EF4"/>
    <w:rsid w:val="00A412B4"/>
    <w:rsid w:val="00A41337"/>
    <w:rsid w:val="00A415F6"/>
    <w:rsid w:val="00A41731"/>
    <w:rsid w:val="00A41751"/>
    <w:rsid w:val="00A41AAD"/>
    <w:rsid w:val="00A41C63"/>
    <w:rsid w:val="00A41D84"/>
    <w:rsid w:val="00A41E8A"/>
    <w:rsid w:val="00A42261"/>
    <w:rsid w:val="00A42481"/>
    <w:rsid w:val="00A4249F"/>
    <w:rsid w:val="00A4265E"/>
    <w:rsid w:val="00A42929"/>
    <w:rsid w:val="00A42A04"/>
    <w:rsid w:val="00A42C14"/>
    <w:rsid w:val="00A42CC2"/>
    <w:rsid w:val="00A42E29"/>
    <w:rsid w:val="00A42E79"/>
    <w:rsid w:val="00A4339A"/>
    <w:rsid w:val="00A43401"/>
    <w:rsid w:val="00A43499"/>
    <w:rsid w:val="00A43703"/>
    <w:rsid w:val="00A438A7"/>
    <w:rsid w:val="00A438C7"/>
    <w:rsid w:val="00A43B05"/>
    <w:rsid w:val="00A43B12"/>
    <w:rsid w:val="00A43C73"/>
    <w:rsid w:val="00A43F06"/>
    <w:rsid w:val="00A44556"/>
    <w:rsid w:val="00A4475C"/>
    <w:rsid w:val="00A449FD"/>
    <w:rsid w:val="00A44AAD"/>
    <w:rsid w:val="00A44AF1"/>
    <w:rsid w:val="00A44D76"/>
    <w:rsid w:val="00A44F93"/>
    <w:rsid w:val="00A451BA"/>
    <w:rsid w:val="00A4556A"/>
    <w:rsid w:val="00A45581"/>
    <w:rsid w:val="00A45818"/>
    <w:rsid w:val="00A458E0"/>
    <w:rsid w:val="00A459A8"/>
    <w:rsid w:val="00A45B2B"/>
    <w:rsid w:val="00A4669D"/>
    <w:rsid w:val="00A4669F"/>
    <w:rsid w:val="00A46838"/>
    <w:rsid w:val="00A4684B"/>
    <w:rsid w:val="00A4690C"/>
    <w:rsid w:val="00A46B8C"/>
    <w:rsid w:val="00A46C41"/>
    <w:rsid w:val="00A46D6C"/>
    <w:rsid w:val="00A47634"/>
    <w:rsid w:val="00A47741"/>
    <w:rsid w:val="00A47CA4"/>
    <w:rsid w:val="00A47DD8"/>
    <w:rsid w:val="00A50116"/>
    <w:rsid w:val="00A501C8"/>
    <w:rsid w:val="00A5046A"/>
    <w:rsid w:val="00A506A4"/>
    <w:rsid w:val="00A50AB3"/>
    <w:rsid w:val="00A50EDB"/>
    <w:rsid w:val="00A50F09"/>
    <w:rsid w:val="00A5111B"/>
    <w:rsid w:val="00A51125"/>
    <w:rsid w:val="00A511BA"/>
    <w:rsid w:val="00A51327"/>
    <w:rsid w:val="00A51583"/>
    <w:rsid w:val="00A51777"/>
    <w:rsid w:val="00A51EC7"/>
    <w:rsid w:val="00A52038"/>
    <w:rsid w:val="00A5221E"/>
    <w:rsid w:val="00A52403"/>
    <w:rsid w:val="00A5267A"/>
    <w:rsid w:val="00A526D8"/>
    <w:rsid w:val="00A52924"/>
    <w:rsid w:val="00A529F6"/>
    <w:rsid w:val="00A52A39"/>
    <w:rsid w:val="00A52DF2"/>
    <w:rsid w:val="00A5354F"/>
    <w:rsid w:val="00A53684"/>
    <w:rsid w:val="00A538FD"/>
    <w:rsid w:val="00A53A32"/>
    <w:rsid w:val="00A53BE0"/>
    <w:rsid w:val="00A541C1"/>
    <w:rsid w:val="00A5425A"/>
    <w:rsid w:val="00A5435F"/>
    <w:rsid w:val="00A543F0"/>
    <w:rsid w:val="00A54642"/>
    <w:rsid w:val="00A5481B"/>
    <w:rsid w:val="00A54B60"/>
    <w:rsid w:val="00A54D11"/>
    <w:rsid w:val="00A54D32"/>
    <w:rsid w:val="00A55203"/>
    <w:rsid w:val="00A55493"/>
    <w:rsid w:val="00A5570F"/>
    <w:rsid w:val="00A55761"/>
    <w:rsid w:val="00A55850"/>
    <w:rsid w:val="00A55AEB"/>
    <w:rsid w:val="00A55B1A"/>
    <w:rsid w:val="00A55B4B"/>
    <w:rsid w:val="00A55E78"/>
    <w:rsid w:val="00A56417"/>
    <w:rsid w:val="00A5641F"/>
    <w:rsid w:val="00A564F9"/>
    <w:rsid w:val="00A5691D"/>
    <w:rsid w:val="00A569CD"/>
    <w:rsid w:val="00A570D2"/>
    <w:rsid w:val="00A57212"/>
    <w:rsid w:val="00A57330"/>
    <w:rsid w:val="00A573CD"/>
    <w:rsid w:val="00A573DC"/>
    <w:rsid w:val="00A5762E"/>
    <w:rsid w:val="00A5767D"/>
    <w:rsid w:val="00A57777"/>
    <w:rsid w:val="00A5786E"/>
    <w:rsid w:val="00A57BC0"/>
    <w:rsid w:val="00A60375"/>
    <w:rsid w:val="00A60591"/>
    <w:rsid w:val="00A605D2"/>
    <w:rsid w:val="00A60A58"/>
    <w:rsid w:val="00A610EB"/>
    <w:rsid w:val="00A6117A"/>
    <w:rsid w:val="00A6119B"/>
    <w:rsid w:val="00A61577"/>
    <w:rsid w:val="00A61782"/>
    <w:rsid w:val="00A61858"/>
    <w:rsid w:val="00A61CBF"/>
    <w:rsid w:val="00A61E58"/>
    <w:rsid w:val="00A61EA7"/>
    <w:rsid w:val="00A62098"/>
    <w:rsid w:val="00A624D7"/>
    <w:rsid w:val="00A62632"/>
    <w:rsid w:val="00A62AE4"/>
    <w:rsid w:val="00A62EF8"/>
    <w:rsid w:val="00A63082"/>
    <w:rsid w:val="00A633C9"/>
    <w:rsid w:val="00A634D6"/>
    <w:rsid w:val="00A634EB"/>
    <w:rsid w:val="00A63644"/>
    <w:rsid w:val="00A63A89"/>
    <w:rsid w:val="00A63AC9"/>
    <w:rsid w:val="00A63E09"/>
    <w:rsid w:val="00A6406E"/>
    <w:rsid w:val="00A64512"/>
    <w:rsid w:val="00A6475E"/>
    <w:rsid w:val="00A6478F"/>
    <w:rsid w:val="00A647F6"/>
    <w:rsid w:val="00A647FD"/>
    <w:rsid w:val="00A649F4"/>
    <w:rsid w:val="00A64A9A"/>
    <w:rsid w:val="00A65059"/>
    <w:rsid w:val="00A65233"/>
    <w:rsid w:val="00A6537A"/>
    <w:rsid w:val="00A653DE"/>
    <w:rsid w:val="00A657AB"/>
    <w:rsid w:val="00A657ED"/>
    <w:rsid w:val="00A65E48"/>
    <w:rsid w:val="00A66087"/>
    <w:rsid w:val="00A6651F"/>
    <w:rsid w:val="00A6653C"/>
    <w:rsid w:val="00A6666C"/>
    <w:rsid w:val="00A6677F"/>
    <w:rsid w:val="00A66B01"/>
    <w:rsid w:val="00A66E55"/>
    <w:rsid w:val="00A6702D"/>
    <w:rsid w:val="00A67110"/>
    <w:rsid w:val="00A676B0"/>
    <w:rsid w:val="00A67A2F"/>
    <w:rsid w:val="00A67B39"/>
    <w:rsid w:val="00A67BC6"/>
    <w:rsid w:val="00A67EE9"/>
    <w:rsid w:val="00A7013D"/>
    <w:rsid w:val="00A70208"/>
    <w:rsid w:val="00A70710"/>
    <w:rsid w:val="00A707E6"/>
    <w:rsid w:val="00A70A3B"/>
    <w:rsid w:val="00A70C17"/>
    <w:rsid w:val="00A70DB6"/>
    <w:rsid w:val="00A70F74"/>
    <w:rsid w:val="00A711C5"/>
    <w:rsid w:val="00A7122B"/>
    <w:rsid w:val="00A71299"/>
    <w:rsid w:val="00A7135B"/>
    <w:rsid w:val="00A713E4"/>
    <w:rsid w:val="00A7156F"/>
    <w:rsid w:val="00A7160A"/>
    <w:rsid w:val="00A71A70"/>
    <w:rsid w:val="00A71AFE"/>
    <w:rsid w:val="00A71B04"/>
    <w:rsid w:val="00A71C75"/>
    <w:rsid w:val="00A7202E"/>
    <w:rsid w:val="00A720CD"/>
    <w:rsid w:val="00A7221B"/>
    <w:rsid w:val="00A72295"/>
    <w:rsid w:val="00A724EE"/>
    <w:rsid w:val="00A72540"/>
    <w:rsid w:val="00A72685"/>
    <w:rsid w:val="00A729D5"/>
    <w:rsid w:val="00A72A3F"/>
    <w:rsid w:val="00A72D17"/>
    <w:rsid w:val="00A72D1E"/>
    <w:rsid w:val="00A73160"/>
    <w:rsid w:val="00A732D2"/>
    <w:rsid w:val="00A733BB"/>
    <w:rsid w:val="00A739E0"/>
    <w:rsid w:val="00A73EF0"/>
    <w:rsid w:val="00A74207"/>
    <w:rsid w:val="00A745A5"/>
    <w:rsid w:val="00A7496E"/>
    <w:rsid w:val="00A74992"/>
    <w:rsid w:val="00A751A3"/>
    <w:rsid w:val="00A7546B"/>
    <w:rsid w:val="00A7589B"/>
    <w:rsid w:val="00A75B7F"/>
    <w:rsid w:val="00A75BD5"/>
    <w:rsid w:val="00A75C26"/>
    <w:rsid w:val="00A75D4F"/>
    <w:rsid w:val="00A76282"/>
    <w:rsid w:val="00A76577"/>
    <w:rsid w:val="00A7696E"/>
    <w:rsid w:val="00A76C05"/>
    <w:rsid w:val="00A771F1"/>
    <w:rsid w:val="00A773EF"/>
    <w:rsid w:val="00A77632"/>
    <w:rsid w:val="00A779DF"/>
    <w:rsid w:val="00A779F0"/>
    <w:rsid w:val="00A77ED1"/>
    <w:rsid w:val="00A77F43"/>
    <w:rsid w:val="00A800C3"/>
    <w:rsid w:val="00A80168"/>
    <w:rsid w:val="00A8021D"/>
    <w:rsid w:val="00A803A8"/>
    <w:rsid w:val="00A804A2"/>
    <w:rsid w:val="00A804B6"/>
    <w:rsid w:val="00A805E6"/>
    <w:rsid w:val="00A809DE"/>
    <w:rsid w:val="00A80A96"/>
    <w:rsid w:val="00A80E12"/>
    <w:rsid w:val="00A810DE"/>
    <w:rsid w:val="00A813B8"/>
    <w:rsid w:val="00A813F9"/>
    <w:rsid w:val="00A81643"/>
    <w:rsid w:val="00A81A0B"/>
    <w:rsid w:val="00A81BE8"/>
    <w:rsid w:val="00A81CAC"/>
    <w:rsid w:val="00A82090"/>
    <w:rsid w:val="00A820C6"/>
    <w:rsid w:val="00A8251A"/>
    <w:rsid w:val="00A82BE1"/>
    <w:rsid w:val="00A82CDB"/>
    <w:rsid w:val="00A82CF7"/>
    <w:rsid w:val="00A82D0C"/>
    <w:rsid w:val="00A82E15"/>
    <w:rsid w:val="00A83244"/>
    <w:rsid w:val="00A8332A"/>
    <w:rsid w:val="00A8342D"/>
    <w:rsid w:val="00A83584"/>
    <w:rsid w:val="00A8358F"/>
    <w:rsid w:val="00A83BED"/>
    <w:rsid w:val="00A83C1D"/>
    <w:rsid w:val="00A83D13"/>
    <w:rsid w:val="00A83D37"/>
    <w:rsid w:val="00A83E27"/>
    <w:rsid w:val="00A84124"/>
    <w:rsid w:val="00A84192"/>
    <w:rsid w:val="00A841FA"/>
    <w:rsid w:val="00A842F7"/>
    <w:rsid w:val="00A8462A"/>
    <w:rsid w:val="00A84AD7"/>
    <w:rsid w:val="00A84FAF"/>
    <w:rsid w:val="00A85035"/>
    <w:rsid w:val="00A8524F"/>
    <w:rsid w:val="00A854E6"/>
    <w:rsid w:val="00A85797"/>
    <w:rsid w:val="00A859DF"/>
    <w:rsid w:val="00A85A08"/>
    <w:rsid w:val="00A85C09"/>
    <w:rsid w:val="00A85F96"/>
    <w:rsid w:val="00A86654"/>
    <w:rsid w:val="00A867A9"/>
    <w:rsid w:val="00A86E1F"/>
    <w:rsid w:val="00A876C5"/>
    <w:rsid w:val="00A87909"/>
    <w:rsid w:val="00A87A9C"/>
    <w:rsid w:val="00A87D16"/>
    <w:rsid w:val="00A90138"/>
    <w:rsid w:val="00A9046C"/>
    <w:rsid w:val="00A905FC"/>
    <w:rsid w:val="00A90858"/>
    <w:rsid w:val="00A90AE4"/>
    <w:rsid w:val="00A90BCA"/>
    <w:rsid w:val="00A90D6C"/>
    <w:rsid w:val="00A90DA7"/>
    <w:rsid w:val="00A90EFA"/>
    <w:rsid w:val="00A91016"/>
    <w:rsid w:val="00A910D9"/>
    <w:rsid w:val="00A91226"/>
    <w:rsid w:val="00A918F4"/>
    <w:rsid w:val="00A91A56"/>
    <w:rsid w:val="00A91BFE"/>
    <w:rsid w:val="00A91C11"/>
    <w:rsid w:val="00A91C96"/>
    <w:rsid w:val="00A91CE0"/>
    <w:rsid w:val="00A91D1D"/>
    <w:rsid w:val="00A91DD4"/>
    <w:rsid w:val="00A91F22"/>
    <w:rsid w:val="00A91F97"/>
    <w:rsid w:val="00A9213F"/>
    <w:rsid w:val="00A92BEC"/>
    <w:rsid w:val="00A9329F"/>
    <w:rsid w:val="00A932DC"/>
    <w:rsid w:val="00A934EA"/>
    <w:rsid w:val="00A93723"/>
    <w:rsid w:val="00A937CA"/>
    <w:rsid w:val="00A938E6"/>
    <w:rsid w:val="00A93E6F"/>
    <w:rsid w:val="00A93FA3"/>
    <w:rsid w:val="00A94135"/>
    <w:rsid w:val="00A94484"/>
    <w:rsid w:val="00A944EE"/>
    <w:rsid w:val="00A948D0"/>
    <w:rsid w:val="00A948FB"/>
    <w:rsid w:val="00A94FE1"/>
    <w:rsid w:val="00A9517C"/>
    <w:rsid w:val="00A951B1"/>
    <w:rsid w:val="00A95223"/>
    <w:rsid w:val="00A953CC"/>
    <w:rsid w:val="00A95622"/>
    <w:rsid w:val="00A95654"/>
    <w:rsid w:val="00A957E4"/>
    <w:rsid w:val="00A9582F"/>
    <w:rsid w:val="00A9598B"/>
    <w:rsid w:val="00A95BAD"/>
    <w:rsid w:val="00A96535"/>
    <w:rsid w:val="00A96767"/>
    <w:rsid w:val="00A9676E"/>
    <w:rsid w:val="00A9678A"/>
    <w:rsid w:val="00A96BB4"/>
    <w:rsid w:val="00A96CA0"/>
    <w:rsid w:val="00A970E7"/>
    <w:rsid w:val="00A974BB"/>
    <w:rsid w:val="00A979B9"/>
    <w:rsid w:val="00A97A44"/>
    <w:rsid w:val="00A97AB2"/>
    <w:rsid w:val="00A97BC4"/>
    <w:rsid w:val="00A97F22"/>
    <w:rsid w:val="00A97F35"/>
    <w:rsid w:val="00AA0145"/>
    <w:rsid w:val="00AA02D2"/>
    <w:rsid w:val="00AA02F9"/>
    <w:rsid w:val="00AA0305"/>
    <w:rsid w:val="00AA06F8"/>
    <w:rsid w:val="00AA0720"/>
    <w:rsid w:val="00AA07F7"/>
    <w:rsid w:val="00AA08B1"/>
    <w:rsid w:val="00AA1285"/>
    <w:rsid w:val="00AA1495"/>
    <w:rsid w:val="00AA16B7"/>
    <w:rsid w:val="00AA1B79"/>
    <w:rsid w:val="00AA1C18"/>
    <w:rsid w:val="00AA1E7C"/>
    <w:rsid w:val="00AA1F1C"/>
    <w:rsid w:val="00AA1F64"/>
    <w:rsid w:val="00AA2181"/>
    <w:rsid w:val="00AA2305"/>
    <w:rsid w:val="00AA25F8"/>
    <w:rsid w:val="00AA26D4"/>
    <w:rsid w:val="00AA2889"/>
    <w:rsid w:val="00AA2910"/>
    <w:rsid w:val="00AA2A67"/>
    <w:rsid w:val="00AA2C2C"/>
    <w:rsid w:val="00AA2F9A"/>
    <w:rsid w:val="00AA306A"/>
    <w:rsid w:val="00AA3119"/>
    <w:rsid w:val="00AA3486"/>
    <w:rsid w:val="00AA3B32"/>
    <w:rsid w:val="00AA3EDB"/>
    <w:rsid w:val="00AA3F84"/>
    <w:rsid w:val="00AA436F"/>
    <w:rsid w:val="00AA448C"/>
    <w:rsid w:val="00AA4529"/>
    <w:rsid w:val="00AA4780"/>
    <w:rsid w:val="00AA47CB"/>
    <w:rsid w:val="00AA47FD"/>
    <w:rsid w:val="00AA4CA7"/>
    <w:rsid w:val="00AA4D60"/>
    <w:rsid w:val="00AA4E6C"/>
    <w:rsid w:val="00AA4E9E"/>
    <w:rsid w:val="00AA4EFD"/>
    <w:rsid w:val="00AA504E"/>
    <w:rsid w:val="00AA5A3A"/>
    <w:rsid w:val="00AA5A6E"/>
    <w:rsid w:val="00AA6155"/>
    <w:rsid w:val="00AA64EB"/>
    <w:rsid w:val="00AA6502"/>
    <w:rsid w:val="00AA6568"/>
    <w:rsid w:val="00AA6869"/>
    <w:rsid w:val="00AA68F4"/>
    <w:rsid w:val="00AA6B14"/>
    <w:rsid w:val="00AA6BCE"/>
    <w:rsid w:val="00AA6D88"/>
    <w:rsid w:val="00AA6EF5"/>
    <w:rsid w:val="00AA73EC"/>
    <w:rsid w:val="00AA7529"/>
    <w:rsid w:val="00AA7FE7"/>
    <w:rsid w:val="00AB0035"/>
    <w:rsid w:val="00AB01AA"/>
    <w:rsid w:val="00AB028C"/>
    <w:rsid w:val="00AB061E"/>
    <w:rsid w:val="00AB0779"/>
    <w:rsid w:val="00AB07B2"/>
    <w:rsid w:val="00AB0A29"/>
    <w:rsid w:val="00AB0C2D"/>
    <w:rsid w:val="00AB0D6B"/>
    <w:rsid w:val="00AB0F9A"/>
    <w:rsid w:val="00AB1320"/>
    <w:rsid w:val="00AB1881"/>
    <w:rsid w:val="00AB1BDA"/>
    <w:rsid w:val="00AB20CC"/>
    <w:rsid w:val="00AB229E"/>
    <w:rsid w:val="00AB25B2"/>
    <w:rsid w:val="00AB2791"/>
    <w:rsid w:val="00AB281E"/>
    <w:rsid w:val="00AB2A6A"/>
    <w:rsid w:val="00AB2B18"/>
    <w:rsid w:val="00AB2BF8"/>
    <w:rsid w:val="00AB2DCF"/>
    <w:rsid w:val="00AB2EFC"/>
    <w:rsid w:val="00AB307E"/>
    <w:rsid w:val="00AB3138"/>
    <w:rsid w:val="00AB3286"/>
    <w:rsid w:val="00AB3453"/>
    <w:rsid w:val="00AB3835"/>
    <w:rsid w:val="00AB3B4E"/>
    <w:rsid w:val="00AB3CC5"/>
    <w:rsid w:val="00AB4377"/>
    <w:rsid w:val="00AB43E8"/>
    <w:rsid w:val="00AB4476"/>
    <w:rsid w:val="00AB4610"/>
    <w:rsid w:val="00AB46FA"/>
    <w:rsid w:val="00AB48BD"/>
    <w:rsid w:val="00AB4953"/>
    <w:rsid w:val="00AB49CF"/>
    <w:rsid w:val="00AB4D20"/>
    <w:rsid w:val="00AB50A2"/>
    <w:rsid w:val="00AB5234"/>
    <w:rsid w:val="00AB5813"/>
    <w:rsid w:val="00AB5832"/>
    <w:rsid w:val="00AB5A10"/>
    <w:rsid w:val="00AB5AAC"/>
    <w:rsid w:val="00AB6001"/>
    <w:rsid w:val="00AB612C"/>
    <w:rsid w:val="00AB623A"/>
    <w:rsid w:val="00AB64CB"/>
    <w:rsid w:val="00AB6AD5"/>
    <w:rsid w:val="00AB703A"/>
    <w:rsid w:val="00AB7127"/>
    <w:rsid w:val="00AB71BB"/>
    <w:rsid w:val="00AB71F4"/>
    <w:rsid w:val="00AB754C"/>
    <w:rsid w:val="00AB75E4"/>
    <w:rsid w:val="00AB79E5"/>
    <w:rsid w:val="00AB7C22"/>
    <w:rsid w:val="00AB7DC1"/>
    <w:rsid w:val="00AB7EF6"/>
    <w:rsid w:val="00AB7F38"/>
    <w:rsid w:val="00AC01CD"/>
    <w:rsid w:val="00AC0CB2"/>
    <w:rsid w:val="00AC121E"/>
    <w:rsid w:val="00AC133D"/>
    <w:rsid w:val="00AC1467"/>
    <w:rsid w:val="00AC14AB"/>
    <w:rsid w:val="00AC1704"/>
    <w:rsid w:val="00AC1900"/>
    <w:rsid w:val="00AC1A74"/>
    <w:rsid w:val="00AC213E"/>
    <w:rsid w:val="00AC2F4B"/>
    <w:rsid w:val="00AC30C7"/>
    <w:rsid w:val="00AC328B"/>
    <w:rsid w:val="00AC343C"/>
    <w:rsid w:val="00AC3481"/>
    <w:rsid w:val="00AC376D"/>
    <w:rsid w:val="00AC38AC"/>
    <w:rsid w:val="00AC3A0E"/>
    <w:rsid w:val="00AC3B99"/>
    <w:rsid w:val="00AC3E94"/>
    <w:rsid w:val="00AC43B4"/>
    <w:rsid w:val="00AC4471"/>
    <w:rsid w:val="00AC4921"/>
    <w:rsid w:val="00AC4C77"/>
    <w:rsid w:val="00AC4F99"/>
    <w:rsid w:val="00AC5459"/>
    <w:rsid w:val="00AC54D5"/>
    <w:rsid w:val="00AC5AFC"/>
    <w:rsid w:val="00AC6097"/>
    <w:rsid w:val="00AC6496"/>
    <w:rsid w:val="00AC65ED"/>
    <w:rsid w:val="00AC68B8"/>
    <w:rsid w:val="00AC6B6E"/>
    <w:rsid w:val="00AC6BE5"/>
    <w:rsid w:val="00AC6C9F"/>
    <w:rsid w:val="00AC7536"/>
    <w:rsid w:val="00AC75BF"/>
    <w:rsid w:val="00AC7644"/>
    <w:rsid w:val="00AC78FB"/>
    <w:rsid w:val="00AC7CEC"/>
    <w:rsid w:val="00AC7D1A"/>
    <w:rsid w:val="00AD003A"/>
    <w:rsid w:val="00AD03E4"/>
    <w:rsid w:val="00AD05D4"/>
    <w:rsid w:val="00AD0630"/>
    <w:rsid w:val="00AD0660"/>
    <w:rsid w:val="00AD06C0"/>
    <w:rsid w:val="00AD0A76"/>
    <w:rsid w:val="00AD0AB2"/>
    <w:rsid w:val="00AD0C4F"/>
    <w:rsid w:val="00AD0CF9"/>
    <w:rsid w:val="00AD0F6E"/>
    <w:rsid w:val="00AD1270"/>
    <w:rsid w:val="00AD1508"/>
    <w:rsid w:val="00AD162E"/>
    <w:rsid w:val="00AD174C"/>
    <w:rsid w:val="00AD1D31"/>
    <w:rsid w:val="00AD1E4C"/>
    <w:rsid w:val="00AD1F8C"/>
    <w:rsid w:val="00AD2342"/>
    <w:rsid w:val="00AD2678"/>
    <w:rsid w:val="00AD2800"/>
    <w:rsid w:val="00AD2A34"/>
    <w:rsid w:val="00AD2EA8"/>
    <w:rsid w:val="00AD3343"/>
    <w:rsid w:val="00AD3378"/>
    <w:rsid w:val="00AD3410"/>
    <w:rsid w:val="00AD36C1"/>
    <w:rsid w:val="00AD3AD6"/>
    <w:rsid w:val="00AD3C70"/>
    <w:rsid w:val="00AD3C83"/>
    <w:rsid w:val="00AD3CC3"/>
    <w:rsid w:val="00AD4115"/>
    <w:rsid w:val="00AD417B"/>
    <w:rsid w:val="00AD4259"/>
    <w:rsid w:val="00AD42AD"/>
    <w:rsid w:val="00AD4515"/>
    <w:rsid w:val="00AD4968"/>
    <w:rsid w:val="00AD4ABA"/>
    <w:rsid w:val="00AD4E96"/>
    <w:rsid w:val="00AD5027"/>
    <w:rsid w:val="00AD515C"/>
    <w:rsid w:val="00AD5506"/>
    <w:rsid w:val="00AD5623"/>
    <w:rsid w:val="00AD5630"/>
    <w:rsid w:val="00AD5E22"/>
    <w:rsid w:val="00AD607C"/>
    <w:rsid w:val="00AD6103"/>
    <w:rsid w:val="00AD62A6"/>
    <w:rsid w:val="00AD63BA"/>
    <w:rsid w:val="00AD6C2A"/>
    <w:rsid w:val="00AD70FD"/>
    <w:rsid w:val="00AD7FDB"/>
    <w:rsid w:val="00AE00CE"/>
    <w:rsid w:val="00AE0113"/>
    <w:rsid w:val="00AE032B"/>
    <w:rsid w:val="00AE088F"/>
    <w:rsid w:val="00AE08B5"/>
    <w:rsid w:val="00AE095D"/>
    <w:rsid w:val="00AE0A8F"/>
    <w:rsid w:val="00AE0A9B"/>
    <w:rsid w:val="00AE0EFC"/>
    <w:rsid w:val="00AE103B"/>
    <w:rsid w:val="00AE1140"/>
    <w:rsid w:val="00AE14AB"/>
    <w:rsid w:val="00AE1504"/>
    <w:rsid w:val="00AE1777"/>
    <w:rsid w:val="00AE1AD4"/>
    <w:rsid w:val="00AE1B84"/>
    <w:rsid w:val="00AE1CAA"/>
    <w:rsid w:val="00AE2124"/>
    <w:rsid w:val="00AE25B6"/>
    <w:rsid w:val="00AE29AE"/>
    <w:rsid w:val="00AE2FED"/>
    <w:rsid w:val="00AE3301"/>
    <w:rsid w:val="00AE3CA0"/>
    <w:rsid w:val="00AE3D6E"/>
    <w:rsid w:val="00AE4033"/>
    <w:rsid w:val="00AE431D"/>
    <w:rsid w:val="00AE43D3"/>
    <w:rsid w:val="00AE4523"/>
    <w:rsid w:val="00AE46D3"/>
    <w:rsid w:val="00AE4A10"/>
    <w:rsid w:val="00AE4A6F"/>
    <w:rsid w:val="00AE4AA0"/>
    <w:rsid w:val="00AE4BA3"/>
    <w:rsid w:val="00AE4D7D"/>
    <w:rsid w:val="00AE4DE4"/>
    <w:rsid w:val="00AE4DF0"/>
    <w:rsid w:val="00AE50AD"/>
    <w:rsid w:val="00AE541D"/>
    <w:rsid w:val="00AE56EC"/>
    <w:rsid w:val="00AE59A4"/>
    <w:rsid w:val="00AE5B58"/>
    <w:rsid w:val="00AE5DB3"/>
    <w:rsid w:val="00AE5E64"/>
    <w:rsid w:val="00AE5FE1"/>
    <w:rsid w:val="00AE60D7"/>
    <w:rsid w:val="00AE6177"/>
    <w:rsid w:val="00AE6332"/>
    <w:rsid w:val="00AE69A9"/>
    <w:rsid w:val="00AE6B61"/>
    <w:rsid w:val="00AE6C4C"/>
    <w:rsid w:val="00AE7216"/>
    <w:rsid w:val="00AE731D"/>
    <w:rsid w:val="00AE7367"/>
    <w:rsid w:val="00AE761A"/>
    <w:rsid w:val="00AE7852"/>
    <w:rsid w:val="00AE789A"/>
    <w:rsid w:val="00AF0DC4"/>
    <w:rsid w:val="00AF12E3"/>
    <w:rsid w:val="00AF14DD"/>
    <w:rsid w:val="00AF1697"/>
    <w:rsid w:val="00AF1715"/>
    <w:rsid w:val="00AF1A24"/>
    <w:rsid w:val="00AF1FAC"/>
    <w:rsid w:val="00AF2218"/>
    <w:rsid w:val="00AF22A2"/>
    <w:rsid w:val="00AF22E8"/>
    <w:rsid w:val="00AF2603"/>
    <w:rsid w:val="00AF2BD8"/>
    <w:rsid w:val="00AF2F09"/>
    <w:rsid w:val="00AF3413"/>
    <w:rsid w:val="00AF3526"/>
    <w:rsid w:val="00AF3650"/>
    <w:rsid w:val="00AF3A62"/>
    <w:rsid w:val="00AF3E4F"/>
    <w:rsid w:val="00AF3E51"/>
    <w:rsid w:val="00AF40FB"/>
    <w:rsid w:val="00AF4133"/>
    <w:rsid w:val="00AF42B3"/>
    <w:rsid w:val="00AF42E7"/>
    <w:rsid w:val="00AF433E"/>
    <w:rsid w:val="00AF4457"/>
    <w:rsid w:val="00AF463B"/>
    <w:rsid w:val="00AF4885"/>
    <w:rsid w:val="00AF4C72"/>
    <w:rsid w:val="00AF4CBB"/>
    <w:rsid w:val="00AF4DB9"/>
    <w:rsid w:val="00AF4E7A"/>
    <w:rsid w:val="00AF4ED6"/>
    <w:rsid w:val="00AF4FAB"/>
    <w:rsid w:val="00AF5072"/>
    <w:rsid w:val="00AF516F"/>
    <w:rsid w:val="00AF55BD"/>
    <w:rsid w:val="00AF5C10"/>
    <w:rsid w:val="00AF5CC9"/>
    <w:rsid w:val="00AF5E1D"/>
    <w:rsid w:val="00AF627D"/>
    <w:rsid w:val="00AF6448"/>
    <w:rsid w:val="00AF64F8"/>
    <w:rsid w:val="00AF654C"/>
    <w:rsid w:val="00AF655B"/>
    <w:rsid w:val="00AF6C58"/>
    <w:rsid w:val="00AF6CEF"/>
    <w:rsid w:val="00AF6E3C"/>
    <w:rsid w:val="00AF6E8B"/>
    <w:rsid w:val="00AF6FB5"/>
    <w:rsid w:val="00AF74D0"/>
    <w:rsid w:val="00AF7795"/>
    <w:rsid w:val="00B00290"/>
    <w:rsid w:val="00B004FB"/>
    <w:rsid w:val="00B00A98"/>
    <w:rsid w:val="00B00C29"/>
    <w:rsid w:val="00B0144B"/>
    <w:rsid w:val="00B015F4"/>
    <w:rsid w:val="00B017DB"/>
    <w:rsid w:val="00B018D0"/>
    <w:rsid w:val="00B0190A"/>
    <w:rsid w:val="00B01AA7"/>
    <w:rsid w:val="00B01B4D"/>
    <w:rsid w:val="00B0218F"/>
    <w:rsid w:val="00B021C3"/>
    <w:rsid w:val="00B022B8"/>
    <w:rsid w:val="00B02329"/>
    <w:rsid w:val="00B027DB"/>
    <w:rsid w:val="00B02C2B"/>
    <w:rsid w:val="00B02CE4"/>
    <w:rsid w:val="00B03206"/>
    <w:rsid w:val="00B038A5"/>
    <w:rsid w:val="00B03936"/>
    <w:rsid w:val="00B039DE"/>
    <w:rsid w:val="00B042A1"/>
    <w:rsid w:val="00B042A6"/>
    <w:rsid w:val="00B04455"/>
    <w:rsid w:val="00B04590"/>
    <w:rsid w:val="00B0472C"/>
    <w:rsid w:val="00B049D1"/>
    <w:rsid w:val="00B04ADD"/>
    <w:rsid w:val="00B04EB4"/>
    <w:rsid w:val="00B05037"/>
    <w:rsid w:val="00B05232"/>
    <w:rsid w:val="00B05369"/>
    <w:rsid w:val="00B053F1"/>
    <w:rsid w:val="00B054E6"/>
    <w:rsid w:val="00B05639"/>
    <w:rsid w:val="00B057CC"/>
    <w:rsid w:val="00B05836"/>
    <w:rsid w:val="00B0586B"/>
    <w:rsid w:val="00B05BBC"/>
    <w:rsid w:val="00B05C14"/>
    <w:rsid w:val="00B05C24"/>
    <w:rsid w:val="00B05CCB"/>
    <w:rsid w:val="00B05D20"/>
    <w:rsid w:val="00B05D56"/>
    <w:rsid w:val="00B05D9E"/>
    <w:rsid w:val="00B0659F"/>
    <w:rsid w:val="00B0662F"/>
    <w:rsid w:val="00B069AA"/>
    <w:rsid w:val="00B06D93"/>
    <w:rsid w:val="00B06E4A"/>
    <w:rsid w:val="00B073E0"/>
    <w:rsid w:val="00B077B9"/>
    <w:rsid w:val="00B07A5D"/>
    <w:rsid w:val="00B07CED"/>
    <w:rsid w:val="00B10114"/>
    <w:rsid w:val="00B1014B"/>
    <w:rsid w:val="00B10215"/>
    <w:rsid w:val="00B10440"/>
    <w:rsid w:val="00B104B8"/>
    <w:rsid w:val="00B1050B"/>
    <w:rsid w:val="00B108CC"/>
    <w:rsid w:val="00B10983"/>
    <w:rsid w:val="00B1098B"/>
    <w:rsid w:val="00B10B7F"/>
    <w:rsid w:val="00B10DF0"/>
    <w:rsid w:val="00B10EB7"/>
    <w:rsid w:val="00B11C00"/>
    <w:rsid w:val="00B11D85"/>
    <w:rsid w:val="00B1241A"/>
    <w:rsid w:val="00B1276C"/>
    <w:rsid w:val="00B12A10"/>
    <w:rsid w:val="00B12B14"/>
    <w:rsid w:val="00B12BB3"/>
    <w:rsid w:val="00B12D0C"/>
    <w:rsid w:val="00B12E0E"/>
    <w:rsid w:val="00B134DF"/>
    <w:rsid w:val="00B138CB"/>
    <w:rsid w:val="00B13943"/>
    <w:rsid w:val="00B13F1A"/>
    <w:rsid w:val="00B13F3A"/>
    <w:rsid w:val="00B14245"/>
    <w:rsid w:val="00B14343"/>
    <w:rsid w:val="00B14386"/>
    <w:rsid w:val="00B1441C"/>
    <w:rsid w:val="00B1463D"/>
    <w:rsid w:val="00B14AA4"/>
    <w:rsid w:val="00B14AA9"/>
    <w:rsid w:val="00B1505D"/>
    <w:rsid w:val="00B15508"/>
    <w:rsid w:val="00B156B7"/>
    <w:rsid w:val="00B1587D"/>
    <w:rsid w:val="00B15D1E"/>
    <w:rsid w:val="00B16304"/>
    <w:rsid w:val="00B16325"/>
    <w:rsid w:val="00B16562"/>
    <w:rsid w:val="00B1658C"/>
    <w:rsid w:val="00B16828"/>
    <w:rsid w:val="00B16ADF"/>
    <w:rsid w:val="00B16F70"/>
    <w:rsid w:val="00B175F3"/>
    <w:rsid w:val="00B17649"/>
    <w:rsid w:val="00B17696"/>
    <w:rsid w:val="00B1798B"/>
    <w:rsid w:val="00B17BBB"/>
    <w:rsid w:val="00B17D54"/>
    <w:rsid w:val="00B17E5D"/>
    <w:rsid w:val="00B17F2E"/>
    <w:rsid w:val="00B17F3A"/>
    <w:rsid w:val="00B17F9A"/>
    <w:rsid w:val="00B204AB"/>
    <w:rsid w:val="00B2077B"/>
    <w:rsid w:val="00B2091D"/>
    <w:rsid w:val="00B20988"/>
    <w:rsid w:val="00B20AE3"/>
    <w:rsid w:val="00B20B3F"/>
    <w:rsid w:val="00B20DC1"/>
    <w:rsid w:val="00B2139F"/>
    <w:rsid w:val="00B214B8"/>
    <w:rsid w:val="00B21862"/>
    <w:rsid w:val="00B218DE"/>
    <w:rsid w:val="00B21C9E"/>
    <w:rsid w:val="00B21DE0"/>
    <w:rsid w:val="00B22444"/>
    <w:rsid w:val="00B228A5"/>
    <w:rsid w:val="00B229AE"/>
    <w:rsid w:val="00B229F4"/>
    <w:rsid w:val="00B22E6D"/>
    <w:rsid w:val="00B2317B"/>
    <w:rsid w:val="00B233B7"/>
    <w:rsid w:val="00B233D8"/>
    <w:rsid w:val="00B23640"/>
    <w:rsid w:val="00B2368C"/>
    <w:rsid w:val="00B2388D"/>
    <w:rsid w:val="00B238FC"/>
    <w:rsid w:val="00B23D4C"/>
    <w:rsid w:val="00B23E04"/>
    <w:rsid w:val="00B23EE3"/>
    <w:rsid w:val="00B23EF1"/>
    <w:rsid w:val="00B24237"/>
    <w:rsid w:val="00B2425D"/>
    <w:rsid w:val="00B24350"/>
    <w:rsid w:val="00B245D1"/>
    <w:rsid w:val="00B24782"/>
    <w:rsid w:val="00B247BB"/>
    <w:rsid w:val="00B2490A"/>
    <w:rsid w:val="00B24D7A"/>
    <w:rsid w:val="00B25115"/>
    <w:rsid w:val="00B25404"/>
    <w:rsid w:val="00B25529"/>
    <w:rsid w:val="00B2577F"/>
    <w:rsid w:val="00B2593A"/>
    <w:rsid w:val="00B25E17"/>
    <w:rsid w:val="00B25F6D"/>
    <w:rsid w:val="00B26827"/>
    <w:rsid w:val="00B269DD"/>
    <w:rsid w:val="00B2704D"/>
    <w:rsid w:val="00B27945"/>
    <w:rsid w:val="00B27BFB"/>
    <w:rsid w:val="00B27FBF"/>
    <w:rsid w:val="00B27FC1"/>
    <w:rsid w:val="00B30078"/>
    <w:rsid w:val="00B300DC"/>
    <w:rsid w:val="00B30270"/>
    <w:rsid w:val="00B30477"/>
    <w:rsid w:val="00B305BB"/>
    <w:rsid w:val="00B30C29"/>
    <w:rsid w:val="00B30C96"/>
    <w:rsid w:val="00B30D51"/>
    <w:rsid w:val="00B30D5A"/>
    <w:rsid w:val="00B31067"/>
    <w:rsid w:val="00B31218"/>
    <w:rsid w:val="00B3131C"/>
    <w:rsid w:val="00B31445"/>
    <w:rsid w:val="00B316AD"/>
    <w:rsid w:val="00B318FE"/>
    <w:rsid w:val="00B32522"/>
    <w:rsid w:val="00B3280B"/>
    <w:rsid w:val="00B32915"/>
    <w:rsid w:val="00B32BAF"/>
    <w:rsid w:val="00B32DFA"/>
    <w:rsid w:val="00B33041"/>
    <w:rsid w:val="00B331D4"/>
    <w:rsid w:val="00B3338A"/>
    <w:rsid w:val="00B33390"/>
    <w:rsid w:val="00B335BD"/>
    <w:rsid w:val="00B3369D"/>
    <w:rsid w:val="00B337E1"/>
    <w:rsid w:val="00B33A1E"/>
    <w:rsid w:val="00B33EDE"/>
    <w:rsid w:val="00B33FBB"/>
    <w:rsid w:val="00B3412D"/>
    <w:rsid w:val="00B34402"/>
    <w:rsid w:val="00B34574"/>
    <w:rsid w:val="00B34760"/>
    <w:rsid w:val="00B347DB"/>
    <w:rsid w:val="00B3489D"/>
    <w:rsid w:val="00B34915"/>
    <w:rsid w:val="00B34A60"/>
    <w:rsid w:val="00B34B98"/>
    <w:rsid w:val="00B34C2A"/>
    <w:rsid w:val="00B34E0A"/>
    <w:rsid w:val="00B3502F"/>
    <w:rsid w:val="00B352E6"/>
    <w:rsid w:val="00B35A89"/>
    <w:rsid w:val="00B35BFD"/>
    <w:rsid w:val="00B35EF9"/>
    <w:rsid w:val="00B35F8D"/>
    <w:rsid w:val="00B360E2"/>
    <w:rsid w:val="00B36489"/>
    <w:rsid w:val="00B364B2"/>
    <w:rsid w:val="00B367F8"/>
    <w:rsid w:val="00B36AAD"/>
    <w:rsid w:val="00B37105"/>
    <w:rsid w:val="00B3779E"/>
    <w:rsid w:val="00B3781A"/>
    <w:rsid w:val="00B37AB4"/>
    <w:rsid w:val="00B37C1E"/>
    <w:rsid w:val="00B37E69"/>
    <w:rsid w:val="00B4006C"/>
    <w:rsid w:val="00B401A2"/>
    <w:rsid w:val="00B40440"/>
    <w:rsid w:val="00B405B8"/>
    <w:rsid w:val="00B405E4"/>
    <w:rsid w:val="00B406A4"/>
    <w:rsid w:val="00B40C74"/>
    <w:rsid w:val="00B40CFB"/>
    <w:rsid w:val="00B40DE7"/>
    <w:rsid w:val="00B41126"/>
    <w:rsid w:val="00B4144D"/>
    <w:rsid w:val="00B41489"/>
    <w:rsid w:val="00B415BC"/>
    <w:rsid w:val="00B419F5"/>
    <w:rsid w:val="00B41CA5"/>
    <w:rsid w:val="00B41E14"/>
    <w:rsid w:val="00B42038"/>
    <w:rsid w:val="00B420CC"/>
    <w:rsid w:val="00B423A7"/>
    <w:rsid w:val="00B42459"/>
    <w:rsid w:val="00B42469"/>
    <w:rsid w:val="00B4260E"/>
    <w:rsid w:val="00B426B5"/>
    <w:rsid w:val="00B426CA"/>
    <w:rsid w:val="00B4283E"/>
    <w:rsid w:val="00B42E23"/>
    <w:rsid w:val="00B42E8D"/>
    <w:rsid w:val="00B4307A"/>
    <w:rsid w:val="00B43142"/>
    <w:rsid w:val="00B435F9"/>
    <w:rsid w:val="00B43C8D"/>
    <w:rsid w:val="00B43E65"/>
    <w:rsid w:val="00B44B68"/>
    <w:rsid w:val="00B44C14"/>
    <w:rsid w:val="00B44F86"/>
    <w:rsid w:val="00B45224"/>
    <w:rsid w:val="00B4522B"/>
    <w:rsid w:val="00B454C2"/>
    <w:rsid w:val="00B454DD"/>
    <w:rsid w:val="00B45861"/>
    <w:rsid w:val="00B45911"/>
    <w:rsid w:val="00B4597F"/>
    <w:rsid w:val="00B45A77"/>
    <w:rsid w:val="00B45A8B"/>
    <w:rsid w:val="00B45BCB"/>
    <w:rsid w:val="00B45BEF"/>
    <w:rsid w:val="00B45F00"/>
    <w:rsid w:val="00B45FE6"/>
    <w:rsid w:val="00B4604E"/>
    <w:rsid w:val="00B46108"/>
    <w:rsid w:val="00B462F1"/>
    <w:rsid w:val="00B46367"/>
    <w:rsid w:val="00B463F6"/>
    <w:rsid w:val="00B46506"/>
    <w:rsid w:val="00B4664C"/>
    <w:rsid w:val="00B469E5"/>
    <w:rsid w:val="00B469F1"/>
    <w:rsid w:val="00B46A8F"/>
    <w:rsid w:val="00B46C3E"/>
    <w:rsid w:val="00B46E2E"/>
    <w:rsid w:val="00B46EAC"/>
    <w:rsid w:val="00B46FD0"/>
    <w:rsid w:val="00B46FF5"/>
    <w:rsid w:val="00B4749E"/>
    <w:rsid w:val="00B47B16"/>
    <w:rsid w:val="00B47D48"/>
    <w:rsid w:val="00B47DD0"/>
    <w:rsid w:val="00B47E03"/>
    <w:rsid w:val="00B5023E"/>
    <w:rsid w:val="00B507AF"/>
    <w:rsid w:val="00B50870"/>
    <w:rsid w:val="00B510DE"/>
    <w:rsid w:val="00B519FA"/>
    <w:rsid w:val="00B51BFB"/>
    <w:rsid w:val="00B51E18"/>
    <w:rsid w:val="00B51F7F"/>
    <w:rsid w:val="00B52287"/>
    <w:rsid w:val="00B5256F"/>
    <w:rsid w:val="00B526EA"/>
    <w:rsid w:val="00B52D9B"/>
    <w:rsid w:val="00B52DFF"/>
    <w:rsid w:val="00B5321F"/>
    <w:rsid w:val="00B536D3"/>
    <w:rsid w:val="00B53728"/>
    <w:rsid w:val="00B537CE"/>
    <w:rsid w:val="00B53A23"/>
    <w:rsid w:val="00B53F05"/>
    <w:rsid w:val="00B544B7"/>
    <w:rsid w:val="00B5468B"/>
    <w:rsid w:val="00B54766"/>
    <w:rsid w:val="00B54769"/>
    <w:rsid w:val="00B5476D"/>
    <w:rsid w:val="00B54C87"/>
    <w:rsid w:val="00B54FB7"/>
    <w:rsid w:val="00B54FC8"/>
    <w:rsid w:val="00B55616"/>
    <w:rsid w:val="00B55CA1"/>
    <w:rsid w:val="00B55D83"/>
    <w:rsid w:val="00B56148"/>
    <w:rsid w:val="00B56187"/>
    <w:rsid w:val="00B562EB"/>
    <w:rsid w:val="00B563DE"/>
    <w:rsid w:val="00B56A19"/>
    <w:rsid w:val="00B56D1D"/>
    <w:rsid w:val="00B57070"/>
    <w:rsid w:val="00B5711A"/>
    <w:rsid w:val="00B57452"/>
    <w:rsid w:val="00B57504"/>
    <w:rsid w:val="00B5771D"/>
    <w:rsid w:val="00B57A4C"/>
    <w:rsid w:val="00B57BE1"/>
    <w:rsid w:val="00B57C75"/>
    <w:rsid w:val="00B6001F"/>
    <w:rsid w:val="00B60351"/>
    <w:rsid w:val="00B6035A"/>
    <w:rsid w:val="00B60581"/>
    <w:rsid w:val="00B60AF8"/>
    <w:rsid w:val="00B60B08"/>
    <w:rsid w:val="00B60EA1"/>
    <w:rsid w:val="00B60F64"/>
    <w:rsid w:val="00B6106A"/>
    <w:rsid w:val="00B613E2"/>
    <w:rsid w:val="00B615DC"/>
    <w:rsid w:val="00B61DE4"/>
    <w:rsid w:val="00B61DFA"/>
    <w:rsid w:val="00B61E50"/>
    <w:rsid w:val="00B62119"/>
    <w:rsid w:val="00B6232C"/>
    <w:rsid w:val="00B623F4"/>
    <w:rsid w:val="00B62417"/>
    <w:rsid w:val="00B625E1"/>
    <w:rsid w:val="00B627FF"/>
    <w:rsid w:val="00B62870"/>
    <w:rsid w:val="00B62A2D"/>
    <w:rsid w:val="00B62FBB"/>
    <w:rsid w:val="00B6322A"/>
    <w:rsid w:val="00B6337C"/>
    <w:rsid w:val="00B63683"/>
    <w:rsid w:val="00B639D8"/>
    <w:rsid w:val="00B63BEB"/>
    <w:rsid w:val="00B63C40"/>
    <w:rsid w:val="00B64109"/>
    <w:rsid w:val="00B643A0"/>
    <w:rsid w:val="00B643CA"/>
    <w:rsid w:val="00B643FB"/>
    <w:rsid w:val="00B6463F"/>
    <w:rsid w:val="00B647AD"/>
    <w:rsid w:val="00B64928"/>
    <w:rsid w:val="00B64D4C"/>
    <w:rsid w:val="00B64FFC"/>
    <w:rsid w:val="00B653BD"/>
    <w:rsid w:val="00B65407"/>
    <w:rsid w:val="00B6577C"/>
    <w:rsid w:val="00B65B3D"/>
    <w:rsid w:val="00B65CFC"/>
    <w:rsid w:val="00B65DE5"/>
    <w:rsid w:val="00B65E34"/>
    <w:rsid w:val="00B65E45"/>
    <w:rsid w:val="00B6607C"/>
    <w:rsid w:val="00B66713"/>
    <w:rsid w:val="00B66A0C"/>
    <w:rsid w:val="00B66A5B"/>
    <w:rsid w:val="00B673CE"/>
    <w:rsid w:val="00B67584"/>
    <w:rsid w:val="00B67661"/>
    <w:rsid w:val="00B6768D"/>
    <w:rsid w:val="00B6793F"/>
    <w:rsid w:val="00B67988"/>
    <w:rsid w:val="00B67C9B"/>
    <w:rsid w:val="00B70053"/>
    <w:rsid w:val="00B7006B"/>
    <w:rsid w:val="00B7009D"/>
    <w:rsid w:val="00B7012E"/>
    <w:rsid w:val="00B7022B"/>
    <w:rsid w:val="00B705D9"/>
    <w:rsid w:val="00B70678"/>
    <w:rsid w:val="00B709A9"/>
    <w:rsid w:val="00B709D1"/>
    <w:rsid w:val="00B70BA1"/>
    <w:rsid w:val="00B70C16"/>
    <w:rsid w:val="00B70C1D"/>
    <w:rsid w:val="00B70E56"/>
    <w:rsid w:val="00B70F8E"/>
    <w:rsid w:val="00B716A5"/>
    <w:rsid w:val="00B7179D"/>
    <w:rsid w:val="00B71888"/>
    <w:rsid w:val="00B718CA"/>
    <w:rsid w:val="00B71A79"/>
    <w:rsid w:val="00B71AB2"/>
    <w:rsid w:val="00B71E1F"/>
    <w:rsid w:val="00B71E92"/>
    <w:rsid w:val="00B7228F"/>
    <w:rsid w:val="00B72639"/>
    <w:rsid w:val="00B72701"/>
    <w:rsid w:val="00B7293F"/>
    <w:rsid w:val="00B72B86"/>
    <w:rsid w:val="00B72BBA"/>
    <w:rsid w:val="00B72DA1"/>
    <w:rsid w:val="00B72F7F"/>
    <w:rsid w:val="00B7303E"/>
    <w:rsid w:val="00B73114"/>
    <w:rsid w:val="00B737A0"/>
    <w:rsid w:val="00B73B4A"/>
    <w:rsid w:val="00B73D08"/>
    <w:rsid w:val="00B73D3A"/>
    <w:rsid w:val="00B73F6A"/>
    <w:rsid w:val="00B74582"/>
    <w:rsid w:val="00B747D3"/>
    <w:rsid w:val="00B74B41"/>
    <w:rsid w:val="00B74B84"/>
    <w:rsid w:val="00B750CE"/>
    <w:rsid w:val="00B7544F"/>
    <w:rsid w:val="00B75733"/>
    <w:rsid w:val="00B757B9"/>
    <w:rsid w:val="00B7587F"/>
    <w:rsid w:val="00B75F42"/>
    <w:rsid w:val="00B76046"/>
    <w:rsid w:val="00B76C03"/>
    <w:rsid w:val="00B77305"/>
    <w:rsid w:val="00B77414"/>
    <w:rsid w:val="00B7756E"/>
    <w:rsid w:val="00B7773F"/>
    <w:rsid w:val="00B77967"/>
    <w:rsid w:val="00B77A95"/>
    <w:rsid w:val="00B77B9E"/>
    <w:rsid w:val="00B77CD0"/>
    <w:rsid w:val="00B77CD2"/>
    <w:rsid w:val="00B77D2A"/>
    <w:rsid w:val="00B77D68"/>
    <w:rsid w:val="00B77D6F"/>
    <w:rsid w:val="00B77FFC"/>
    <w:rsid w:val="00B8052D"/>
    <w:rsid w:val="00B80BAF"/>
    <w:rsid w:val="00B8180D"/>
    <w:rsid w:val="00B81AB6"/>
    <w:rsid w:val="00B81B3A"/>
    <w:rsid w:val="00B81F2B"/>
    <w:rsid w:val="00B821ED"/>
    <w:rsid w:val="00B822C6"/>
    <w:rsid w:val="00B822DF"/>
    <w:rsid w:val="00B823AC"/>
    <w:rsid w:val="00B82718"/>
    <w:rsid w:val="00B82B1C"/>
    <w:rsid w:val="00B831B3"/>
    <w:rsid w:val="00B83325"/>
    <w:rsid w:val="00B83A08"/>
    <w:rsid w:val="00B83EB6"/>
    <w:rsid w:val="00B83F5B"/>
    <w:rsid w:val="00B83F68"/>
    <w:rsid w:val="00B83FBF"/>
    <w:rsid w:val="00B83FF8"/>
    <w:rsid w:val="00B84049"/>
    <w:rsid w:val="00B841CD"/>
    <w:rsid w:val="00B84357"/>
    <w:rsid w:val="00B84630"/>
    <w:rsid w:val="00B84775"/>
    <w:rsid w:val="00B8481D"/>
    <w:rsid w:val="00B84BF9"/>
    <w:rsid w:val="00B84C81"/>
    <w:rsid w:val="00B84C86"/>
    <w:rsid w:val="00B84C94"/>
    <w:rsid w:val="00B84D1D"/>
    <w:rsid w:val="00B84D52"/>
    <w:rsid w:val="00B85405"/>
    <w:rsid w:val="00B858C8"/>
    <w:rsid w:val="00B85A00"/>
    <w:rsid w:val="00B85E0C"/>
    <w:rsid w:val="00B85F02"/>
    <w:rsid w:val="00B86084"/>
    <w:rsid w:val="00B866E1"/>
    <w:rsid w:val="00B868D9"/>
    <w:rsid w:val="00B869E8"/>
    <w:rsid w:val="00B86A43"/>
    <w:rsid w:val="00B86B88"/>
    <w:rsid w:val="00B86ED0"/>
    <w:rsid w:val="00B86F90"/>
    <w:rsid w:val="00B874F1"/>
    <w:rsid w:val="00B876EB"/>
    <w:rsid w:val="00B87739"/>
    <w:rsid w:val="00B87C68"/>
    <w:rsid w:val="00B900F4"/>
    <w:rsid w:val="00B900FC"/>
    <w:rsid w:val="00B90242"/>
    <w:rsid w:val="00B9031A"/>
    <w:rsid w:val="00B903C2"/>
    <w:rsid w:val="00B905B2"/>
    <w:rsid w:val="00B905F9"/>
    <w:rsid w:val="00B9079D"/>
    <w:rsid w:val="00B907B1"/>
    <w:rsid w:val="00B907C2"/>
    <w:rsid w:val="00B90CBF"/>
    <w:rsid w:val="00B91482"/>
    <w:rsid w:val="00B9150D"/>
    <w:rsid w:val="00B916DE"/>
    <w:rsid w:val="00B91AF7"/>
    <w:rsid w:val="00B91D56"/>
    <w:rsid w:val="00B92104"/>
    <w:rsid w:val="00B92149"/>
    <w:rsid w:val="00B92214"/>
    <w:rsid w:val="00B92227"/>
    <w:rsid w:val="00B92474"/>
    <w:rsid w:val="00B9283A"/>
    <w:rsid w:val="00B928D2"/>
    <w:rsid w:val="00B929EC"/>
    <w:rsid w:val="00B92B4E"/>
    <w:rsid w:val="00B92C38"/>
    <w:rsid w:val="00B92E1E"/>
    <w:rsid w:val="00B92F8E"/>
    <w:rsid w:val="00B93658"/>
    <w:rsid w:val="00B93721"/>
    <w:rsid w:val="00B93A88"/>
    <w:rsid w:val="00B93AF9"/>
    <w:rsid w:val="00B93B2D"/>
    <w:rsid w:val="00B93BC7"/>
    <w:rsid w:val="00B94191"/>
    <w:rsid w:val="00B9419C"/>
    <w:rsid w:val="00B9438A"/>
    <w:rsid w:val="00B94806"/>
    <w:rsid w:val="00B94A1E"/>
    <w:rsid w:val="00B94A87"/>
    <w:rsid w:val="00B94B75"/>
    <w:rsid w:val="00B94E59"/>
    <w:rsid w:val="00B9520A"/>
    <w:rsid w:val="00B95552"/>
    <w:rsid w:val="00B95826"/>
    <w:rsid w:val="00B95E50"/>
    <w:rsid w:val="00B95F93"/>
    <w:rsid w:val="00B961AB"/>
    <w:rsid w:val="00B961F1"/>
    <w:rsid w:val="00B961FD"/>
    <w:rsid w:val="00B96242"/>
    <w:rsid w:val="00B9655C"/>
    <w:rsid w:val="00B965C2"/>
    <w:rsid w:val="00B967C5"/>
    <w:rsid w:val="00B96D86"/>
    <w:rsid w:val="00B96F8D"/>
    <w:rsid w:val="00B97089"/>
    <w:rsid w:val="00B9708C"/>
    <w:rsid w:val="00B97093"/>
    <w:rsid w:val="00B97298"/>
    <w:rsid w:val="00B97CE0"/>
    <w:rsid w:val="00BA0265"/>
    <w:rsid w:val="00BA027E"/>
    <w:rsid w:val="00BA0384"/>
    <w:rsid w:val="00BA0539"/>
    <w:rsid w:val="00BA0EFD"/>
    <w:rsid w:val="00BA100F"/>
    <w:rsid w:val="00BA11B9"/>
    <w:rsid w:val="00BA1358"/>
    <w:rsid w:val="00BA138A"/>
    <w:rsid w:val="00BA1A70"/>
    <w:rsid w:val="00BA1BCC"/>
    <w:rsid w:val="00BA1E0E"/>
    <w:rsid w:val="00BA1E21"/>
    <w:rsid w:val="00BA1F34"/>
    <w:rsid w:val="00BA2031"/>
    <w:rsid w:val="00BA2978"/>
    <w:rsid w:val="00BA2A08"/>
    <w:rsid w:val="00BA2F62"/>
    <w:rsid w:val="00BA2FC1"/>
    <w:rsid w:val="00BA317C"/>
    <w:rsid w:val="00BA31EC"/>
    <w:rsid w:val="00BA3220"/>
    <w:rsid w:val="00BA333C"/>
    <w:rsid w:val="00BA33D0"/>
    <w:rsid w:val="00BA35B5"/>
    <w:rsid w:val="00BA36DE"/>
    <w:rsid w:val="00BA3784"/>
    <w:rsid w:val="00BA3789"/>
    <w:rsid w:val="00BA3DA9"/>
    <w:rsid w:val="00BA408B"/>
    <w:rsid w:val="00BA416F"/>
    <w:rsid w:val="00BA4334"/>
    <w:rsid w:val="00BA445C"/>
    <w:rsid w:val="00BA4513"/>
    <w:rsid w:val="00BA474F"/>
    <w:rsid w:val="00BA48F8"/>
    <w:rsid w:val="00BA4A52"/>
    <w:rsid w:val="00BA4F08"/>
    <w:rsid w:val="00BA5487"/>
    <w:rsid w:val="00BA5558"/>
    <w:rsid w:val="00BA55B7"/>
    <w:rsid w:val="00BA595E"/>
    <w:rsid w:val="00BA5F17"/>
    <w:rsid w:val="00BA6218"/>
    <w:rsid w:val="00BA6B6E"/>
    <w:rsid w:val="00BA6C05"/>
    <w:rsid w:val="00BA6DD3"/>
    <w:rsid w:val="00BA70D5"/>
    <w:rsid w:val="00BA727F"/>
    <w:rsid w:val="00BA7360"/>
    <w:rsid w:val="00BA7402"/>
    <w:rsid w:val="00BA762F"/>
    <w:rsid w:val="00BA7A97"/>
    <w:rsid w:val="00BA7B46"/>
    <w:rsid w:val="00BA7BAF"/>
    <w:rsid w:val="00BA7D04"/>
    <w:rsid w:val="00BB00C2"/>
    <w:rsid w:val="00BB0129"/>
    <w:rsid w:val="00BB017B"/>
    <w:rsid w:val="00BB045A"/>
    <w:rsid w:val="00BB06B8"/>
    <w:rsid w:val="00BB074E"/>
    <w:rsid w:val="00BB07F3"/>
    <w:rsid w:val="00BB0B3D"/>
    <w:rsid w:val="00BB0BEE"/>
    <w:rsid w:val="00BB106C"/>
    <w:rsid w:val="00BB10C1"/>
    <w:rsid w:val="00BB11AB"/>
    <w:rsid w:val="00BB140C"/>
    <w:rsid w:val="00BB1439"/>
    <w:rsid w:val="00BB16BE"/>
    <w:rsid w:val="00BB1B88"/>
    <w:rsid w:val="00BB1BBE"/>
    <w:rsid w:val="00BB1C96"/>
    <w:rsid w:val="00BB1E93"/>
    <w:rsid w:val="00BB24F4"/>
    <w:rsid w:val="00BB294F"/>
    <w:rsid w:val="00BB29A4"/>
    <w:rsid w:val="00BB2F01"/>
    <w:rsid w:val="00BB3158"/>
    <w:rsid w:val="00BB3390"/>
    <w:rsid w:val="00BB3574"/>
    <w:rsid w:val="00BB3943"/>
    <w:rsid w:val="00BB3996"/>
    <w:rsid w:val="00BB3B49"/>
    <w:rsid w:val="00BB4099"/>
    <w:rsid w:val="00BB42B5"/>
    <w:rsid w:val="00BB45FF"/>
    <w:rsid w:val="00BB47C8"/>
    <w:rsid w:val="00BB4AFD"/>
    <w:rsid w:val="00BB5A81"/>
    <w:rsid w:val="00BB5F10"/>
    <w:rsid w:val="00BB654D"/>
    <w:rsid w:val="00BB678C"/>
    <w:rsid w:val="00BB69EA"/>
    <w:rsid w:val="00BB7139"/>
    <w:rsid w:val="00BB75CF"/>
    <w:rsid w:val="00BB7C57"/>
    <w:rsid w:val="00BB7E3A"/>
    <w:rsid w:val="00BB7EC1"/>
    <w:rsid w:val="00BC0056"/>
    <w:rsid w:val="00BC07E9"/>
    <w:rsid w:val="00BC0807"/>
    <w:rsid w:val="00BC08FC"/>
    <w:rsid w:val="00BC156A"/>
    <w:rsid w:val="00BC16E9"/>
    <w:rsid w:val="00BC186E"/>
    <w:rsid w:val="00BC19DA"/>
    <w:rsid w:val="00BC1CB3"/>
    <w:rsid w:val="00BC206E"/>
    <w:rsid w:val="00BC23E7"/>
    <w:rsid w:val="00BC2831"/>
    <w:rsid w:val="00BC2ACF"/>
    <w:rsid w:val="00BC2DCB"/>
    <w:rsid w:val="00BC339F"/>
    <w:rsid w:val="00BC3E08"/>
    <w:rsid w:val="00BC3E13"/>
    <w:rsid w:val="00BC42F3"/>
    <w:rsid w:val="00BC4343"/>
    <w:rsid w:val="00BC458E"/>
    <w:rsid w:val="00BC4603"/>
    <w:rsid w:val="00BC4D14"/>
    <w:rsid w:val="00BC4F7B"/>
    <w:rsid w:val="00BC5266"/>
    <w:rsid w:val="00BC5309"/>
    <w:rsid w:val="00BC53E2"/>
    <w:rsid w:val="00BC5430"/>
    <w:rsid w:val="00BC561B"/>
    <w:rsid w:val="00BC5673"/>
    <w:rsid w:val="00BC56E7"/>
    <w:rsid w:val="00BC57C9"/>
    <w:rsid w:val="00BC5B1E"/>
    <w:rsid w:val="00BC5D47"/>
    <w:rsid w:val="00BC633E"/>
    <w:rsid w:val="00BC6432"/>
    <w:rsid w:val="00BC6974"/>
    <w:rsid w:val="00BC6A02"/>
    <w:rsid w:val="00BC6B89"/>
    <w:rsid w:val="00BC6D37"/>
    <w:rsid w:val="00BC6DEC"/>
    <w:rsid w:val="00BC6FEB"/>
    <w:rsid w:val="00BC74A3"/>
    <w:rsid w:val="00BC7811"/>
    <w:rsid w:val="00BC7890"/>
    <w:rsid w:val="00BC79D2"/>
    <w:rsid w:val="00BC7C3F"/>
    <w:rsid w:val="00BC7DA2"/>
    <w:rsid w:val="00BC7DEF"/>
    <w:rsid w:val="00BD011F"/>
    <w:rsid w:val="00BD023D"/>
    <w:rsid w:val="00BD06C9"/>
    <w:rsid w:val="00BD073E"/>
    <w:rsid w:val="00BD07E6"/>
    <w:rsid w:val="00BD09DF"/>
    <w:rsid w:val="00BD0FDA"/>
    <w:rsid w:val="00BD135D"/>
    <w:rsid w:val="00BD1583"/>
    <w:rsid w:val="00BD1611"/>
    <w:rsid w:val="00BD18A6"/>
    <w:rsid w:val="00BD192F"/>
    <w:rsid w:val="00BD1F64"/>
    <w:rsid w:val="00BD1FFF"/>
    <w:rsid w:val="00BD23AB"/>
    <w:rsid w:val="00BD26CF"/>
    <w:rsid w:val="00BD28DE"/>
    <w:rsid w:val="00BD2903"/>
    <w:rsid w:val="00BD2B8A"/>
    <w:rsid w:val="00BD3075"/>
    <w:rsid w:val="00BD3280"/>
    <w:rsid w:val="00BD356E"/>
    <w:rsid w:val="00BD3C50"/>
    <w:rsid w:val="00BD3E47"/>
    <w:rsid w:val="00BD42C1"/>
    <w:rsid w:val="00BD439B"/>
    <w:rsid w:val="00BD4698"/>
    <w:rsid w:val="00BD471C"/>
    <w:rsid w:val="00BD4D32"/>
    <w:rsid w:val="00BD4D7A"/>
    <w:rsid w:val="00BD5072"/>
    <w:rsid w:val="00BD5751"/>
    <w:rsid w:val="00BD5865"/>
    <w:rsid w:val="00BD5E0C"/>
    <w:rsid w:val="00BD60A6"/>
    <w:rsid w:val="00BD68AA"/>
    <w:rsid w:val="00BD6A9E"/>
    <w:rsid w:val="00BD6B8C"/>
    <w:rsid w:val="00BD6D29"/>
    <w:rsid w:val="00BD6E78"/>
    <w:rsid w:val="00BD71C5"/>
    <w:rsid w:val="00BD722D"/>
    <w:rsid w:val="00BD7294"/>
    <w:rsid w:val="00BD7388"/>
    <w:rsid w:val="00BD7533"/>
    <w:rsid w:val="00BD777A"/>
    <w:rsid w:val="00BD777F"/>
    <w:rsid w:val="00BD77EB"/>
    <w:rsid w:val="00BD786F"/>
    <w:rsid w:val="00BD7AD3"/>
    <w:rsid w:val="00BE0057"/>
    <w:rsid w:val="00BE02F0"/>
    <w:rsid w:val="00BE0326"/>
    <w:rsid w:val="00BE038E"/>
    <w:rsid w:val="00BE07B0"/>
    <w:rsid w:val="00BE08BA"/>
    <w:rsid w:val="00BE0ADB"/>
    <w:rsid w:val="00BE0F0F"/>
    <w:rsid w:val="00BE109C"/>
    <w:rsid w:val="00BE1367"/>
    <w:rsid w:val="00BE15BB"/>
    <w:rsid w:val="00BE1784"/>
    <w:rsid w:val="00BE17BF"/>
    <w:rsid w:val="00BE17E7"/>
    <w:rsid w:val="00BE1931"/>
    <w:rsid w:val="00BE1C54"/>
    <w:rsid w:val="00BE1FF2"/>
    <w:rsid w:val="00BE21BB"/>
    <w:rsid w:val="00BE2211"/>
    <w:rsid w:val="00BE2931"/>
    <w:rsid w:val="00BE2BBC"/>
    <w:rsid w:val="00BE2CC1"/>
    <w:rsid w:val="00BE2E15"/>
    <w:rsid w:val="00BE301E"/>
    <w:rsid w:val="00BE3081"/>
    <w:rsid w:val="00BE309D"/>
    <w:rsid w:val="00BE3169"/>
    <w:rsid w:val="00BE31E0"/>
    <w:rsid w:val="00BE37D2"/>
    <w:rsid w:val="00BE3B8F"/>
    <w:rsid w:val="00BE3C12"/>
    <w:rsid w:val="00BE3CE7"/>
    <w:rsid w:val="00BE4377"/>
    <w:rsid w:val="00BE450F"/>
    <w:rsid w:val="00BE4759"/>
    <w:rsid w:val="00BE4970"/>
    <w:rsid w:val="00BE4CC9"/>
    <w:rsid w:val="00BE4CFF"/>
    <w:rsid w:val="00BE5E2C"/>
    <w:rsid w:val="00BE6095"/>
    <w:rsid w:val="00BE63F1"/>
    <w:rsid w:val="00BE6F00"/>
    <w:rsid w:val="00BE6FBB"/>
    <w:rsid w:val="00BE743B"/>
    <w:rsid w:val="00BE776B"/>
    <w:rsid w:val="00BE7909"/>
    <w:rsid w:val="00BE7A85"/>
    <w:rsid w:val="00BE7C4C"/>
    <w:rsid w:val="00BF0235"/>
    <w:rsid w:val="00BF023D"/>
    <w:rsid w:val="00BF0281"/>
    <w:rsid w:val="00BF0716"/>
    <w:rsid w:val="00BF0825"/>
    <w:rsid w:val="00BF0836"/>
    <w:rsid w:val="00BF089C"/>
    <w:rsid w:val="00BF0E11"/>
    <w:rsid w:val="00BF0F21"/>
    <w:rsid w:val="00BF1394"/>
    <w:rsid w:val="00BF14EE"/>
    <w:rsid w:val="00BF17CF"/>
    <w:rsid w:val="00BF1B28"/>
    <w:rsid w:val="00BF1D73"/>
    <w:rsid w:val="00BF1EB6"/>
    <w:rsid w:val="00BF1FB5"/>
    <w:rsid w:val="00BF2041"/>
    <w:rsid w:val="00BF24AF"/>
    <w:rsid w:val="00BF27D8"/>
    <w:rsid w:val="00BF27F2"/>
    <w:rsid w:val="00BF2BF6"/>
    <w:rsid w:val="00BF2C3E"/>
    <w:rsid w:val="00BF2E62"/>
    <w:rsid w:val="00BF2F68"/>
    <w:rsid w:val="00BF30DC"/>
    <w:rsid w:val="00BF3279"/>
    <w:rsid w:val="00BF3326"/>
    <w:rsid w:val="00BF34A9"/>
    <w:rsid w:val="00BF34DD"/>
    <w:rsid w:val="00BF3565"/>
    <w:rsid w:val="00BF37E8"/>
    <w:rsid w:val="00BF3B2D"/>
    <w:rsid w:val="00BF409E"/>
    <w:rsid w:val="00BF47FD"/>
    <w:rsid w:val="00BF51A1"/>
    <w:rsid w:val="00BF59B0"/>
    <w:rsid w:val="00BF59D5"/>
    <w:rsid w:val="00BF5A17"/>
    <w:rsid w:val="00BF5C41"/>
    <w:rsid w:val="00BF5F34"/>
    <w:rsid w:val="00BF61F6"/>
    <w:rsid w:val="00BF639C"/>
    <w:rsid w:val="00BF65E2"/>
    <w:rsid w:val="00BF6BB9"/>
    <w:rsid w:val="00BF7142"/>
    <w:rsid w:val="00BF7325"/>
    <w:rsid w:val="00BF73D0"/>
    <w:rsid w:val="00BF7577"/>
    <w:rsid w:val="00BF766D"/>
    <w:rsid w:val="00BF76FF"/>
    <w:rsid w:val="00BF77E6"/>
    <w:rsid w:val="00BF7C57"/>
    <w:rsid w:val="00BF7D38"/>
    <w:rsid w:val="00BF7DFD"/>
    <w:rsid w:val="00C001C9"/>
    <w:rsid w:val="00C002A6"/>
    <w:rsid w:val="00C00306"/>
    <w:rsid w:val="00C0031E"/>
    <w:rsid w:val="00C008D6"/>
    <w:rsid w:val="00C0098B"/>
    <w:rsid w:val="00C00A05"/>
    <w:rsid w:val="00C00BB7"/>
    <w:rsid w:val="00C00D52"/>
    <w:rsid w:val="00C00EB0"/>
    <w:rsid w:val="00C01287"/>
    <w:rsid w:val="00C01310"/>
    <w:rsid w:val="00C0149A"/>
    <w:rsid w:val="00C01524"/>
    <w:rsid w:val="00C01555"/>
    <w:rsid w:val="00C0184A"/>
    <w:rsid w:val="00C0191B"/>
    <w:rsid w:val="00C01BCB"/>
    <w:rsid w:val="00C01CAC"/>
    <w:rsid w:val="00C01F41"/>
    <w:rsid w:val="00C02248"/>
    <w:rsid w:val="00C02495"/>
    <w:rsid w:val="00C0254D"/>
    <w:rsid w:val="00C025D7"/>
    <w:rsid w:val="00C02692"/>
    <w:rsid w:val="00C02AA7"/>
    <w:rsid w:val="00C02CD7"/>
    <w:rsid w:val="00C02E0F"/>
    <w:rsid w:val="00C02F34"/>
    <w:rsid w:val="00C0318D"/>
    <w:rsid w:val="00C03210"/>
    <w:rsid w:val="00C03302"/>
    <w:rsid w:val="00C03417"/>
    <w:rsid w:val="00C036F9"/>
    <w:rsid w:val="00C038B3"/>
    <w:rsid w:val="00C03CBF"/>
    <w:rsid w:val="00C040C1"/>
    <w:rsid w:val="00C0437C"/>
    <w:rsid w:val="00C043A1"/>
    <w:rsid w:val="00C04556"/>
    <w:rsid w:val="00C04756"/>
    <w:rsid w:val="00C0479F"/>
    <w:rsid w:val="00C04B10"/>
    <w:rsid w:val="00C04BC8"/>
    <w:rsid w:val="00C04E6A"/>
    <w:rsid w:val="00C05376"/>
    <w:rsid w:val="00C05426"/>
    <w:rsid w:val="00C05798"/>
    <w:rsid w:val="00C057EE"/>
    <w:rsid w:val="00C058DC"/>
    <w:rsid w:val="00C059D3"/>
    <w:rsid w:val="00C05B67"/>
    <w:rsid w:val="00C05C6B"/>
    <w:rsid w:val="00C05FED"/>
    <w:rsid w:val="00C061AF"/>
    <w:rsid w:val="00C06AC5"/>
    <w:rsid w:val="00C06F33"/>
    <w:rsid w:val="00C06FAE"/>
    <w:rsid w:val="00C0712E"/>
    <w:rsid w:val="00C0732C"/>
    <w:rsid w:val="00C073A7"/>
    <w:rsid w:val="00C075FC"/>
    <w:rsid w:val="00C07788"/>
    <w:rsid w:val="00C07BDA"/>
    <w:rsid w:val="00C07C5B"/>
    <w:rsid w:val="00C07C7E"/>
    <w:rsid w:val="00C1007A"/>
    <w:rsid w:val="00C104A4"/>
    <w:rsid w:val="00C10516"/>
    <w:rsid w:val="00C10694"/>
    <w:rsid w:val="00C10B57"/>
    <w:rsid w:val="00C10E23"/>
    <w:rsid w:val="00C11012"/>
    <w:rsid w:val="00C112E4"/>
    <w:rsid w:val="00C1132A"/>
    <w:rsid w:val="00C11807"/>
    <w:rsid w:val="00C11A86"/>
    <w:rsid w:val="00C11A8F"/>
    <w:rsid w:val="00C11AA1"/>
    <w:rsid w:val="00C11B49"/>
    <w:rsid w:val="00C11C1C"/>
    <w:rsid w:val="00C11CD7"/>
    <w:rsid w:val="00C120C6"/>
    <w:rsid w:val="00C1212A"/>
    <w:rsid w:val="00C1272E"/>
    <w:rsid w:val="00C12A7C"/>
    <w:rsid w:val="00C12AD3"/>
    <w:rsid w:val="00C12B4F"/>
    <w:rsid w:val="00C1300A"/>
    <w:rsid w:val="00C13218"/>
    <w:rsid w:val="00C13374"/>
    <w:rsid w:val="00C13406"/>
    <w:rsid w:val="00C136BD"/>
    <w:rsid w:val="00C13A42"/>
    <w:rsid w:val="00C13DC7"/>
    <w:rsid w:val="00C1466B"/>
    <w:rsid w:val="00C14956"/>
    <w:rsid w:val="00C14A20"/>
    <w:rsid w:val="00C14A55"/>
    <w:rsid w:val="00C14AF4"/>
    <w:rsid w:val="00C14E3A"/>
    <w:rsid w:val="00C1575C"/>
    <w:rsid w:val="00C157B7"/>
    <w:rsid w:val="00C1589A"/>
    <w:rsid w:val="00C15F39"/>
    <w:rsid w:val="00C16273"/>
    <w:rsid w:val="00C163F1"/>
    <w:rsid w:val="00C169E4"/>
    <w:rsid w:val="00C16A6A"/>
    <w:rsid w:val="00C16D04"/>
    <w:rsid w:val="00C16E36"/>
    <w:rsid w:val="00C16ED6"/>
    <w:rsid w:val="00C170D1"/>
    <w:rsid w:val="00C17103"/>
    <w:rsid w:val="00C17585"/>
    <w:rsid w:val="00C1758F"/>
    <w:rsid w:val="00C17805"/>
    <w:rsid w:val="00C17807"/>
    <w:rsid w:val="00C17872"/>
    <w:rsid w:val="00C17E7A"/>
    <w:rsid w:val="00C2044A"/>
    <w:rsid w:val="00C2074E"/>
    <w:rsid w:val="00C20BEE"/>
    <w:rsid w:val="00C20C0F"/>
    <w:rsid w:val="00C2138A"/>
    <w:rsid w:val="00C21596"/>
    <w:rsid w:val="00C217FE"/>
    <w:rsid w:val="00C2180E"/>
    <w:rsid w:val="00C218AC"/>
    <w:rsid w:val="00C218C4"/>
    <w:rsid w:val="00C21A87"/>
    <w:rsid w:val="00C21D74"/>
    <w:rsid w:val="00C2203E"/>
    <w:rsid w:val="00C2214A"/>
    <w:rsid w:val="00C22303"/>
    <w:rsid w:val="00C2248B"/>
    <w:rsid w:val="00C22503"/>
    <w:rsid w:val="00C226E4"/>
    <w:rsid w:val="00C227A9"/>
    <w:rsid w:val="00C2295F"/>
    <w:rsid w:val="00C22978"/>
    <w:rsid w:val="00C23001"/>
    <w:rsid w:val="00C23056"/>
    <w:rsid w:val="00C2330D"/>
    <w:rsid w:val="00C237EB"/>
    <w:rsid w:val="00C2389C"/>
    <w:rsid w:val="00C24254"/>
    <w:rsid w:val="00C247B9"/>
    <w:rsid w:val="00C2487B"/>
    <w:rsid w:val="00C248D4"/>
    <w:rsid w:val="00C24939"/>
    <w:rsid w:val="00C24ADB"/>
    <w:rsid w:val="00C2521E"/>
    <w:rsid w:val="00C2547F"/>
    <w:rsid w:val="00C25509"/>
    <w:rsid w:val="00C257F1"/>
    <w:rsid w:val="00C2583B"/>
    <w:rsid w:val="00C25A48"/>
    <w:rsid w:val="00C25B31"/>
    <w:rsid w:val="00C25D91"/>
    <w:rsid w:val="00C25FD9"/>
    <w:rsid w:val="00C26245"/>
    <w:rsid w:val="00C26486"/>
    <w:rsid w:val="00C2692A"/>
    <w:rsid w:val="00C26982"/>
    <w:rsid w:val="00C26FAE"/>
    <w:rsid w:val="00C27474"/>
    <w:rsid w:val="00C2767E"/>
    <w:rsid w:val="00C278C9"/>
    <w:rsid w:val="00C27A7B"/>
    <w:rsid w:val="00C27B0B"/>
    <w:rsid w:val="00C27C17"/>
    <w:rsid w:val="00C301FE"/>
    <w:rsid w:val="00C3039C"/>
    <w:rsid w:val="00C305F8"/>
    <w:rsid w:val="00C30AE1"/>
    <w:rsid w:val="00C30B0C"/>
    <w:rsid w:val="00C30B40"/>
    <w:rsid w:val="00C30F33"/>
    <w:rsid w:val="00C31030"/>
    <w:rsid w:val="00C310AD"/>
    <w:rsid w:val="00C310DB"/>
    <w:rsid w:val="00C3113B"/>
    <w:rsid w:val="00C31A42"/>
    <w:rsid w:val="00C31F6F"/>
    <w:rsid w:val="00C321D3"/>
    <w:rsid w:val="00C3256F"/>
    <w:rsid w:val="00C328A3"/>
    <w:rsid w:val="00C32E2A"/>
    <w:rsid w:val="00C32F12"/>
    <w:rsid w:val="00C332D3"/>
    <w:rsid w:val="00C334FC"/>
    <w:rsid w:val="00C3350C"/>
    <w:rsid w:val="00C33789"/>
    <w:rsid w:val="00C33862"/>
    <w:rsid w:val="00C3390F"/>
    <w:rsid w:val="00C33954"/>
    <w:rsid w:val="00C33AA5"/>
    <w:rsid w:val="00C33CE6"/>
    <w:rsid w:val="00C33D60"/>
    <w:rsid w:val="00C33E23"/>
    <w:rsid w:val="00C33F2E"/>
    <w:rsid w:val="00C344A4"/>
    <w:rsid w:val="00C346E6"/>
    <w:rsid w:val="00C347B7"/>
    <w:rsid w:val="00C34AAF"/>
    <w:rsid w:val="00C351BE"/>
    <w:rsid w:val="00C3531C"/>
    <w:rsid w:val="00C3574C"/>
    <w:rsid w:val="00C358FD"/>
    <w:rsid w:val="00C359BB"/>
    <w:rsid w:val="00C35A48"/>
    <w:rsid w:val="00C35AC6"/>
    <w:rsid w:val="00C35BFE"/>
    <w:rsid w:val="00C35D0C"/>
    <w:rsid w:val="00C35D6D"/>
    <w:rsid w:val="00C35EED"/>
    <w:rsid w:val="00C360B5"/>
    <w:rsid w:val="00C3650D"/>
    <w:rsid w:val="00C36A9D"/>
    <w:rsid w:val="00C36DE3"/>
    <w:rsid w:val="00C3709D"/>
    <w:rsid w:val="00C375EC"/>
    <w:rsid w:val="00C37644"/>
    <w:rsid w:val="00C3772A"/>
    <w:rsid w:val="00C37A86"/>
    <w:rsid w:val="00C4021C"/>
    <w:rsid w:val="00C40417"/>
    <w:rsid w:val="00C405A0"/>
    <w:rsid w:val="00C405CF"/>
    <w:rsid w:val="00C40703"/>
    <w:rsid w:val="00C4094D"/>
    <w:rsid w:val="00C40AA9"/>
    <w:rsid w:val="00C40C95"/>
    <w:rsid w:val="00C40C9B"/>
    <w:rsid w:val="00C41052"/>
    <w:rsid w:val="00C4107C"/>
    <w:rsid w:val="00C41401"/>
    <w:rsid w:val="00C41440"/>
    <w:rsid w:val="00C41492"/>
    <w:rsid w:val="00C416FC"/>
    <w:rsid w:val="00C419F9"/>
    <w:rsid w:val="00C41BBE"/>
    <w:rsid w:val="00C421D9"/>
    <w:rsid w:val="00C422EF"/>
    <w:rsid w:val="00C42391"/>
    <w:rsid w:val="00C42769"/>
    <w:rsid w:val="00C429BC"/>
    <w:rsid w:val="00C42C36"/>
    <w:rsid w:val="00C42E58"/>
    <w:rsid w:val="00C42F30"/>
    <w:rsid w:val="00C42F89"/>
    <w:rsid w:val="00C43297"/>
    <w:rsid w:val="00C433A6"/>
    <w:rsid w:val="00C4353F"/>
    <w:rsid w:val="00C435E5"/>
    <w:rsid w:val="00C43C00"/>
    <w:rsid w:val="00C43C80"/>
    <w:rsid w:val="00C44098"/>
    <w:rsid w:val="00C4413D"/>
    <w:rsid w:val="00C449CA"/>
    <w:rsid w:val="00C44B32"/>
    <w:rsid w:val="00C44B83"/>
    <w:rsid w:val="00C451D7"/>
    <w:rsid w:val="00C451DA"/>
    <w:rsid w:val="00C45221"/>
    <w:rsid w:val="00C45733"/>
    <w:rsid w:val="00C45863"/>
    <w:rsid w:val="00C458F4"/>
    <w:rsid w:val="00C45B42"/>
    <w:rsid w:val="00C45C15"/>
    <w:rsid w:val="00C45EFD"/>
    <w:rsid w:val="00C45FB7"/>
    <w:rsid w:val="00C462B6"/>
    <w:rsid w:val="00C463C0"/>
    <w:rsid w:val="00C46CC4"/>
    <w:rsid w:val="00C46FC3"/>
    <w:rsid w:val="00C475C5"/>
    <w:rsid w:val="00C47858"/>
    <w:rsid w:val="00C47AB1"/>
    <w:rsid w:val="00C47AEA"/>
    <w:rsid w:val="00C47DA0"/>
    <w:rsid w:val="00C47DAC"/>
    <w:rsid w:val="00C47F4B"/>
    <w:rsid w:val="00C50123"/>
    <w:rsid w:val="00C501AC"/>
    <w:rsid w:val="00C50225"/>
    <w:rsid w:val="00C50A5D"/>
    <w:rsid w:val="00C50B2E"/>
    <w:rsid w:val="00C50B49"/>
    <w:rsid w:val="00C50D52"/>
    <w:rsid w:val="00C50DCA"/>
    <w:rsid w:val="00C50E02"/>
    <w:rsid w:val="00C50FCA"/>
    <w:rsid w:val="00C512D2"/>
    <w:rsid w:val="00C5156C"/>
    <w:rsid w:val="00C5203F"/>
    <w:rsid w:val="00C52397"/>
    <w:rsid w:val="00C52517"/>
    <w:rsid w:val="00C52676"/>
    <w:rsid w:val="00C52962"/>
    <w:rsid w:val="00C5296A"/>
    <w:rsid w:val="00C52ACD"/>
    <w:rsid w:val="00C52BF9"/>
    <w:rsid w:val="00C52E08"/>
    <w:rsid w:val="00C530FC"/>
    <w:rsid w:val="00C53313"/>
    <w:rsid w:val="00C5359C"/>
    <w:rsid w:val="00C535F4"/>
    <w:rsid w:val="00C53A32"/>
    <w:rsid w:val="00C53AE2"/>
    <w:rsid w:val="00C53B60"/>
    <w:rsid w:val="00C53F96"/>
    <w:rsid w:val="00C54092"/>
    <w:rsid w:val="00C5437B"/>
    <w:rsid w:val="00C546E6"/>
    <w:rsid w:val="00C54705"/>
    <w:rsid w:val="00C54978"/>
    <w:rsid w:val="00C54A91"/>
    <w:rsid w:val="00C54C2E"/>
    <w:rsid w:val="00C55030"/>
    <w:rsid w:val="00C550FD"/>
    <w:rsid w:val="00C55434"/>
    <w:rsid w:val="00C556A0"/>
    <w:rsid w:val="00C55707"/>
    <w:rsid w:val="00C55A89"/>
    <w:rsid w:val="00C55C5D"/>
    <w:rsid w:val="00C55CD6"/>
    <w:rsid w:val="00C55D16"/>
    <w:rsid w:val="00C55DF5"/>
    <w:rsid w:val="00C55F9C"/>
    <w:rsid w:val="00C560C8"/>
    <w:rsid w:val="00C568DA"/>
    <w:rsid w:val="00C5691A"/>
    <w:rsid w:val="00C56A4B"/>
    <w:rsid w:val="00C56D5C"/>
    <w:rsid w:val="00C570E6"/>
    <w:rsid w:val="00C5712A"/>
    <w:rsid w:val="00C571CA"/>
    <w:rsid w:val="00C574A9"/>
    <w:rsid w:val="00C5779D"/>
    <w:rsid w:val="00C579AB"/>
    <w:rsid w:val="00C57C50"/>
    <w:rsid w:val="00C57C54"/>
    <w:rsid w:val="00C57CB8"/>
    <w:rsid w:val="00C57F1F"/>
    <w:rsid w:val="00C60355"/>
    <w:rsid w:val="00C60373"/>
    <w:rsid w:val="00C60483"/>
    <w:rsid w:val="00C606D8"/>
    <w:rsid w:val="00C608AF"/>
    <w:rsid w:val="00C608FA"/>
    <w:rsid w:val="00C60AE0"/>
    <w:rsid w:val="00C615CB"/>
    <w:rsid w:val="00C61603"/>
    <w:rsid w:val="00C616D2"/>
    <w:rsid w:val="00C6171E"/>
    <w:rsid w:val="00C619B0"/>
    <w:rsid w:val="00C61A72"/>
    <w:rsid w:val="00C61AA9"/>
    <w:rsid w:val="00C61CE1"/>
    <w:rsid w:val="00C61FC0"/>
    <w:rsid w:val="00C620D8"/>
    <w:rsid w:val="00C622C6"/>
    <w:rsid w:val="00C627F7"/>
    <w:rsid w:val="00C6287B"/>
    <w:rsid w:val="00C62B1E"/>
    <w:rsid w:val="00C62E20"/>
    <w:rsid w:val="00C62E5B"/>
    <w:rsid w:val="00C62F55"/>
    <w:rsid w:val="00C62F6A"/>
    <w:rsid w:val="00C6312D"/>
    <w:rsid w:val="00C633F2"/>
    <w:rsid w:val="00C636AD"/>
    <w:rsid w:val="00C637BF"/>
    <w:rsid w:val="00C63A44"/>
    <w:rsid w:val="00C63D4E"/>
    <w:rsid w:val="00C63EB8"/>
    <w:rsid w:val="00C63EEB"/>
    <w:rsid w:val="00C64367"/>
    <w:rsid w:val="00C643E4"/>
    <w:rsid w:val="00C647DD"/>
    <w:rsid w:val="00C64DDA"/>
    <w:rsid w:val="00C64DE5"/>
    <w:rsid w:val="00C64EB7"/>
    <w:rsid w:val="00C655F9"/>
    <w:rsid w:val="00C6578A"/>
    <w:rsid w:val="00C6593E"/>
    <w:rsid w:val="00C65944"/>
    <w:rsid w:val="00C659E2"/>
    <w:rsid w:val="00C65D38"/>
    <w:rsid w:val="00C662C7"/>
    <w:rsid w:val="00C66303"/>
    <w:rsid w:val="00C6684B"/>
    <w:rsid w:val="00C66BB3"/>
    <w:rsid w:val="00C66E38"/>
    <w:rsid w:val="00C670CE"/>
    <w:rsid w:val="00C67377"/>
    <w:rsid w:val="00C67936"/>
    <w:rsid w:val="00C67AB8"/>
    <w:rsid w:val="00C67B3D"/>
    <w:rsid w:val="00C67EA2"/>
    <w:rsid w:val="00C70280"/>
    <w:rsid w:val="00C70416"/>
    <w:rsid w:val="00C7044A"/>
    <w:rsid w:val="00C709CD"/>
    <w:rsid w:val="00C70A2A"/>
    <w:rsid w:val="00C70B15"/>
    <w:rsid w:val="00C715B5"/>
    <w:rsid w:val="00C7168B"/>
    <w:rsid w:val="00C718BB"/>
    <w:rsid w:val="00C71B9F"/>
    <w:rsid w:val="00C71CBB"/>
    <w:rsid w:val="00C71EA7"/>
    <w:rsid w:val="00C72055"/>
    <w:rsid w:val="00C72447"/>
    <w:rsid w:val="00C72B38"/>
    <w:rsid w:val="00C72BE9"/>
    <w:rsid w:val="00C72CC6"/>
    <w:rsid w:val="00C72FBC"/>
    <w:rsid w:val="00C732A8"/>
    <w:rsid w:val="00C73364"/>
    <w:rsid w:val="00C734AC"/>
    <w:rsid w:val="00C73AB2"/>
    <w:rsid w:val="00C74827"/>
    <w:rsid w:val="00C74B49"/>
    <w:rsid w:val="00C74B70"/>
    <w:rsid w:val="00C75355"/>
    <w:rsid w:val="00C7580C"/>
    <w:rsid w:val="00C758F7"/>
    <w:rsid w:val="00C75916"/>
    <w:rsid w:val="00C75B51"/>
    <w:rsid w:val="00C75D84"/>
    <w:rsid w:val="00C761B0"/>
    <w:rsid w:val="00C765B7"/>
    <w:rsid w:val="00C76E4F"/>
    <w:rsid w:val="00C77097"/>
    <w:rsid w:val="00C779FB"/>
    <w:rsid w:val="00C77EDF"/>
    <w:rsid w:val="00C8007F"/>
    <w:rsid w:val="00C800FF"/>
    <w:rsid w:val="00C801C0"/>
    <w:rsid w:val="00C80D80"/>
    <w:rsid w:val="00C81005"/>
    <w:rsid w:val="00C8103B"/>
    <w:rsid w:val="00C81112"/>
    <w:rsid w:val="00C81437"/>
    <w:rsid w:val="00C815EE"/>
    <w:rsid w:val="00C816F2"/>
    <w:rsid w:val="00C8191E"/>
    <w:rsid w:val="00C8195A"/>
    <w:rsid w:val="00C8199B"/>
    <w:rsid w:val="00C81D51"/>
    <w:rsid w:val="00C81E46"/>
    <w:rsid w:val="00C81FB2"/>
    <w:rsid w:val="00C82123"/>
    <w:rsid w:val="00C82663"/>
    <w:rsid w:val="00C82BC4"/>
    <w:rsid w:val="00C830D8"/>
    <w:rsid w:val="00C83584"/>
    <w:rsid w:val="00C839B3"/>
    <w:rsid w:val="00C83D75"/>
    <w:rsid w:val="00C83F44"/>
    <w:rsid w:val="00C8424B"/>
    <w:rsid w:val="00C849C7"/>
    <w:rsid w:val="00C84BF7"/>
    <w:rsid w:val="00C84C72"/>
    <w:rsid w:val="00C84CFB"/>
    <w:rsid w:val="00C84FAF"/>
    <w:rsid w:val="00C84FCE"/>
    <w:rsid w:val="00C85050"/>
    <w:rsid w:val="00C85141"/>
    <w:rsid w:val="00C856D6"/>
    <w:rsid w:val="00C8592A"/>
    <w:rsid w:val="00C859F9"/>
    <w:rsid w:val="00C85B4B"/>
    <w:rsid w:val="00C85CD2"/>
    <w:rsid w:val="00C85D5C"/>
    <w:rsid w:val="00C85E05"/>
    <w:rsid w:val="00C8609E"/>
    <w:rsid w:val="00C861B2"/>
    <w:rsid w:val="00C8627B"/>
    <w:rsid w:val="00C864C4"/>
    <w:rsid w:val="00C86B42"/>
    <w:rsid w:val="00C8701D"/>
    <w:rsid w:val="00C871AC"/>
    <w:rsid w:val="00C873C0"/>
    <w:rsid w:val="00C87701"/>
    <w:rsid w:val="00C877EB"/>
    <w:rsid w:val="00C87BC2"/>
    <w:rsid w:val="00C87C04"/>
    <w:rsid w:val="00C87ED6"/>
    <w:rsid w:val="00C87F0F"/>
    <w:rsid w:val="00C903F9"/>
    <w:rsid w:val="00C9044E"/>
    <w:rsid w:val="00C90687"/>
    <w:rsid w:val="00C90A5F"/>
    <w:rsid w:val="00C90A8B"/>
    <w:rsid w:val="00C90B44"/>
    <w:rsid w:val="00C90C20"/>
    <w:rsid w:val="00C90E17"/>
    <w:rsid w:val="00C90E2F"/>
    <w:rsid w:val="00C91328"/>
    <w:rsid w:val="00C916B6"/>
    <w:rsid w:val="00C916BD"/>
    <w:rsid w:val="00C917C0"/>
    <w:rsid w:val="00C919F3"/>
    <w:rsid w:val="00C91AFC"/>
    <w:rsid w:val="00C91AFF"/>
    <w:rsid w:val="00C91D3E"/>
    <w:rsid w:val="00C91D4C"/>
    <w:rsid w:val="00C91E32"/>
    <w:rsid w:val="00C920C0"/>
    <w:rsid w:val="00C922E5"/>
    <w:rsid w:val="00C9238B"/>
    <w:rsid w:val="00C92525"/>
    <w:rsid w:val="00C92967"/>
    <w:rsid w:val="00C92A42"/>
    <w:rsid w:val="00C92AB3"/>
    <w:rsid w:val="00C92BD4"/>
    <w:rsid w:val="00C92DC7"/>
    <w:rsid w:val="00C931D1"/>
    <w:rsid w:val="00C93222"/>
    <w:rsid w:val="00C932F2"/>
    <w:rsid w:val="00C9348A"/>
    <w:rsid w:val="00C9384F"/>
    <w:rsid w:val="00C93EFF"/>
    <w:rsid w:val="00C9439B"/>
    <w:rsid w:val="00C9459C"/>
    <w:rsid w:val="00C9493B"/>
    <w:rsid w:val="00C949AB"/>
    <w:rsid w:val="00C94A24"/>
    <w:rsid w:val="00C94A39"/>
    <w:rsid w:val="00C94B98"/>
    <w:rsid w:val="00C94BB9"/>
    <w:rsid w:val="00C94CCA"/>
    <w:rsid w:val="00C95216"/>
    <w:rsid w:val="00C957D9"/>
    <w:rsid w:val="00C95E47"/>
    <w:rsid w:val="00C95EBC"/>
    <w:rsid w:val="00C9610F"/>
    <w:rsid w:val="00C962FD"/>
    <w:rsid w:val="00C9641C"/>
    <w:rsid w:val="00C96585"/>
    <w:rsid w:val="00C965C8"/>
    <w:rsid w:val="00C967FE"/>
    <w:rsid w:val="00C9684C"/>
    <w:rsid w:val="00C9695A"/>
    <w:rsid w:val="00C96B4F"/>
    <w:rsid w:val="00C96C89"/>
    <w:rsid w:val="00C96F99"/>
    <w:rsid w:val="00C970F2"/>
    <w:rsid w:val="00C97186"/>
    <w:rsid w:val="00C97A12"/>
    <w:rsid w:val="00C97C47"/>
    <w:rsid w:val="00C97FF7"/>
    <w:rsid w:val="00CA01F5"/>
    <w:rsid w:val="00CA03CC"/>
    <w:rsid w:val="00CA0502"/>
    <w:rsid w:val="00CA06D1"/>
    <w:rsid w:val="00CA0A3E"/>
    <w:rsid w:val="00CA0D9C"/>
    <w:rsid w:val="00CA0E49"/>
    <w:rsid w:val="00CA1042"/>
    <w:rsid w:val="00CA10A6"/>
    <w:rsid w:val="00CA1826"/>
    <w:rsid w:val="00CA1B6F"/>
    <w:rsid w:val="00CA207A"/>
    <w:rsid w:val="00CA24B5"/>
    <w:rsid w:val="00CA287B"/>
    <w:rsid w:val="00CA29FA"/>
    <w:rsid w:val="00CA2FA1"/>
    <w:rsid w:val="00CA32CB"/>
    <w:rsid w:val="00CA3762"/>
    <w:rsid w:val="00CA3AC1"/>
    <w:rsid w:val="00CA3B9C"/>
    <w:rsid w:val="00CA3D50"/>
    <w:rsid w:val="00CA3D8C"/>
    <w:rsid w:val="00CA3EF2"/>
    <w:rsid w:val="00CA4151"/>
    <w:rsid w:val="00CA43A7"/>
    <w:rsid w:val="00CA45A0"/>
    <w:rsid w:val="00CA4848"/>
    <w:rsid w:val="00CA4A82"/>
    <w:rsid w:val="00CA4B1D"/>
    <w:rsid w:val="00CA4B21"/>
    <w:rsid w:val="00CA4B89"/>
    <w:rsid w:val="00CA4DD5"/>
    <w:rsid w:val="00CA545D"/>
    <w:rsid w:val="00CA55D7"/>
    <w:rsid w:val="00CA5788"/>
    <w:rsid w:val="00CA5888"/>
    <w:rsid w:val="00CA5906"/>
    <w:rsid w:val="00CA5AB0"/>
    <w:rsid w:val="00CA5B47"/>
    <w:rsid w:val="00CA6249"/>
    <w:rsid w:val="00CA676F"/>
    <w:rsid w:val="00CA682B"/>
    <w:rsid w:val="00CA6951"/>
    <w:rsid w:val="00CA6B2D"/>
    <w:rsid w:val="00CA6D47"/>
    <w:rsid w:val="00CA6DEA"/>
    <w:rsid w:val="00CA723F"/>
    <w:rsid w:val="00CA7253"/>
    <w:rsid w:val="00CA73E9"/>
    <w:rsid w:val="00CA76E0"/>
    <w:rsid w:val="00CA7BCD"/>
    <w:rsid w:val="00CA7C70"/>
    <w:rsid w:val="00CA7F47"/>
    <w:rsid w:val="00CB044C"/>
    <w:rsid w:val="00CB10CA"/>
    <w:rsid w:val="00CB15C6"/>
    <w:rsid w:val="00CB21FE"/>
    <w:rsid w:val="00CB22E0"/>
    <w:rsid w:val="00CB2696"/>
    <w:rsid w:val="00CB282F"/>
    <w:rsid w:val="00CB28FF"/>
    <w:rsid w:val="00CB2A49"/>
    <w:rsid w:val="00CB2EED"/>
    <w:rsid w:val="00CB3274"/>
    <w:rsid w:val="00CB3666"/>
    <w:rsid w:val="00CB3BA3"/>
    <w:rsid w:val="00CB412A"/>
    <w:rsid w:val="00CB4205"/>
    <w:rsid w:val="00CB42BD"/>
    <w:rsid w:val="00CB4A1F"/>
    <w:rsid w:val="00CB4BF5"/>
    <w:rsid w:val="00CB518F"/>
    <w:rsid w:val="00CB51E0"/>
    <w:rsid w:val="00CB540B"/>
    <w:rsid w:val="00CB55CA"/>
    <w:rsid w:val="00CB5614"/>
    <w:rsid w:val="00CB57B0"/>
    <w:rsid w:val="00CB58D5"/>
    <w:rsid w:val="00CB59EF"/>
    <w:rsid w:val="00CB5ACC"/>
    <w:rsid w:val="00CB5E98"/>
    <w:rsid w:val="00CB6229"/>
    <w:rsid w:val="00CB635F"/>
    <w:rsid w:val="00CB6389"/>
    <w:rsid w:val="00CB6497"/>
    <w:rsid w:val="00CB6777"/>
    <w:rsid w:val="00CB67B8"/>
    <w:rsid w:val="00CB6A98"/>
    <w:rsid w:val="00CB6A9E"/>
    <w:rsid w:val="00CB6E9C"/>
    <w:rsid w:val="00CB6F88"/>
    <w:rsid w:val="00CB7480"/>
    <w:rsid w:val="00CB7609"/>
    <w:rsid w:val="00CB7C25"/>
    <w:rsid w:val="00CC012C"/>
    <w:rsid w:val="00CC06BC"/>
    <w:rsid w:val="00CC0784"/>
    <w:rsid w:val="00CC0829"/>
    <w:rsid w:val="00CC095D"/>
    <w:rsid w:val="00CC0AF8"/>
    <w:rsid w:val="00CC0D66"/>
    <w:rsid w:val="00CC0F65"/>
    <w:rsid w:val="00CC0F82"/>
    <w:rsid w:val="00CC1041"/>
    <w:rsid w:val="00CC1057"/>
    <w:rsid w:val="00CC108D"/>
    <w:rsid w:val="00CC194F"/>
    <w:rsid w:val="00CC19FF"/>
    <w:rsid w:val="00CC1BC4"/>
    <w:rsid w:val="00CC1BF9"/>
    <w:rsid w:val="00CC1C69"/>
    <w:rsid w:val="00CC1D59"/>
    <w:rsid w:val="00CC1D92"/>
    <w:rsid w:val="00CC20CC"/>
    <w:rsid w:val="00CC216D"/>
    <w:rsid w:val="00CC2A2E"/>
    <w:rsid w:val="00CC2D55"/>
    <w:rsid w:val="00CC2E0D"/>
    <w:rsid w:val="00CC2E16"/>
    <w:rsid w:val="00CC3012"/>
    <w:rsid w:val="00CC33C1"/>
    <w:rsid w:val="00CC34B2"/>
    <w:rsid w:val="00CC375C"/>
    <w:rsid w:val="00CC3C30"/>
    <w:rsid w:val="00CC3C3A"/>
    <w:rsid w:val="00CC3FEB"/>
    <w:rsid w:val="00CC3FF1"/>
    <w:rsid w:val="00CC4176"/>
    <w:rsid w:val="00CC46D4"/>
    <w:rsid w:val="00CC4E19"/>
    <w:rsid w:val="00CC52D1"/>
    <w:rsid w:val="00CC55F2"/>
    <w:rsid w:val="00CC5706"/>
    <w:rsid w:val="00CC5835"/>
    <w:rsid w:val="00CC58E9"/>
    <w:rsid w:val="00CC5902"/>
    <w:rsid w:val="00CC59BC"/>
    <w:rsid w:val="00CC6210"/>
    <w:rsid w:val="00CC621A"/>
    <w:rsid w:val="00CC6528"/>
    <w:rsid w:val="00CC692A"/>
    <w:rsid w:val="00CC6A99"/>
    <w:rsid w:val="00CC6E25"/>
    <w:rsid w:val="00CC6EC9"/>
    <w:rsid w:val="00CC74B7"/>
    <w:rsid w:val="00CC772B"/>
    <w:rsid w:val="00CC7764"/>
    <w:rsid w:val="00CC7775"/>
    <w:rsid w:val="00CC7902"/>
    <w:rsid w:val="00CC79D3"/>
    <w:rsid w:val="00CC7C17"/>
    <w:rsid w:val="00CC7DE7"/>
    <w:rsid w:val="00CD00A5"/>
    <w:rsid w:val="00CD00D4"/>
    <w:rsid w:val="00CD03DC"/>
    <w:rsid w:val="00CD0504"/>
    <w:rsid w:val="00CD0A21"/>
    <w:rsid w:val="00CD0A95"/>
    <w:rsid w:val="00CD0C83"/>
    <w:rsid w:val="00CD0D38"/>
    <w:rsid w:val="00CD0E4A"/>
    <w:rsid w:val="00CD0FC1"/>
    <w:rsid w:val="00CD14BD"/>
    <w:rsid w:val="00CD14D3"/>
    <w:rsid w:val="00CD1659"/>
    <w:rsid w:val="00CD19F4"/>
    <w:rsid w:val="00CD1E28"/>
    <w:rsid w:val="00CD207A"/>
    <w:rsid w:val="00CD2378"/>
    <w:rsid w:val="00CD24A0"/>
    <w:rsid w:val="00CD2720"/>
    <w:rsid w:val="00CD2910"/>
    <w:rsid w:val="00CD295E"/>
    <w:rsid w:val="00CD29EE"/>
    <w:rsid w:val="00CD2B5D"/>
    <w:rsid w:val="00CD2DEE"/>
    <w:rsid w:val="00CD30AA"/>
    <w:rsid w:val="00CD368B"/>
    <w:rsid w:val="00CD3F09"/>
    <w:rsid w:val="00CD4050"/>
    <w:rsid w:val="00CD4123"/>
    <w:rsid w:val="00CD4163"/>
    <w:rsid w:val="00CD41A1"/>
    <w:rsid w:val="00CD4308"/>
    <w:rsid w:val="00CD431F"/>
    <w:rsid w:val="00CD46AD"/>
    <w:rsid w:val="00CD4756"/>
    <w:rsid w:val="00CD4AFC"/>
    <w:rsid w:val="00CD515C"/>
    <w:rsid w:val="00CD5436"/>
    <w:rsid w:val="00CD583F"/>
    <w:rsid w:val="00CD58AC"/>
    <w:rsid w:val="00CD5972"/>
    <w:rsid w:val="00CD5A5A"/>
    <w:rsid w:val="00CD5AE7"/>
    <w:rsid w:val="00CD5B49"/>
    <w:rsid w:val="00CD5C2A"/>
    <w:rsid w:val="00CD5D62"/>
    <w:rsid w:val="00CD6184"/>
    <w:rsid w:val="00CD622A"/>
    <w:rsid w:val="00CD64EE"/>
    <w:rsid w:val="00CD66CD"/>
    <w:rsid w:val="00CD697B"/>
    <w:rsid w:val="00CD6EF6"/>
    <w:rsid w:val="00CD70EA"/>
    <w:rsid w:val="00CD7495"/>
    <w:rsid w:val="00CD77D9"/>
    <w:rsid w:val="00CD78F3"/>
    <w:rsid w:val="00CD7AC1"/>
    <w:rsid w:val="00CD7F21"/>
    <w:rsid w:val="00CE0055"/>
    <w:rsid w:val="00CE00A0"/>
    <w:rsid w:val="00CE0356"/>
    <w:rsid w:val="00CE03EB"/>
    <w:rsid w:val="00CE0410"/>
    <w:rsid w:val="00CE05FF"/>
    <w:rsid w:val="00CE07B1"/>
    <w:rsid w:val="00CE0A76"/>
    <w:rsid w:val="00CE11EC"/>
    <w:rsid w:val="00CE1695"/>
    <w:rsid w:val="00CE190B"/>
    <w:rsid w:val="00CE1991"/>
    <w:rsid w:val="00CE19B4"/>
    <w:rsid w:val="00CE1C6E"/>
    <w:rsid w:val="00CE1F03"/>
    <w:rsid w:val="00CE2194"/>
    <w:rsid w:val="00CE2338"/>
    <w:rsid w:val="00CE236E"/>
    <w:rsid w:val="00CE2515"/>
    <w:rsid w:val="00CE255A"/>
    <w:rsid w:val="00CE31A5"/>
    <w:rsid w:val="00CE35CB"/>
    <w:rsid w:val="00CE3799"/>
    <w:rsid w:val="00CE3A17"/>
    <w:rsid w:val="00CE3D2D"/>
    <w:rsid w:val="00CE3DD3"/>
    <w:rsid w:val="00CE3F3B"/>
    <w:rsid w:val="00CE3F78"/>
    <w:rsid w:val="00CE436E"/>
    <w:rsid w:val="00CE463B"/>
    <w:rsid w:val="00CE4981"/>
    <w:rsid w:val="00CE4EB9"/>
    <w:rsid w:val="00CE52BB"/>
    <w:rsid w:val="00CE53CC"/>
    <w:rsid w:val="00CE5590"/>
    <w:rsid w:val="00CE5B3B"/>
    <w:rsid w:val="00CE5C7B"/>
    <w:rsid w:val="00CE610D"/>
    <w:rsid w:val="00CE613B"/>
    <w:rsid w:val="00CE6670"/>
    <w:rsid w:val="00CE6818"/>
    <w:rsid w:val="00CE687A"/>
    <w:rsid w:val="00CE68A2"/>
    <w:rsid w:val="00CE6919"/>
    <w:rsid w:val="00CE6ECB"/>
    <w:rsid w:val="00CE7215"/>
    <w:rsid w:val="00CE74CB"/>
    <w:rsid w:val="00CE76BC"/>
    <w:rsid w:val="00CE77E5"/>
    <w:rsid w:val="00CE7AC7"/>
    <w:rsid w:val="00CF0232"/>
    <w:rsid w:val="00CF04FA"/>
    <w:rsid w:val="00CF06FE"/>
    <w:rsid w:val="00CF0762"/>
    <w:rsid w:val="00CF0848"/>
    <w:rsid w:val="00CF08CB"/>
    <w:rsid w:val="00CF0D19"/>
    <w:rsid w:val="00CF0DA1"/>
    <w:rsid w:val="00CF15F5"/>
    <w:rsid w:val="00CF1663"/>
    <w:rsid w:val="00CF1722"/>
    <w:rsid w:val="00CF174F"/>
    <w:rsid w:val="00CF175D"/>
    <w:rsid w:val="00CF17B6"/>
    <w:rsid w:val="00CF1850"/>
    <w:rsid w:val="00CF19B6"/>
    <w:rsid w:val="00CF1B8E"/>
    <w:rsid w:val="00CF1CAE"/>
    <w:rsid w:val="00CF1DFA"/>
    <w:rsid w:val="00CF1E2D"/>
    <w:rsid w:val="00CF219F"/>
    <w:rsid w:val="00CF2343"/>
    <w:rsid w:val="00CF2429"/>
    <w:rsid w:val="00CF288F"/>
    <w:rsid w:val="00CF29DE"/>
    <w:rsid w:val="00CF29F2"/>
    <w:rsid w:val="00CF2B92"/>
    <w:rsid w:val="00CF2D6B"/>
    <w:rsid w:val="00CF2EC8"/>
    <w:rsid w:val="00CF2F50"/>
    <w:rsid w:val="00CF2F5F"/>
    <w:rsid w:val="00CF3038"/>
    <w:rsid w:val="00CF3183"/>
    <w:rsid w:val="00CF357A"/>
    <w:rsid w:val="00CF3765"/>
    <w:rsid w:val="00CF3B99"/>
    <w:rsid w:val="00CF3CE3"/>
    <w:rsid w:val="00CF3D74"/>
    <w:rsid w:val="00CF3DCC"/>
    <w:rsid w:val="00CF3EEF"/>
    <w:rsid w:val="00CF3FD0"/>
    <w:rsid w:val="00CF408A"/>
    <w:rsid w:val="00CF4260"/>
    <w:rsid w:val="00CF45B1"/>
    <w:rsid w:val="00CF4803"/>
    <w:rsid w:val="00CF4B53"/>
    <w:rsid w:val="00CF4B85"/>
    <w:rsid w:val="00CF4C73"/>
    <w:rsid w:val="00CF4F3A"/>
    <w:rsid w:val="00CF5358"/>
    <w:rsid w:val="00CF547E"/>
    <w:rsid w:val="00CF5588"/>
    <w:rsid w:val="00CF59EB"/>
    <w:rsid w:val="00CF5CC4"/>
    <w:rsid w:val="00CF5D37"/>
    <w:rsid w:val="00CF5DE2"/>
    <w:rsid w:val="00CF5EDE"/>
    <w:rsid w:val="00CF653B"/>
    <w:rsid w:val="00CF67D6"/>
    <w:rsid w:val="00CF6AB1"/>
    <w:rsid w:val="00CF6BD9"/>
    <w:rsid w:val="00CF6EDA"/>
    <w:rsid w:val="00CF6F9F"/>
    <w:rsid w:val="00CF712E"/>
    <w:rsid w:val="00CF723D"/>
    <w:rsid w:val="00CF79EE"/>
    <w:rsid w:val="00CF7C67"/>
    <w:rsid w:val="00CF7FF7"/>
    <w:rsid w:val="00D00700"/>
    <w:rsid w:val="00D0099E"/>
    <w:rsid w:val="00D00ED0"/>
    <w:rsid w:val="00D00F36"/>
    <w:rsid w:val="00D00FFC"/>
    <w:rsid w:val="00D013AB"/>
    <w:rsid w:val="00D0169D"/>
    <w:rsid w:val="00D01711"/>
    <w:rsid w:val="00D0193B"/>
    <w:rsid w:val="00D01972"/>
    <w:rsid w:val="00D01E97"/>
    <w:rsid w:val="00D02170"/>
    <w:rsid w:val="00D023AB"/>
    <w:rsid w:val="00D02429"/>
    <w:rsid w:val="00D0247C"/>
    <w:rsid w:val="00D024D8"/>
    <w:rsid w:val="00D027F3"/>
    <w:rsid w:val="00D02B26"/>
    <w:rsid w:val="00D035E6"/>
    <w:rsid w:val="00D03878"/>
    <w:rsid w:val="00D03F71"/>
    <w:rsid w:val="00D04371"/>
    <w:rsid w:val="00D04462"/>
    <w:rsid w:val="00D046F4"/>
    <w:rsid w:val="00D04FB4"/>
    <w:rsid w:val="00D05031"/>
    <w:rsid w:val="00D0525A"/>
    <w:rsid w:val="00D0573D"/>
    <w:rsid w:val="00D05956"/>
    <w:rsid w:val="00D05C21"/>
    <w:rsid w:val="00D05EBA"/>
    <w:rsid w:val="00D05FF6"/>
    <w:rsid w:val="00D06143"/>
    <w:rsid w:val="00D06182"/>
    <w:rsid w:val="00D06185"/>
    <w:rsid w:val="00D06878"/>
    <w:rsid w:val="00D0695D"/>
    <w:rsid w:val="00D06998"/>
    <w:rsid w:val="00D06C5A"/>
    <w:rsid w:val="00D06D0F"/>
    <w:rsid w:val="00D06D93"/>
    <w:rsid w:val="00D06E1B"/>
    <w:rsid w:val="00D06EE6"/>
    <w:rsid w:val="00D07A82"/>
    <w:rsid w:val="00D07D56"/>
    <w:rsid w:val="00D07D6A"/>
    <w:rsid w:val="00D07EDC"/>
    <w:rsid w:val="00D07F78"/>
    <w:rsid w:val="00D1004F"/>
    <w:rsid w:val="00D100C6"/>
    <w:rsid w:val="00D1027A"/>
    <w:rsid w:val="00D1027E"/>
    <w:rsid w:val="00D1039E"/>
    <w:rsid w:val="00D103A2"/>
    <w:rsid w:val="00D10A1F"/>
    <w:rsid w:val="00D10F30"/>
    <w:rsid w:val="00D1105E"/>
    <w:rsid w:val="00D11229"/>
    <w:rsid w:val="00D11452"/>
    <w:rsid w:val="00D114E2"/>
    <w:rsid w:val="00D114FA"/>
    <w:rsid w:val="00D11AFE"/>
    <w:rsid w:val="00D11D4E"/>
    <w:rsid w:val="00D11D97"/>
    <w:rsid w:val="00D11EDA"/>
    <w:rsid w:val="00D122F1"/>
    <w:rsid w:val="00D12686"/>
    <w:rsid w:val="00D128C6"/>
    <w:rsid w:val="00D12AF5"/>
    <w:rsid w:val="00D12CD0"/>
    <w:rsid w:val="00D12F27"/>
    <w:rsid w:val="00D13028"/>
    <w:rsid w:val="00D130C4"/>
    <w:rsid w:val="00D1313E"/>
    <w:rsid w:val="00D1324E"/>
    <w:rsid w:val="00D1337A"/>
    <w:rsid w:val="00D1365D"/>
    <w:rsid w:val="00D13720"/>
    <w:rsid w:val="00D137C9"/>
    <w:rsid w:val="00D1386F"/>
    <w:rsid w:val="00D1387E"/>
    <w:rsid w:val="00D13A0B"/>
    <w:rsid w:val="00D13C0A"/>
    <w:rsid w:val="00D14002"/>
    <w:rsid w:val="00D14670"/>
    <w:rsid w:val="00D1480E"/>
    <w:rsid w:val="00D14A02"/>
    <w:rsid w:val="00D14AEF"/>
    <w:rsid w:val="00D14BE5"/>
    <w:rsid w:val="00D14C48"/>
    <w:rsid w:val="00D14D41"/>
    <w:rsid w:val="00D153A0"/>
    <w:rsid w:val="00D1545D"/>
    <w:rsid w:val="00D15480"/>
    <w:rsid w:val="00D15B6D"/>
    <w:rsid w:val="00D15C1B"/>
    <w:rsid w:val="00D16308"/>
    <w:rsid w:val="00D16392"/>
    <w:rsid w:val="00D16679"/>
    <w:rsid w:val="00D16772"/>
    <w:rsid w:val="00D168E6"/>
    <w:rsid w:val="00D16F78"/>
    <w:rsid w:val="00D1705E"/>
    <w:rsid w:val="00D1730D"/>
    <w:rsid w:val="00D1759C"/>
    <w:rsid w:val="00D175E8"/>
    <w:rsid w:val="00D17656"/>
    <w:rsid w:val="00D176DC"/>
    <w:rsid w:val="00D177FF"/>
    <w:rsid w:val="00D17D21"/>
    <w:rsid w:val="00D17D57"/>
    <w:rsid w:val="00D17E67"/>
    <w:rsid w:val="00D17FFE"/>
    <w:rsid w:val="00D203F2"/>
    <w:rsid w:val="00D20414"/>
    <w:rsid w:val="00D204EF"/>
    <w:rsid w:val="00D20682"/>
    <w:rsid w:val="00D20AAD"/>
    <w:rsid w:val="00D20CDD"/>
    <w:rsid w:val="00D21013"/>
    <w:rsid w:val="00D2109E"/>
    <w:rsid w:val="00D2139A"/>
    <w:rsid w:val="00D22214"/>
    <w:rsid w:val="00D225F0"/>
    <w:rsid w:val="00D22692"/>
    <w:rsid w:val="00D22742"/>
    <w:rsid w:val="00D228B2"/>
    <w:rsid w:val="00D22BDC"/>
    <w:rsid w:val="00D22E6B"/>
    <w:rsid w:val="00D230DC"/>
    <w:rsid w:val="00D231B9"/>
    <w:rsid w:val="00D2323A"/>
    <w:rsid w:val="00D23357"/>
    <w:rsid w:val="00D238F6"/>
    <w:rsid w:val="00D23A78"/>
    <w:rsid w:val="00D23CD0"/>
    <w:rsid w:val="00D23DA1"/>
    <w:rsid w:val="00D23E6E"/>
    <w:rsid w:val="00D243BC"/>
    <w:rsid w:val="00D244CA"/>
    <w:rsid w:val="00D247AD"/>
    <w:rsid w:val="00D249DD"/>
    <w:rsid w:val="00D24BFF"/>
    <w:rsid w:val="00D24DE6"/>
    <w:rsid w:val="00D24FBB"/>
    <w:rsid w:val="00D251DA"/>
    <w:rsid w:val="00D25646"/>
    <w:rsid w:val="00D25762"/>
    <w:rsid w:val="00D258DC"/>
    <w:rsid w:val="00D25913"/>
    <w:rsid w:val="00D25955"/>
    <w:rsid w:val="00D259AA"/>
    <w:rsid w:val="00D25A68"/>
    <w:rsid w:val="00D25FA1"/>
    <w:rsid w:val="00D262C5"/>
    <w:rsid w:val="00D262E4"/>
    <w:rsid w:val="00D262FC"/>
    <w:rsid w:val="00D26693"/>
    <w:rsid w:val="00D266DE"/>
    <w:rsid w:val="00D2696D"/>
    <w:rsid w:val="00D26AA2"/>
    <w:rsid w:val="00D26D18"/>
    <w:rsid w:val="00D26D79"/>
    <w:rsid w:val="00D26EF6"/>
    <w:rsid w:val="00D274F1"/>
    <w:rsid w:val="00D27613"/>
    <w:rsid w:val="00D27DD2"/>
    <w:rsid w:val="00D27F3C"/>
    <w:rsid w:val="00D27FB5"/>
    <w:rsid w:val="00D300A2"/>
    <w:rsid w:val="00D300CD"/>
    <w:rsid w:val="00D3036C"/>
    <w:rsid w:val="00D3042F"/>
    <w:rsid w:val="00D304C0"/>
    <w:rsid w:val="00D305AD"/>
    <w:rsid w:val="00D307E1"/>
    <w:rsid w:val="00D307EA"/>
    <w:rsid w:val="00D30F4E"/>
    <w:rsid w:val="00D313ED"/>
    <w:rsid w:val="00D31467"/>
    <w:rsid w:val="00D31649"/>
    <w:rsid w:val="00D31707"/>
    <w:rsid w:val="00D31CBF"/>
    <w:rsid w:val="00D31E19"/>
    <w:rsid w:val="00D32257"/>
    <w:rsid w:val="00D3231C"/>
    <w:rsid w:val="00D326DD"/>
    <w:rsid w:val="00D328D1"/>
    <w:rsid w:val="00D3298F"/>
    <w:rsid w:val="00D32A59"/>
    <w:rsid w:val="00D32C1E"/>
    <w:rsid w:val="00D32C35"/>
    <w:rsid w:val="00D32FC8"/>
    <w:rsid w:val="00D3313F"/>
    <w:rsid w:val="00D33265"/>
    <w:rsid w:val="00D33288"/>
    <w:rsid w:val="00D33538"/>
    <w:rsid w:val="00D339C0"/>
    <w:rsid w:val="00D33A01"/>
    <w:rsid w:val="00D33D86"/>
    <w:rsid w:val="00D341CF"/>
    <w:rsid w:val="00D34305"/>
    <w:rsid w:val="00D34398"/>
    <w:rsid w:val="00D34908"/>
    <w:rsid w:val="00D34924"/>
    <w:rsid w:val="00D34EFB"/>
    <w:rsid w:val="00D35008"/>
    <w:rsid w:val="00D35039"/>
    <w:rsid w:val="00D3512D"/>
    <w:rsid w:val="00D35779"/>
    <w:rsid w:val="00D357A8"/>
    <w:rsid w:val="00D35A11"/>
    <w:rsid w:val="00D35D42"/>
    <w:rsid w:val="00D35DA1"/>
    <w:rsid w:val="00D35E95"/>
    <w:rsid w:val="00D3600C"/>
    <w:rsid w:val="00D3626E"/>
    <w:rsid w:val="00D36704"/>
    <w:rsid w:val="00D3698F"/>
    <w:rsid w:val="00D36991"/>
    <w:rsid w:val="00D36B8B"/>
    <w:rsid w:val="00D36D86"/>
    <w:rsid w:val="00D37371"/>
    <w:rsid w:val="00D374BE"/>
    <w:rsid w:val="00D37A36"/>
    <w:rsid w:val="00D37AA1"/>
    <w:rsid w:val="00D37C98"/>
    <w:rsid w:val="00D37E85"/>
    <w:rsid w:val="00D37EA2"/>
    <w:rsid w:val="00D37FC2"/>
    <w:rsid w:val="00D40028"/>
    <w:rsid w:val="00D40043"/>
    <w:rsid w:val="00D40534"/>
    <w:rsid w:val="00D40547"/>
    <w:rsid w:val="00D4070F"/>
    <w:rsid w:val="00D408D4"/>
    <w:rsid w:val="00D40B9D"/>
    <w:rsid w:val="00D40CAE"/>
    <w:rsid w:val="00D41253"/>
    <w:rsid w:val="00D413E1"/>
    <w:rsid w:val="00D41804"/>
    <w:rsid w:val="00D423BF"/>
    <w:rsid w:val="00D4244C"/>
    <w:rsid w:val="00D42568"/>
    <w:rsid w:val="00D427BA"/>
    <w:rsid w:val="00D42976"/>
    <w:rsid w:val="00D42C10"/>
    <w:rsid w:val="00D434D4"/>
    <w:rsid w:val="00D438EC"/>
    <w:rsid w:val="00D43B84"/>
    <w:rsid w:val="00D43CE3"/>
    <w:rsid w:val="00D43EC6"/>
    <w:rsid w:val="00D44001"/>
    <w:rsid w:val="00D44772"/>
    <w:rsid w:val="00D44D5D"/>
    <w:rsid w:val="00D4505E"/>
    <w:rsid w:val="00D45112"/>
    <w:rsid w:val="00D454F5"/>
    <w:rsid w:val="00D45B6F"/>
    <w:rsid w:val="00D45B70"/>
    <w:rsid w:val="00D45E30"/>
    <w:rsid w:val="00D45F3C"/>
    <w:rsid w:val="00D460E4"/>
    <w:rsid w:val="00D461F4"/>
    <w:rsid w:val="00D46F22"/>
    <w:rsid w:val="00D47044"/>
    <w:rsid w:val="00D47155"/>
    <w:rsid w:val="00D473BD"/>
    <w:rsid w:val="00D4745C"/>
    <w:rsid w:val="00D47A95"/>
    <w:rsid w:val="00D47BB0"/>
    <w:rsid w:val="00D47D65"/>
    <w:rsid w:val="00D50116"/>
    <w:rsid w:val="00D50289"/>
    <w:rsid w:val="00D502A0"/>
    <w:rsid w:val="00D505D0"/>
    <w:rsid w:val="00D50A98"/>
    <w:rsid w:val="00D51049"/>
    <w:rsid w:val="00D5278A"/>
    <w:rsid w:val="00D52B70"/>
    <w:rsid w:val="00D52C96"/>
    <w:rsid w:val="00D53597"/>
    <w:rsid w:val="00D53678"/>
    <w:rsid w:val="00D53888"/>
    <w:rsid w:val="00D538D9"/>
    <w:rsid w:val="00D542B5"/>
    <w:rsid w:val="00D54308"/>
    <w:rsid w:val="00D543FA"/>
    <w:rsid w:val="00D5453D"/>
    <w:rsid w:val="00D548AE"/>
    <w:rsid w:val="00D54A48"/>
    <w:rsid w:val="00D54B2F"/>
    <w:rsid w:val="00D54CAE"/>
    <w:rsid w:val="00D54DBB"/>
    <w:rsid w:val="00D55084"/>
    <w:rsid w:val="00D55A50"/>
    <w:rsid w:val="00D569DD"/>
    <w:rsid w:val="00D56B18"/>
    <w:rsid w:val="00D56E35"/>
    <w:rsid w:val="00D56F6B"/>
    <w:rsid w:val="00D57032"/>
    <w:rsid w:val="00D572E2"/>
    <w:rsid w:val="00D573C5"/>
    <w:rsid w:val="00D57414"/>
    <w:rsid w:val="00D5743D"/>
    <w:rsid w:val="00D5752A"/>
    <w:rsid w:val="00D577C4"/>
    <w:rsid w:val="00D57985"/>
    <w:rsid w:val="00D57CED"/>
    <w:rsid w:val="00D57F9B"/>
    <w:rsid w:val="00D60029"/>
    <w:rsid w:val="00D60585"/>
    <w:rsid w:val="00D60CFC"/>
    <w:rsid w:val="00D60D89"/>
    <w:rsid w:val="00D60F5E"/>
    <w:rsid w:val="00D612FC"/>
    <w:rsid w:val="00D6181B"/>
    <w:rsid w:val="00D61DDE"/>
    <w:rsid w:val="00D61EA2"/>
    <w:rsid w:val="00D6277C"/>
    <w:rsid w:val="00D62C20"/>
    <w:rsid w:val="00D62ED7"/>
    <w:rsid w:val="00D62F99"/>
    <w:rsid w:val="00D63142"/>
    <w:rsid w:val="00D63285"/>
    <w:rsid w:val="00D633FF"/>
    <w:rsid w:val="00D635FA"/>
    <w:rsid w:val="00D63631"/>
    <w:rsid w:val="00D6364F"/>
    <w:rsid w:val="00D636E2"/>
    <w:rsid w:val="00D63831"/>
    <w:rsid w:val="00D63A8F"/>
    <w:rsid w:val="00D63C5C"/>
    <w:rsid w:val="00D641A4"/>
    <w:rsid w:val="00D64369"/>
    <w:rsid w:val="00D6445D"/>
    <w:rsid w:val="00D646AE"/>
    <w:rsid w:val="00D6511C"/>
    <w:rsid w:val="00D65169"/>
    <w:rsid w:val="00D652EA"/>
    <w:rsid w:val="00D6538B"/>
    <w:rsid w:val="00D65619"/>
    <w:rsid w:val="00D65950"/>
    <w:rsid w:val="00D65E91"/>
    <w:rsid w:val="00D65EEB"/>
    <w:rsid w:val="00D66373"/>
    <w:rsid w:val="00D6646B"/>
    <w:rsid w:val="00D664C3"/>
    <w:rsid w:val="00D66612"/>
    <w:rsid w:val="00D66BAD"/>
    <w:rsid w:val="00D66E8C"/>
    <w:rsid w:val="00D66F4B"/>
    <w:rsid w:val="00D701F1"/>
    <w:rsid w:val="00D7040F"/>
    <w:rsid w:val="00D70978"/>
    <w:rsid w:val="00D7099A"/>
    <w:rsid w:val="00D70D41"/>
    <w:rsid w:val="00D7181E"/>
    <w:rsid w:val="00D71984"/>
    <w:rsid w:val="00D71B06"/>
    <w:rsid w:val="00D71F53"/>
    <w:rsid w:val="00D72609"/>
    <w:rsid w:val="00D7263F"/>
    <w:rsid w:val="00D72DCD"/>
    <w:rsid w:val="00D72E5A"/>
    <w:rsid w:val="00D72F3E"/>
    <w:rsid w:val="00D72FE9"/>
    <w:rsid w:val="00D73352"/>
    <w:rsid w:val="00D7353B"/>
    <w:rsid w:val="00D7357E"/>
    <w:rsid w:val="00D7398C"/>
    <w:rsid w:val="00D739AF"/>
    <w:rsid w:val="00D73B5B"/>
    <w:rsid w:val="00D73DA5"/>
    <w:rsid w:val="00D73E04"/>
    <w:rsid w:val="00D741A0"/>
    <w:rsid w:val="00D742A8"/>
    <w:rsid w:val="00D744F4"/>
    <w:rsid w:val="00D74606"/>
    <w:rsid w:val="00D74877"/>
    <w:rsid w:val="00D74BC1"/>
    <w:rsid w:val="00D75294"/>
    <w:rsid w:val="00D75324"/>
    <w:rsid w:val="00D7535B"/>
    <w:rsid w:val="00D755F7"/>
    <w:rsid w:val="00D75653"/>
    <w:rsid w:val="00D756F3"/>
    <w:rsid w:val="00D75E55"/>
    <w:rsid w:val="00D761E0"/>
    <w:rsid w:val="00D76261"/>
    <w:rsid w:val="00D762C8"/>
    <w:rsid w:val="00D762D9"/>
    <w:rsid w:val="00D7660E"/>
    <w:rsid w:val="00D766C7"/>
    <w:rsid w:val="00D76845"/>
    <w:rsid w:val="00D76928"/>
    <w:rsid w:val="00D76A23"/>
    <w:rsid w:val="00D76AD3"/>
    <w:rsid w:val="00D76B37"/>
    <w:rsid w:val="00D76C76"/>
    <w:rsid w:val="00D76CB9"/>
    <w:rsid w:val="00D76DF4"/>
    <w:rsid w:val="00D76E2E"/>
    <w:rsid w:val="00D7756D"/>
    <w:rsid w:val="00D777FF"/>
    <w:rsid w:val="00D77B5D"/>
    <w:rsid w:val="00D77CD9"/>
    <w:rsid w:val="00D77DF6"/>
    <w:rsid w:val="00D77E5F"/>
    <w:rsid w:val="00D80017"/>
    <w:rsid w:val="00D80590"/>
    <w:rsid w:val="00D80EA1"/>
    <w:rsid w:val="00D811E0"/>
    <w:rsid w:val="00D812E9"/>
    <w:rsid w:val="00D81F3B"/>
    <w:rsid w:val="00D81FD0"/>
    <w:rsid w:val="00D8229B"/>
    <w:rsid w:val="00D8231D"/>
    <w:rsid w:val="00D82760"/>
    <w:rsid w:val="00D82A67"/>
    <w:rsid w:val="00D82C75"/>
    <w:rsid w:val="00D8399C"/>
    <w:rsid w:val="00D83BD1"/>
    <w:rsid w:val="00D83C94"/>
    <w:rsid w:val="00D83CCA"/>
    <w:rsid w:val="00D83D46"/>
    <w:rsid w:val="00D83E2D"/>
    <w:rsid w:val="00D83F29"/>
    <w:rsid w:val="00D83FD5"/>
    <w:rsid w:val="00D842A8"/>
    <w:rsid w:val="00D844D1"/>
    <w:rsid w:val="00D84527"/>
    <w:rsid w:val="00D84538"/>
    <w:rsid w:val="00D8479E"/>
    <w:rsid w:val="00D8483A"/>
    <w:rsid w:val="00D84EA2"/>
    <w:rsid w:val="00D84F12"/>
    <w:rsid w:val="00D852EC"/>
    <w:rsid w:val="00D85776"/>
    <w:rsid w:val="00D859B5"/>
    <w:rsid w:val="00D85BA4"/>
    <w:rsid w:val="00D85BCC"/>
    <w:rsid w:val="00D85C17"/>
    <w:rsid w:val="00D85C3E"/>
    <w:rsid w:val="00D86737"/>
    <w:rsid w:val="00D8685C"/>
    <w:rsid w:val="00D86A4F"/>
    <w:rsid w:val="00D86D3F"/>
    <w:rsid w:val="00D86DF2"/>
    <w:rsid w:val="00D86F51"/>
    <w:rsid w:val="00D87171"/>
    <w:rsid w:val="00D8731D"/>
    <w:rsid w:val="00D87552"/>
    <w:rsid w:val="00D87648"/>
    <w:rsid w:val="00D87801"/>
    <w:rsid w:val="00D87F36"/>
    <w:rsid w:val="00D87F5C"/>
    <w:rsid w:val="00D9033B"/>
    <w:rsid w:val="00D90376"/>
    <w:rsid w:val="00D90426"/>
    <w:rsid w:val="00D9048C"/>
    <w:rsid w:val="00D9056D"/>
    <w:rsid w:val="00D90978"/>
    <w:rsid w:val="00D90995"/>
    <w:rsid w:val="00D90A5B"/>
    <w:rsid w:val="00D90AE5"/>
    <w:rsid w:val="00D90BEC"/>
    <w:rsid w:val="00D91429"/>
    <w:rsid w:val="00D9143D"/>
    <w:rsid w:val="00D914BC"/>
    <w:rsid w:val="00D9166A"/>
    <w:rsid w:val="00D91AE5"/>
    <w:rsid w:val="00D91B14"/>
    <w:rsid w:val="00D9223A"/>
    <w:rsid w:val="00D92244"/>
    <w:rsid w:val="00D92479"/>
    <w:rsid w:val="00D92BA4"/>
    <w:rsid w:val="00D92F8C"/>
    <w:rsid w:val="00D9306B"/>
    <w:rsid w:val="00D9310B"/>
    <w:rsid w:val="00D931CE"/>
    <w:rsid w:val="00D93262"/>
    <w:rsid w:val="00D934D2"/>
    <w:rsid w:val="00D93748"/>
    <w:rsid w:val="00D93751"/>
    <w:rsid w:val="00D93857"/>
    <w:rsid w:val="00D93988"/>
    <w:rsid w:val="00D93B8A"/>
    <w:rsid w:val="00D942A1"/>
    <w:rsid w:val="00D944C6"/>
    <w:rsid w:val="00D944F7"/>
    <w:rsid w:val="00D94503"/>
    <w:rsid w:val="00D9486E"/>
    <w:rsid w:val="00D94B40"/>
    <w:rsid w:val="00D94C49"/>
    <w:rsid w:val="00D952AF"/>
    <w:rsid w:val="00D9530A"/>
    <w:rsid w:val="00D95451"/>
    <w:rsid w:val="00D95971"/>
    <w:rsid w:val="00D95B85"/>
    <w:rsid w:val="00D96040"/>
    <w:rsid w:val="00D960CE"/>
    <w:rsid w:val="00D9641A"/>
    <w:rsid w:val="00D96B0C"/>
    <w:rsid w:val="00D96CDE"/>
    <w:rsid w:val="00D96CEA"/>
    <w:rsid w:val="00D96E68"/>
    <w:rsid w:val="00D96FD1"/>
    <w:rsid w:val="00D97199"/>
    <w:rsid w:val="00D971A5"/>
    <w:rsid w:val="00D97397"/>
    <w:rsid w:val="00D973A6"/>
    <w:rsid w:val="00D97830"/>
    <w:rsid w:val="00D97C88"/>
    <w:rsid w:val="00DA00C3"/>
    <w:rsid w:val="00DA011C"/>
    <w:rsid w:val="00DA04A7"/>
    <w:rsid w:val="00DA0847"/>
    <w:rsid w:val="00DA0DF6"/>
    <w:rsid w:val="00DA0EC6"/>
    <w:rsid w:val="00DA1439"/>
    <w:rsid w:val="00DA20C7"/>
    <w:rsid w:val="00DA218A"/>
    <w:rsid w:val="00DA2245"/>
    <w:rsid w:val="00DA226C"/>
    <w:rsid w:val="00DA23BC"/>
    <w:rsid w:val="00DA26B4"/>
    <w:rsid w:val="00DA29B1"/>
    <w:rsid w:val="00DA2A52"/>
    <w:rsid w:val="00DA2C45"/>
    <w:rsid w:val="00DA2D2B"/>
    <w:rsid w:val="00DA2DCD"/>
    <w:rsid w:val="00DA306C"/>
    <w:rsid w:val="00DA32C4"/>
    <w:rsid w:val="00DA3324"/>
    <w:rsid w:val="00DA33AD"/>
    <w:rsid w:val="00DA3C58"/>
    <w:rsid w:val="00DA4315"/>
    <w:rsid w:val="00DA4387"/>
    <w:rsid w:val="00DA43E8"/>
    <w:rsid w:val="00DA44E9"/>
    <w:rsid w:val="00DA45C8"/>
    <w:rsid w:val="00DA4FB1"/>
    <w:rsid w:val="00DA5034"/>
    <w:rsid w:val="00DA50E0"/>
    <w:rsid w:val="00DA50F7"/>
    <w:rsid w:val="00DA5153"/>
    <w:rsid w:val="00DA5207"/>
    <w:rsid w:val="00DA570F"/>
    <w:rsid w:val="00DA5966"/>
    <w:rsid w:val="00DA5A5C"/>
    <w:rsid w:val="00DA5B6F"/>
    <w:rsid w:val="00DA5BB9"/>
    <w:rsid w:val="00DA5FAA"/>
    <w:rsid w:val="00DA5FF0"/>
    <w:rsid w:val="00DA67FD"/>
    <w:rsid w:val="00DA6942"/>
    <w:rsid w:val="00DA6D16"/>
    <w:rsid w:val="00DA6E10"/>
    <w:rsid w:val="00DA6E3F"/>
    <w:rsid w:val="00DA7096"/>
    <w:rsid w:val="00DA718B"/>
    <w:rsid w:val="00DA7393"/>
    <w:rsid w:val="00DA7854"/>
    <w:rsid w:val="00DA7CD8"/>
    <w:rsid w:val="00DA7DBB"/>
    <w:rsid w:val="00DA7DEE"/>
    <w:rsid w:val="00DB0147"/>
    <w:rsid w:val="00DB04F1"/>
    <w:rsid w:val="00DB08A0"/>
    <w:rsid w:val="00DB0AC3"/>
    <w:rsid w:val="00DB0D9B"/>
    <w:rsid w:val="00DB0E59"/>
    <w:rsid w:val="00DB1193"/>
    <w:rsid w:val="00DB1350"/>
    <w:rsid w:val="00DB1540"/>
    <w:rsid w:val="00DB164E"/>
    <w:rsid w:val="00DB16D3"/>
    <w:rsid w:val="00DB1964"/>
    <w:rsid w:val="00DB1A63"/>
    <w:rsid w:val="00DB21B1"/>
    <w:rsid w:val="00DB253C"/>
    <w:rsid w:val="00DB2739"/>
    <w:rsid w:val="00DB284C"/>
    <w:rsid w:val="00DB29D3"/>
    <w:rsid w:val="00DB2AF7"/>
    <w:rsid w:val="00DB2B4F"/>
    <w:rsid w:val="00DB2CAC"/>
    <w:rsid w:val="00DB2E8E"/>
    <w:rsid w:val="00DB399E"/>
    <w:rsid w:val="00DB3E99"/>
    <w:rsid w:val="00DB430E"/>
    <w:rsid w:val="00DB433B"/>
    <w:rsid w:val="00DB44F4"/>
    <w:rsid w:val="00DB462C"/>
    <w:rsid w:val="00DB4EC4"/>
    <w:rsid w:val="00DB4F56"/>
    <w:rsid w:val="00DB5078"/>
    <w:rsid w:val="00DB55A9"/>
    <w:rsid w:val="00DB55F7"/>
    <w:rsid w:val="00DB57DF"/>
    <w:rsid w:val="00DB6223"/>
    <w:rsid w:val="00DB6896"/>
    <w:rsid w:val="00DB744A"/>
    <w:rsid w:val="00DB787B"/>
    <w:rsid w:val="00DB7CEE"/>
    <w:rsid w:val="00DB7D01"/>
    <w:rsid w:val="00DB7DBF"/>
    <w:rsid w:val="00DB7DF8"/>
    <w:rsid w:val="00DB7E12"/>
    <w:rsid w:val="00DC0236"/>
    <w:rsid w:val="00DC02C3"/>
    <w:rsid w:val="00DC04FC"/>
    <w:rsid w:val="00DC0662"/>
    <w:rsid w:val="00DC06C7"/>
    <w:rsid w:val="00DC0980"/>
    <w:rsid w:val="00DC0EE6"/>
    <w:rsid w:val="00DC11B3"/>
    <w:rsid w:val="00DC17AD"/>
    <w:rsid w:val="00DC1BC9"/>
    <w:rsid w:val="00DC1C2C"/>
    <w:rsid w:val="00DC219C"/>
    <w:rsid w:val="00DC2281"/>
    <w:rsid w:val="00DC2703"/>
    <w:rsid w:val="00DC2784"/>
    <w:rsid w:val="00DC2AD3"/>
    <w:rsid w:val="00DC2BCE"/>
    <w:rsid w:val="00DC2FB4"/>
    <w:rsid w:val="00DC32CE"/>
    <w:rsid w:val="00DC33D6"/>
    <w:rsid w:val="00DC3758"/>
    <w:rsid w:val="00DC3B56"/>
    <w:rsid w:val="00DC42D2"/>
    <w:rsid w:val="00DC44C9"/>
    <w:rsid w:val="00DC4573"/>
    <w:rsid w:val="00DC49FF"/>
    <w:rsid w:val="00DC4D6C"/>
    <w:rsid w:val="00DC4DD4"/>
    <w:rsid w:val="00DC51D6"/>
    <w:rsid w:val="00DC52C5"/>
    <w:rsid w:val="00DC6315"/>
    <w:rsid w:val="00DC6425"/>
    <w:rsid w:val="00DC644A"/>
    <w:rsid w:val="00DC665B"/>
    <w:rsid w:val="00DC6866"/>
    <w:rsid w:val="00DC6C41"/>
    <w:rsid w:val="00DC6D80"/>
    <w:rsid w:val="00DC6F7B"/>
    <w:rsid w:val="00DC7810"/>
    <w:rsid w:val="00DC7A46"/>
    <w:rsid w:val="00DC7AC1"/>
    <w:rsid w:val="00DC7D39"/>
    <w:rsid w:val="00DD02DA"/>
    <w:rsid w:val="00DD0705"/>
    <w:rsid w:val="00DD093E"/>
    <w:rsid w:val="00DD096B"/>
    <w:rsid w:val="00DD0D1B"/>
    <w:rsid w:val="00DD0ECF"/>
    <w:rsid w:val="00DD1471"/>
    <w:rsid w:val="00DD1746"/>
    <w:rsid w:val="00DD177F"/>
    <w:rsid w:val="00DD19D6"/>
    <w:rsid w:val="00DD19FB"/>
    <w:rsid w:val="00DD1BDA"/>
    <w:rsid w:val="00DD1C1A"/>
    <w:rsid w:val="00DD1E75"/>
    <w:rsid w:val="00DD1ED4"/>
    <w:rsid w:val="00DD209D"/>
    <w:rsid w:val="00DD20AF"/>
    <w:rsid w:val="00DD20DB"/>
    <w:rsid w:val="00DD227D"/>
    <w:rsid w:val="00DD23D7"/>
    <w:rsid w:val="00DD248C"/>
    <w:rsid w:val="00DD25E7"/>
    <w:rsid w:val="00DD262B"/>
    <w:rsid w:val="00DD28E2"/>
    <w:rsid w:val="00DD29A6"/>
    <w:rsid w:val="00DD2BBB"/>
    <w:rsid w:val="00DD2C76"/>
    <w:rsid w:val="00DD2E56"/>
    <w:rsid w:val="00DD2FD7"/>
    <w:rsid w:val="00DD305E"/>
    <w:rsid w:val="00DD315B"/>
    <w:rsid w:val="00DD330D"/>
    <w:rsid w:val="00DD36FD"/>
    <w:rsid w:val="00DD3850"/>
    <w:rsid w:val="00DD3A6A"/>
    <w:rsid w:val="00DD3AA8"/>
    <w:rsid w:val="00DD3B62"/>
    <w:rsid w:val="00DD3CEF"/>
    <w:rsid w:val="00DD3D8B"/>
    <w:rsid w:val="00DD4210"/>
    <w:rsid w:val="00DD42AE"/>
    <w:rsid w:val="00DD42DB"/>
    <w:rsid w:val="00DD4550"/>
    <w:rsid w:val="00DD4554"/>
    <w:rsid w:val="00DD495D"/>
    <w:rsid w:val="00DD4B4E"/>
    <w:rsid w:val="00DD4B60"/>
    <w:rsid w:val="00DD4BCB"/>
    <w:rsid w:val="00DD4D31"/>
    <w:rsid w:val="00DD4E3C"/>
    <w:rsid w:val="00DD4EB6"/>
    <w:rsid w:val="00DD4EEC"/>
    <w:rsid w:val="00DD510E"/>
    <w:rsid w:val="00DD515F"/>
    <w:rsid w:val="00DD5168"/>
    <w:rsid w:val="00DD516D"/>
    <w:rsid w:val="00DD5314"/>
    <w:rsid w:val="00DD535B"/>
    <w:rsid w:val="00DD54C8"/>
    <w:rsid w:val="00DD5650"/>
    <w:rsid w:val="00DD5C4A"/>
    <w:rsid w:val="00DD5D13"/>
    <w:rsid w:val="00DD6017"/>
    <w:rsid w:val="00DD603B"/>
    <w:rsid w:val="00DD61F3"/>
    <w:rsid w:val="00DD63AD"/>
    <w:rsid w:val="00DD69B1"/>
    <w:rsid w:val="00DD6B6C"/>
    <w:rsid w:val="00DD6EAB"/>
    <w:rsid w:val="00DD6F80"/>
    <w:rsid w:val="00DD74A0"/>
    <w:rsid w:val="00DD77AE"/>
    <w:rsid w:val="00DD7827"/>
    <w:rsid w:val="00DD7873"/>
    <w:rsid w:val="00DD79FF"/>
    <w:rsid w:val="00DD7A03"/>
    <w:rsid w:val="00DD7C5C"/>
    <w:rsid w:val="00DD7CBC"/>
    <w:rsid w:val="00DE0296"/>
    <w:rsid w:val="00DE02CA"/>
    <w:rsid w:val="00DE0486"/>
    <w:rsid w:val="00DE0649"/>
    <w:rsid w:val="00DE06FE"/>
    <w:rsid w:val="00DE07E2"/>
    <w:rsid w:val="00DE13B4"/>
    <w:rsid w:val="00DE14F9"/>
    <w:rsid w:val="00DE16DE"/>
    <w:rsid w:val="00DE1824"/>
    <w:rsid w:val="00DE1879"/>
    <w:rsid w:val="00DE1888"/>
    <w:rsid w:val="00DE188D"/>
    <w:rsid w:val="00DE1906"/>
    <w:rsid w:val="00DE1965"/>
    <w:rsid w:val="00DE1FC9"/>
    <w:rsid w:val="00DE2119"/>
    <w:rsid w:val="00DE2178"/>
    <w:rsid w:val="00DE233F"/>
    <w:rsid w:val="00DE2459"/>
    <w:rsid w:val="00DE2828"/>
    <w:rsid w:val="00DE29BB"/>
    <w:rsid w:val="00DE313E"/>
    <w:rsid w:val="00DE38D5"/>
    <w:rsid w:val="00DE3A8E"/>
    <w:rsid w:val="00DE3D51"/>
    <w:rsid w:val="00DE43E5"/>
    <w:rsid w:val="00DE4593"/>
    <w:rsid w:val="00DE45F6"/>
    <w:rsid w:val="00DE4638"/>
    <w:rsid w:val="00DE469E"/>
    <w:rsid w:val="00DE46B8"/>
    <w:rsid w:val="00DE5015"/>
    <w:rsid w:val="00DE50F1"/>
    <w:rsid w:val="00DE53B1"/>
    <w:rsid w:val="00DE545A"/>
    <w:rsid w:val="00DE54C8"/>
    <w:rsid w:val="00DE54EF"/>
    <w:rsid w:val="00DE55DF"/>
    <w:rsid w:val="00DE5638"/>
    <w:rsid w:val="00DE5AFA"/>
    <w:rsid w:val="00DE5D21"/>
    <w:rsid w:val="00DE5ECB"/>
    <w:rsid w:val="00DE6154"/>
    <w:rsid w:val="00DE62A8"/>
    <w:rsid w:val="00DE641E"/>
    <w:rsid w:val="00DE666C"/>
    <w:rsid w:val="00DE69A0"/>
    <w:rsid w:val="00DE69D6"/>
    <w:rsid w:val="00DE69DE"/>
    <w:rsid w:val="00DE6A8D"/>
    <w:rsid w:val="00DE6B8A"/>
    <w:rsid w:val="00DE6C41"/>
    <w:rsid w:val="00DE6CD7"/>
    <w:rsid w:val="00DE6D73"/>
    <w:rsid w:val="00DE6ED0"/>
    <w:rsid w:val="00DE7232"/>
    <w:rsid w:val="00DE739D"/>
    <w:rsid w:val="00DE74B5"/>
    <w:rsid w:val="00DE755D"/>
    <w:rsid w:val="00DE7683"/>
    <w:rsid w:val="00DE76B2"/>
    <w:rsid w:val="00DE77B7"/>
    <w:rsid w:val="00DE788C"/>
    <w:rsid w:val="00DE7992"/>
    <w:rsid w:val="00DE79E9"/>
    <w:rsid w:val="00DE7A06"/>
    <w:rsid w:val="00DE7E72"/>
    <w:rsid w:val="00DF03BA"/>
    <w:rsid w:val="00DF04BC"/>
    <w:rsid w:val="00DF0730"/>
    <w:rsid w:val="00DF092A"/>
    <w:rsid w:val="00DF09AF"/>
    <w:rsid w:val="00DF0F9A"/>
    <w:rsid w:val="00DF11D3"/>
    <w:rsid w:val="00DF142D"/>
    <w:rsid w:val="00DF1847"/>
    <w:rsid w:val="00DF1D1E"/>
    <w:rsid w:val="00DF1ED7"/>
    <w:rsid w:val="00DF1F1F"/>
    <w:rsid w:val="00DF201B"/>
    <w:rsid w:val="00DF227E"/>
    <w:rsid w:val="00DF25C2"/>
    <w:rsid w:val="00DF25C3"/>
    <w:rsid w:val="00DF2730"/>
    <w:rsid w:val="00DF285F"/>
    <w:rsid w:val="00DF2917"/>
    <w:rsid w:val="00DF2B1C"/>
    <w:rsid w:val="00DF31B6"/>
    <w:rsid w:val="00DF36AE"/>
    <w:rsid w:val="00DF3B33"/>
    <w:rsid w:val="00DF3E42"/>
    <w:rsid w:val="00DF426E"/>
    <w:rsid w:val="00DF4345"/>
    <w:rsid w:val="00DF43B8"/>
    <w:rsid w:val="00DF43F0"/>
    <w:rsid w:val="00DF49D7"/>
    <w:rsid w:val="00DF5A51"/>
    <w:rsid w:val="00DF5A8C"/>
    <w:rsid w:val="00DF5BFF"/>
    <w:rsid w:val="00DF5D4F"/>
    <w:rsid w:val="00DF5EF7"/>
    <w:rsid w:val="00DF5F1E"/>
    <w:rsid w:val="00DF7839"/>
    <w:rsid w:val="00DF7919"/>
    <w:rsid w:val="00DF7A12"/>
    <w:rsid w:val="00DF7C2B"/>
    <w:rsid w:val="00DF7D30"/>
    <w:rsid w:val="00E00640"/>
    <w:rsid w:val="00E00694"/>
    <w:rsid w:val="00E007E3"/>
    <w:rsid w:val="00E00869"/>
    <w:rsid w:val="00E009CC"/>
    <w:rsid w:val="00E009D4"/>
    <w:rsid w:val="00E00A8A"/>
    <w:rsid w:val="00E00B25"/>
    <w:rsid w:val="00E00B65"/>
    <w:rsid w:val="00E00DC0"/>
    <w:rsid w:val="00E00EE8"/>
    <w:rsid w:val="00E01106"/>
    <w:rsid w:val="00E0111D"/>
    <w:rsid w:val="00E0130D"/>
    <w:rsid w:val="00E013A7"/>
    <w:rsid w:val="00E015B5"/>
    <w:rsid w:val="00E016DB"/>
    <w:rsid w:val="00E01777"/>
    <w:rsid w:val="00E01CF5"/>
    <w:rsid w:val="00E01D35"/>
    <w:rsid w:val="00E01E20"/>
    <w:rsid w:val="00E022C6"/>
    <w:rsid w:val="00E026D4"/>
    <w:rsid w:val="00E026FA"/>
    <w:rsid w:val="00E0297D"/>
    <w:rsid w:val="00E02C14"/>
    <w:rsid w:val="00E02D0A"/>
    <w:rsid w:val="00E02D36"/>
    <w:rsid w:val="00E02F11"/>
    <w:rsid w:val="00E02F3E"/>
    <w:rsid w:val="00E02FD4"/>
    <w:rsid w:val="00E032E5"/>
    <w:rsid w:val="00E032FA"/>
    <w:rsid w:val="00E03333"/>
    <w:rsid w:val="00E0341B"/>
    <w:rsid w:val="00E034B7"/>
    <w:rsid w:val="00E034EB"/>
    <w:rsid w:val="00E03793"/>
    <w:rsid w:val="00E03802"/>
    <w:rsid w:val="00E03BFB"/>
    <w:rsid w:val="00E043A0"/>
    <w:rsid w:val="00E04432"/>
    <w:rsid w:val="00E0444D"/>
    <w:rsid w:val="00E045B5"/>
    <w:rsid w:val="00E04BA1"/>
    <w:rsid w:val="00E04D38"/>
    <w:rsid w:val="00E04E8C"/>
    <w:rsid w:val="00E051DA"/>
    <w:rsid w:val="00E053B8"/>
    <w:rsid w:val="00E05534"/>
    <w:rsid w:val="00E057D2"/>
    <w:rsid w:val="00E059E4"/>
    <w:rsid w:val="00E06599"/>
    <w:rsid w:val="00E0673B"/>
    <w:rsid w:val="00E067A4"/>
    <w:rsid w:val="00E06C06"/>
    <w:rsid w:val="00E070DA"/>
    <w:rsid w:val="00E07127"/>
    <w:rsid w:val="00E07555"/>
    <w:rsid w:val="00E0764A"/>
    <w:rsid w:val="00E0786F"/>
    <w:rsid w:val="00E078C0"/>
    <w:rsid w:val="00E07C68"/>
    <w:rsid w:val="00E07D04"/>
    <w:rsid w:val="00E07D75"/>
    <w:rsid w:val="00E10442"/>
    <w:rsid w:val="00E106D2"/>
    <w:rsid w:val="00E106FB"/>
    <w:rsid w:val="00E10725"/>
    <w:rsid w:val="00E10A87"/>
    <w:rsid w:val="00E1115C"/>
    <w:rsid w:val="00E11192"/>
    <w:rsid w:val="00E11224"/>
    <w:rsid w:val="00E1127B"/>
    <w:rsid w:val="00E112A1"/>
    <w:rsid w:val="00E1134B"/>
    <w:rsid w:val="00E11367"/>
    <w:rsid w:val="00E1161B"/>
    <w:rsid w:val="00E11622"/>
    <w:rsid w:val="00E11845"/>
    <w:rsid w:val="00E11FD6"/>
    <w:rsid w:val="00E120B9"/>
    <w:rsid w:val="00E12139"/>
    <w:rsid w:val="00E12625"/>
    <w:rsid w:val="00E129D6"/>
    <w:rsid w:val="00E131B5"/>
    <w:rsid w:val="00E13255"/>
    <w:rsid w:val="00E1336E"/>
    <w:rsid w:val="00E134B8"/>
    <w:rsid w:val="00E137DD"/>
    <w:rsid w:val="00E13A46"/>
    <w:rsid w:val="00E13B31"/>
    <w:rsid w:val="00E13BE5"/>
    <w:rsid w:val="00E13DD0"/>
    <w:rsid w:val="00E140FA"/>
    <w:rsid w:val="00E14160"/>
    <w:rsid w:val="00E141DF"/>
    <w:rsid w:val="00E1470B"/>
    <w:rsid w:val="00E14820"/>
    <w:rsid w:val="00E14E41"/>
    <w:rsid w:val="00E15080"/>
    <w:rsid w:val="00E153AB"/>
    <w:rsid w:val="00E157A3"/>
    <w:rsid w:val="00E158C2"/>
    <w:rsid w:val="00E159B0"/>
    <w:rsid w:val="00E15DA4"/>
    <w:rsid w:val="00E15F2F"/>
    <w:rsid w:val="00E15FE9"/>
    <w:rsid w:val="00E1603B"/>
    <w:rsid w:val="00E16073"/>
    <w:rsid w:val="00E1620A"/>
    <w:rsid w:val="00E1660A"/>
    <w:rsid w:val="00E16763"/>
    <w:rsid w:val="00E16B8B"/>
    <w:rsid w:val="00E16BFD"/>
    <w:rsid w:val="00E16C95"/>
    <w:rsid w:val="00E16D5C"/>
    <w:rsid w:val="00E16E56"/>
    <w:rsid w:val="00E16EAF"/>
    <w:rsid w:val="00E16FE3"/>
    <w:rsid w:val="00E16FF4"/>
    <w:rsid w:val="00E172D2"/>
    <w:rsid w:val="00E1746F"/>
    <w:rsid w:val="00E1782E"/>
    <w:rsid w:val="00E17831"/>
    <w:rsid w:val="00E17A47"/>
    <w:rsid w:val="00E17C23"/>
    <w:rsid w:val="00E17D8C"/>
    <w:rsid w:val="00E17D92"/>
    <w:rsid w:val="00E20363"/>
    <w:rsid w:val="00E203A7"/>
    <w:rsid w:val="00E204A6"/>
    <w:rsid w:val="00E209DB"/>
    <w:rsid w:val="00E20F64"/>
    <w:rsid w:val="00E21701"/>
    <w:rsid w:val="00E21A3A"/>
    <w:rsid w:val="00E21A93"/>
    <w:rsid w:val="00E21CC2"/>
    <w:rsid w:val="00E22433"/>
    <w:rsid w:val="00E22649"/>
    <w:rsid w:val="00E2287A"/>
    <w:rsid w:val="00E2290D"/>
    <w:rsid w:val="00E22979"/>
    <w:rsid w:val="00E22A40"/>
    <w:rsid w:val="00E22EB2"/>
    <w:rsid w:val="00E232E9"/>
    <w:rsid w:val="00E235ED"/>
    <w:rsid w:val="00E23747"/>
    <w:rsid w:val="00E237CF"/>
    <w:rsid w:val="00E23B8D"/>
    <w:rsid w:val="00E23E2C"/>
    <w:rsid w:val="00E2413E"/>
    <w:rsid w:val="00E24473"/>
    <w:rsid w:val="00E247AF"/>
    <w:rsid w:val="00E24827"/>
    <w:rsid w:val="00E24A4D"/>
    <w:rsid w:val="00E24DAC"/>
    <w:rsid w:val="00E24F68"/>
    <w:rsid w:val="00E25032"/>
    <w:rsid w:val="00E25041"/>
    <w:rsid w:val="00E2531E"/>
    <w:rsid w:val="00E25715"/>
    <w:rsid w:val="00E257CB"/>
    <w:rsid w:val="00E25E01"/>
    <w:rsid w:val="00E25F8A"/>
    <w:rsid w:val="00E26034"/>
    <w:rsid w:val="00E2610A"/>
    <w:rsid w:val="00E2635D"/>
    <w:rsid w:val="00E2641C"/>
    <w:rsid w:val="00E26483"/>
    <w:rsid w:val="00E2663B"/>
    <w:rsid w:val="00E26641"/>
    <w:rsid w:val="00E26709"/>
    <w:rsid w:val="00E269C1"/>
    <w:rsid w:val="00E26CDA"/>
    <w:rsid w:val="00E26FD6"/>
    <w:rsid w:val="00E2701E"/>
    <w:rsid w:val="00E27193"/>
    <w:rsid w:val="00E27BD6"/>
    <w:rsid w:val="00E27C18"/>
    <w:rsid w:val="00E301B4"/>
    <w:rsid w:val="00E301FF"/>
    <w:rsid w:val="00E30323"/>
    <w:rsid w:val="00E3044E"/>
    <w:rsid w:val="00E30B2A"/>
    <w:rsid w:val="00E30C9A"/>
    <w:rsid w:val="00E30D9F"/>
    <w:rsid w:val="00E30E10"/>
    <w:rsid w:val="00E3144A"/>
    <w:rsid w:val="00E31793"/>
    <w:rsid w:val="00E31F8C"/>
    <w:rsid w:val="00E3224D"/>
    <w:rsid w:val="00E32634"/>
    <w:rsid w:val="00E3299D"/>
    <w:rsid w:val="00E32ACA"/>
    <w:rsid w:val="00E32CFE"/>
    <w:rsid w:val="00E32DC6"/>
    <w:rsid w:val="00E3305D"/>
    <w:rsid w:val="00E330E4"/>
    <w:rsid w:val="00E33105"/>
    <w:rsid w:val="00E331FF"/>
    <w:rsid w:val="00E33499"/>
    <w:rsid w:val="00E334F4"/>
    <w:rsid w:val="00E336C1"/>
    <w:rsid w:val="00E33870"/>
    <w:rsid w:val="00E33B3B"/>
    <w:rsid w:val="00E33E3D"/>
    <w:rsid w:val="00E33F97"/>
    <w:rsid w:val="00E34061"/>
    <w:rsid w:val="00E340DD"/>
    <w:rsid w:val="00E3457C"/>
    <w:rsid w:val="00E34585"/>
    <w:rsid w:val="00E346B7"/>
    <w:rsid w:val="00E34AF3"/>
    <w:rsid w:val="00E3524E"/>
    <w:rsid w:val="00E35423"/>
    <w:rsid w:val="00E354F6"/>
    <w:rsid w:val="00E3582C"/>
    <w:rsid w:val="00E35898"/>
    <w:rsid w:val="00E35A6A"/>
    <w:rsid w:val="00E35B3A"/>
    <w:rsid w:val="00E35C7C"/>
    <w:rsid w:val="00E35EA5"/>
    <w:rsid w:val="00E360DD"/>
    <w:rsid w:val="00E366FE"/>
    <w:rsid w:val="00E36A05"/>
    <w:rsid w:val="00E36A17"/>
    <w:rsid w:val="00E36DBD"/>
    <w:rsid w:val="00E37914"/>
    <w:rsid w:val="00E37B3C"/>
    <w:rsid w:val="00E37F08"/>
    <w:rsid w:val="00E40802"/>
    <w:rsid w:val="00E4084F"/>
    <w:rsid w:val="00E4089B"/>
    <w:rsid w:val="00E40D4C"/>
    <w:rsid w:val="00E40ED0"/>
    <w:rsid w:val="00E40F0A"/>
    <w:rsid w:val="00E41302"/>
    <w:rsid w:val="00E415C3"/>
    <w:rsid w:val="00E41824"/>
    <w:rsid w:val="00E4185E"/>
    <w:rsid w:val="00E41AB2"/>
    <w:rsid w:val="00E41C94"/>
    <w:rsid w:val="00E41CBE"/>
    <w:rsid w:val="00E4203C"/>
    <w:rsid w:val="00E42523"/>
    <w:rsid w:val="00E42721"/>
    <w:rsid w:val="00E42810"/>
    <w:rsid w:val="00E42A84"/>
    <w:rsid w:val="00E430EF"/>
    <w:rsid w:val="00E434DA"/>
    <w:rsid w:val="00E434DF"/>
    <w:rsid w:val="00E435C0"/>
    <w:rsid w:val="00E438A5"/>
    <w:rsid w:val="00E43AF0"/>
    <w:rsid w:val="00E43B63"/>
    <w:rsid w:val="00E43E90"/>
    <w:rsid w:val="00E43F26"/>
    <w:rsid w:val="00E4434F"/>
    <w:rsid w:val="00E44359"/>
    <w:rsid w:val="00E446AA"/>
    <w:rsid w:val="00E44AEF"/>
    <w:rsid w:val="00E44D92"/>
    <w:rsid w:val="00E44FDB"/>
    <w:rsid w:val="00E44FE6"/>
    <w:rsid w:val="00E4594E"/>
    <w:rsid w:val="00E45991"/>
    <w:rsid w:val="00E45998"/>
    <w:rsid w:val="00E45C29"/>
    <w:rsid w:val="00E45E56"/>
    <w:rsid w:val="00E460F4"/>
    <w:rsid w:val="00E462E3"/>
    <w:rsid w:val="00E4651C"/>
    <w:rsid w:val="00E46594"/>
    <w:rsid w:val="00E468F9"/>
    <w:rsid w:val="00E4694D"/>
    <w:rsid w:val="00E46B38"/>
    <w:rsid w:val="00E46B76"/>
    <w:rsid w:val="00E46C38"/>
    <w:rsid w:val="00E46D41"/>
    <w:rsid w:val="00E47092"/>
    <w:rsid w:val="00E4716C"/>
    <w:rsid w:val="00E475FF"/>
    <w:rsid w:val="00E47ACF"/>
    <w:rsid w:val="00E47BDB"/>
    <w:rsid w:val="00E47E11"/>
    <w:rsid w:val="00E500E1"/>
    <w:rsid w:val="00E501DE"/>
    <w:rsid w:val="00E50441"/>
    <w:rsid w:val="00E50C5B"/>
    <w:rsid w:val="00E50C9B"/>
    <w:rsid w:val="00E511B4"/>
    <w:rsid w:val="00E513D6"/>
    <w:rsid w:val="00E519B8"/>
    <w:rsid w:val="00E51B86"/>
    <w:rsid w:val="00E51FC8"/>
    <w:rsid w:val="00E52106"/>
    <w:rsid w:val="00E52678"/>
    <w:rsid w:val="00E528D5"/>
    <w:rsid w:val="00E529AB"/>
    <w:rsid w:val="00E52A01"/>
    <w:rsid w:val="00E52B21"/>
    <w:rsid w:val="00E52B9F"/>
    <w:rsid w:val="00E52F19"/>
    <w:rsid w:val="00E52F3C"/>
    <w:rsid w:val="00E5330B"/>
    <w:rsid w:val="00E5379E"/>
    <w:rsid w:val="00E53C61"/>
    <w:rsid w:val="00E540D6"/>
    <w:rsid w:val="00E54290"/>
    <w:rsid w:val="00E542A1"/>
    <w:rsid w:val="00E543C8"/>
    <w:rsid w:val="00E54C5F"/>
    <w:rsid w:val="00E54DF2"/>
    <w:rsid w:val="00E54E51"/>
    <w:rsid w:val="00E54F12"/>
    <w:rsid w:val="00E550CA"/>
    <w:rsid w:val="00E550E4"/>
    <w:rsid w:val="00E551B1"/>
    <w:rsid w:val="00E554CF"/>
    <w:rsid w:val="00E555B0"/>
    <w:rsid w:val="00E557A0"/>
    <w:rsid w:val="00E558E1"/>
    <w:rsid w:val="00E55A1F"/>
    <w:rsid w:val="00E55CB3"/>
    <w:rsid w:val="00E55D0B"/>
    <w:rsid w:val="00E56387"/>
    <w:rsid w:val="00E56457"/>
    <w:rsid w:val="00E56586"/>
    <w:rsid w:val="00E568B6"/>
    <w:rsid w:val="00E56928"/>
    <w:rsid w:val="00E56B5A"/>
    <w:rsid w:val="00E57305"/>
    <w:rsid w:val="00E573C7"/>
    <w:rsid w:val="00E576A2"/>
    <w:rsid w:val="00E578FC"/>
    <w:rsid w:val="00E57934"/>
    <w:rsid w:val="00E57A54"/>
    <w:rsid w:val="00E57D46"/>
    <w:rsid w:val="00E57DF9"/>
    <w:rsid w:val="00E6028D"/>
    <w:rsid w:val="00E60451"/>
    <w:rsid w:val="00E60AB7"/>
    <w:rsid w:val="00E60BCB"/>
    <w:rsid w:val="00E60E79"/>
    <w:rsid w:val="00E61025"/>
    <w:rsid w:val="00E6152F"/>
    <w:rsid w:val="00E6176D"/>
    <w:rsid w:val="00E61861"/>
    <w:rsid w:val="00E61876"/>
    <w:rsid w:val="00E61970"/>
    <w:rsid w:val="00E61992"/>
    <w:rsid w:val="00E61A11"/>
    <w:rsid w:val="00E61BAF"/>
    <w:rsid w:val="00E61EBB"/>
    <w:rsid w:val="00E61F68"/>
    <w:rsid w:val="00E62059"/>
    <w:rsid w:val="00E620AD"/>
    <w:rsid w:val="00E62434"/>
    <w:rsid w:val="00E62776"/>
    <w:rsid w:val="00E62991"/>
    <w:rsid w:val="00E62D5F"/>
    <w:rsid w:val="00E62E48"/>
    <w:rsid w:val="00E62FD1"/>
    <w:rsid w:val="00E63075"/>
    <w:rsid w:val="00E634B0"/>
    <w:rsid w:val="00E634D6"/>
    <w:rsid w:val="00E635B3"/>
    <w:rsid w:val="00E637B9"/>
    <w:rsid w:val="00E6419A"/>
    <w:rsid w:val="00E64364"/>
    <w:rsid w:val="00E6460F"/>
    <w:rsid w:val="00E64655"/>
    <w:rsid w:val="00E646E5"/>
    <w:rsid w:val="00E64893"/>
    <w:rsid w:val="00E64BB4"/>
    <w:rsid w:val="00E64D36"/>
    <w:rsid w:val="00E65048"/>
    <w:rsid w:val="00E6513B"/>
    <w:rsid w:val="00E651A2"/>
    <w:rsid w:val="00E65799"/>
    <w:rsid w:val="00E657AB"/>
    <w:rsid w:val="00E6584D"/>
    <w:rsid w:val="00E65887"/>
    <w:rsid w:val="00E65BF5"/>
    <w:rsid w:val="00E65CCC"/>
    <w:rsid w:val="00E65E96"/>
    <w:rsid w:val="00E6614A"/>
    <w:rsid w:val="00E66291"/>
    <w:rsid w:val="00E6638D"/>
    <w:rsid w:val="00E66736"/>
    <w:rsid w:val="00E66A15"/>
    <w:rsid w:val="00E66DBA"/>
    <w:rsid w:val="00E6733D"/>
    <w:rsid w:val="00E676EA"/>
    <w:rsid w:val="00E67E3E"/>
    <w:rsid w:val="00E67E69"/>
    <w:rsid w:val="00E67F5A"/>
    <w:rsid w:val="00E67FE1"/>
    <w:rsid w:val="00E7010F"/>
    <w:rsid w:val="00E70191"/>
    <w:rsid w:val="00E703B0"/>
    <w:rsid w:val="00E703E9"/>
    <w:rsid w:val="00E704BA"/>
    <w:rsid w:val="00E7097A"/>
    <w:rsid w:val="00E70BBC"/>
    <w:rsid w:val="00E70DF2"/>
    <w:rsid w:val="00E70EC1"/>
    <w:rsid w:val="00E70EEC"/>
    <w:rsid w:val="00E710A6"/>
    <w:rsid w:val="00E71237"/>
    <w:rsid w:val="00E712FB"/>
    <w:rsid w:val="00E71822"/>
    <w:rsid w:val="00E71992"/>
    <w:rsid w:val="00E719EE"/>
    <w:rsid w:val="00E71A36"/>
    <w:rsid w:val="00E720BD"/>
    <w:rsid w:val="00E725FB"/>
    <w:rsid w:val="00E72753"/>
    <w:rsid w:val="00E729BD"/>
    <w:rsid w:val="00E72D52"/>
    <w:rsid w:val="00E72DC5"/>
    <w:rsid w:val="00E72E67"/>
    <w:rsid w:val="00E72ED2"/>
    <w:rsid w:val="00E73076"/>
    <w:rsid w:val="00E734D0"/>
    <w:rsid w:val="00E7380E"/>
    <w:rsid w:val="00E73877"/>
    <w:rsid w:val="00E73CA4"/>
    <w:rsid w:val="00E7430B"/>
    <w:rsid w:val="00E743B6"/>
    <w:rsid w:val="00E7443C"/>
    <w:rsid w:val="00E745AE"/>
    <w:rsid w:val="00E74E24"/>
    <w:rsid w:val="00E74FD2"/>
    <w:rsid w:val="00E75380"/>
    <w:rsid w:val="00E7546D"/>
    <w:rsid w:val="00E756A0"/>
    <w:rsid w:val="00E756F7"/>
    <w:rsid w:val="00E75AE4"/>
    <w:rsid w:val="00E75B4D"/>
    <w:rsid w:val="00E75D0A"/>
    <w:rsid w:val="00E76AEE"/>
    <w:rsid w:val="00E76B0F"/>
    <w:rsid w:val="00E76D37"/>
    <w:rsid w:val="00E76FE4"/>
    <w:rsid w:val="00E771E8"/>
    <w:rsid w:val="00E7761A"/>
    <w:rsid w:val="00E77851"/>
    <w:rsid w:val="00E7798F"/>
    <w:rsid w:val="00E77AA3"/>
    <w:rsid w:val="00E77BB9"/>
    <w:rsid w:val="00E77C0A"/>
    <w:rsid w:val="00E800F6"/>
    <w:rsid w:val="00E807CE"/>
    <w:rsid w:val="00E80B19"/>
    <w:rsid w:val="00E80BF6"/>
    <w:rsid w:val="00E80D37"/>
    <w:rsid w:val="00E81525"/>
    <w:rsid w:val="00E8155F"/>
    <w:rsid w:val="00E81628"/>
    <w:rsid w:val="00E81634"/>
    <w:rsid w:val="00E8171A"/>
    <w:rsid w:val="00E81D49"/>
    <w:rsid w:val="00E81DF3"/>
    <w:rsid w:val="00E82062"/>
    <w:rsid w:val="00E820AC"/>
    <w:rsid w:val="00E821FB"/>
    <w:rsid w:val="00E82259"/>
    <w:rsid w:val="00E82526"/>
    <w:rsid w:val="00E82BD2"/>
    <w:rsid w:val="00E82C59"/>
    <w:rsid w:val="00E83472"/>
    <w:rsid w:val="00E835C7"/>
    <w:rsid w:val="00E83807"/>
    <w:rsid w:val="00E83B56"/>
    <w:rsid w:val="00E83F09"/>
    <w:rsid w:val="00E84057"/>
    <w:rsid w:val="00E84221"/>
    <w:rsid w:val="00E84599"/>
    <w:rsid w:val="00E8476D"/>
    <w:rsid w:val="00E85336"/>
    <w:rsid w:val="00E85395"/>
    <w:rsid w:val="00E8570B"/>
    <w:rsid w:val="00E85DBB"/>
    <w:rsid w:val="00E85DEB"/>
    <w:rsid w:val="00E8635E"/>
    <w:rsid w:val="00E864E3"/>
    <w:rsid w:val="00E866A9"/>
    <w:rsid w:val="00E86814"/>
    <w:rsid w:val="00E8691B"/>
    <w:rsid w:val="00E86A00"/>
    <w:rsid w:val="00E86A49"/>
    <w:rsid w:val="00E86ABE"/>
    <w:rsid w:val="00E86B35"/>
    <w:rsid w:val="00E86F80"/>
    <w:rsid w:val="00E8709E"/>
    <w:rsid w:val="00E87135"/>
    <w:rsid w:val="00E8778A"/>
    <w:rsid w:val="00E87D1B"/>
    <w:rsid w:val="00E87D42"/>
    <w:rsid w:val="00E901B3"/>
    <w:rsid w:val="00E90C8C"/>
    <w:rsid w:val="00E90E1D"/>
    <w:rsid w:val="00E91035"/>
    <w:rsid w:val="00E91214"/>
    <w:rsid w:val="00E9152D"/>
    <w:rsid w:val="00E91564"/>
    <w:rsid w:val="00E91685"/>
    <w:rsid w:val="00E917B6"/>
    <w:rsid w:val="00E918ED"/>
    <w:rsid w:val="00E91936"/>
    <w:rsid w:val="00E91B24"/>
    <w:rsid w:val="00E91BD8"/>
    <w:rsid w:val="00E92033"/>
    <w:rsid w:val="00E921E8"/>
    <w:rsid w:val="00E923D5"/>
    <w:rsid w:val="00E92ADB"/>
    <w:rsid w:val="00E92BC9"/>
    <w:rsid w:val="00E92BFA"/>
    <w:rsid w:val="00E92F80"/>
    <w:rsid w:val="00E92FFF"/>
    <w:rsid w:val="00E9306E"/>
    <w:rsid w:val="00E93080"/>
    <w:rsid w:val="00E934E2"/>
    <w:rsid w:val="00E9364E"/>
    <w:rsid w:val="00E93B3C"/>
    <w:rsid w:val="00E93C04"/>
    <w:rsid w:val="00E94441"/>
    <w:rsid w:val="00E94EED"/>
    <w:rsid w:val="00E950BB"/>
    <w:rsid w:val="00E953C5"/>
    <w:rsid w:val="00E95515"/>
    <w:rsid w:val="00E95855"/>
    <w:rsid w:val="00E95B7A"/>
    <w:rsid w:val="00E95DCB"/>
    <w:rsid w:val="00E95F57"/>
    <w:rsid w:val="00E96046"/>
    <w:rsid w:val="00E963FA"/>
    <w:rsid w:val="00E965A9"/>
    <w:rsid w:val="00E9660F"/>
    <w:rsid w:val="00E96794"/>
    <w:rsid w:val="00E9683E"/>
    <w:rsid w:val="00E968BB"/>
    <w:rsid w:val="00E969D5"/>
    <w:rsid w:val="00E96C66"/>
    <w:rsid w:val="00E96F0D"/>
    <w:rsid w:val="00E96FE6"/>
    <w:rsid w:val="00E970DF"/>
    <w:rsid w:val="00E9731E"/>
    <w:rsid w:val="00E9739B"/>
    <w:rsid w:val="00E974BC"/>
    <w:rsid w:val="00E9752D"/>
    <w:rsid w:val="00E97860"/>
    <w:rsid w:val="00E9790A"/>
    <w:rsid w:val="00E97AD2"/>
    <w:rsid w:val="00E97C46"/>
    <w:rsid w:val="00E97DA2"/>
    <w:rsid w:val="00E97DC3"/>
    <w:rsid w:val="00EA0175"/>
    <w:rsid w:val="00EA0197"/>
    <w:rsid w:val="00EA04F0"/>
    <w:rsid w:val="00EA07BC"/>
    <w:rsid w:val="00EA0AE8"/>
    <w:rsid w:val="00EA0C2A"/>
    <w:rsid w:val="00EA1190"/>
    <w:rsid w:val="00EA1A13"/>
    <w:rsid w:val="00EA1D6E"/>
    <w:rsid w:val="00EA203C"/>
    <w:rsid w:val="00EA20DD"/>
    <w:rsid w:val="00EA21C1"/>
    <w:rsid w:val="00EA2674"/>
    <w:rsid w:val="00EA2972"/>
    <w:rsid w:val="00EA29A9"/>
    <w:rsid w:val="00EA2C04"/>
    <w:rsid w:val="00EA2C16"/>
    <w:rsid w:val="00EA2F88"/>
    <w:rsid w:val="00EA3069"/>
    <w:rsid w:val="00EA31BB"/>
    <w:rsid w:val="00EA35DE"/>
    <w:rsid w:val="00EA380F"/>
    <w:rsid w:val="00EA3847"/>
    <w:rsid w:val="00EA3A00"/>
    <w:rsid w:val="00EA3C5B"/>
    <w:rsid w:val="00EA3CEC"/>
    <w:rsid w:val="00EA3DFA"/>
    <w:rsid w:val="00EA40D4"/>
    <w:rsid w:val="00EA4184"/>
    <w:rsid w:val="00EA41DC"/>
    <w:rsid w:val="00EA46C4"/>
    <w:rsid w:val="00EA46EC"/>
    <w:rsid w:val="00EA4A48"/>
    <w:rsid w:val="00EA4B0E"/>
    <w:rsid w:val="00EA4CF9"/>
    <w:rsid w:val="00EA4EE0"/>
    <w:rsid w:val="00EA4F60"/>
    <w:rsid w:val="00EA4FFB"/>
    <w:rsid w:val="00EA50AD"/>
    <w:rsid w:val="00EA50BE"/>
    <w:rsid w:val="00EA5417"/>
    <w:rsid w:val="00EA552B"/>
    <w:rsid w:val="00EA5AFA"/>
    <w:rsid w:val="00EA5B74"/>
    <w:rsid w:val="00EA5C46"/>
    <w:rsid w:val="00EA5CB1"/>
    <w:rsid w:val="00EA5D3E"/>
    <w:rsid w:val="00EA5E55"/>
    <w:rsid w:val="00EA5F21"/>
    <w:rsid w:val="00EA62E0"/>
    <w:rsid w:val="00EA6831"/>
    <w:rsid w:val="00EA68BB"/>
    <w:rsid w:val="00EA6B99"/>
    <w:rsid w:val="00EA6BFE"/>
    <w:rsid w:val="00EA6ED8"/>
    <w:rsid w:val="00EA71C4"/>
    <w:rsid w:val="00EA720F"/>
    <w:rsid w:val="00EA7367"/>
    <w:rsid w:val="00EA782E"/>
    <w:rsid w:val="00EA7D88"/>
    <w:rsid w:val="00EA7DDA"/>
    <w:rsid w:val="00EB0056"/>
    <w:rsid w:val="00EB013C"/>
    <w:rsid w:val="00EB0243"/>
    <w:rsid w:val="00EB0364"/>
    <w:rsid w:val="00EB049B"/>
    <w:rsid w:val="00EB0A6F"/>
    <w:rsid w:val="00EB0B07"/>
    <w:rsid w:val="00EB0BF0"/>
    <w:rsid w:val="00EB0EE2"/>
    <w:rsid w:val="00EB0EF1"/>
    <w:rsid w:val="00EB0FE8"/>
    <w:rsid w:val="00EB1178"/>
    <w:rsid w:val="00EB1724"/>
    <w:rsid w:val="00EB1A2D"/>
    <w:rsid w:val="00EB2190"/>
    <w:rsid w:val="00EB288C"/>
    <w:rsid w:val="00EB28C1"/>
    <w:rsid w:val="00EB2986"/>
    <w:rsid w:val="00EB2B3C"/>
    <w:rsid w:val="00EB2C38"/>
    <w:rsid w:val="00EB2F5A"/>
    <w:rsid w:val="00EB3C76"/>
    <w:rsid w:val="00EB3D6D"/>
    <w:rsid w:val="00EB4002"/>
    <w:rsid w:val="00EB429A"/>
    <w:rsid w:val="00EB443B"/>
    <w:rsid w:val="00EB46DB"/>
    <w:rsid w:val="00EB4707"/>
    <w:rsid w:val="00EB4A80"/>
    <w:rsid w:val="00EB4CC8"/>
    <w:rsid w:val="00EB4E2E"/>
    <w:rsid w:val="00EB5131"/>
    <w:rsid w:val="00EB51A4"/>
    <w:rsid w:val="00EB5490"/>
    <w:rsid w:val="00EB594E"/>
    <w:rsid w:val="00EB5D89"/>
    <w:rsid w:val="00EB60AB"/>
    <w:rsid w:val="00EB622D"/>
    <w:rsid w:val="00EB67D9"/>
    <w:rsid w:val="00EB6C2B"/>
    <w:rsid w:val="00EB7296"/>
    <w:rsid w:val="00EB783F"/>
    <w:rsid w:val="00EB7B33"/>
    <w:rsid w:val="00EC0039"/>
    <w:rsid w:val="00EC0229"/>
    <w:rsid w:val="00EC06C3"/>
    <w:rsid w:val="00EC07F6"/>
    <w:rsid w:val="00EC0907"/>
    <w:rsid w:val="00EC0923"/>
    <w:rsid w:val="00EC0B4F"/>
    <w:rsid w:val="00EC0FCF"/>
    <w:rsid w:val="00EC135F"/>
    <w:rsid w:val="00EC13EB"/>
    <w:rsid w:val="00EC1431"/>
    <w:rsid w:val="00EC1557"/>
    <w:rsid w:val="00EC179F"/>
    <w:rsid w:val="00EC17BB"/>
    <w:rsid w:val="00EC1DF8"/>
    <w:rsid w:val="00EC1FEC"/>
    <w:rsid w:val="00EC2767"/>
    <w:rsid w:val="00EC28BC"/>
    <w:rsid w:val="00EC2E6C"/>
    <w:rsid w:val="00EC2EDA"/>
    <w:rsid w:val="00EC3346"/>
    <w:rsid w:val="00EC35C7"/>
    <w:rsid w:val="00EC3670"/>
    <w:rsid w:val="00EC374E"/>
    <w:rsid w:val="00EC38C7"/>
    <w:rsid w:val="00EC39C4"/>
    <w:rsid w:val="00EC3F9E"/>
    <w:rsid w:val="00EC40D7"/>
    <w:rsid w:val="00EC431E"/>
    <w:rsid w:val="00EC44F4"/>
    <w:rsid w:val="00EC4951"/>
    <w:rsid w:val="00EC4B91"/>
    <w:rsid w:val="00EC4E55"/>
    <w:rsid w:val="00EC5065"/>
    <w:rsid w:val="00EC517A"/>
    <w:rsid w:val="00EC58B8"/>
    <w:rsid w:val="00EC5A75"/>
    <w:rsid w:val="00EC5B68"/>
    <w:rsid w:val="00EC62EB"/>
    <w:rsid w:val="00EC64CA"/>
    <w:rsid w:val="00EC65C9"/>
    <w:rsid w:val="00EC68FD"/>
    <w:rsid w:val="00EC6CD3"/>
    <w:rsid w:val="00EC6CF4"/>
    <w:rsid w:val="00EC6DC2"/>
    <w:rsid w:val="00EC703C"/>
    <w:rsid w:val="00EC70AC"/>
    <w:rsid w:val="00EC70B3"/>
    <w:rsid w:val="00EC71C0"/>
    <w:rsid w:val="00EC71C9"/>
    <w:rsid w:val="00EC7500"/>
    <w:rsid w:val="00EC75A7"/>
    <w:rsid w:val="00EC76EE"/>
    <w:rsid w:val="00EC7901"/>
    <w:rsid w:val="00EC7B24"/>
    <w:rsid w:val="00EC7CBB"/>
    <w:rsid w:val="00ED015A"/>
    <w:rsid w:val="00ED02FD"/>
    <w:rsid w:val="00ED05D4"/>
    <w:rsid w:val="00ED06C9"/>
    <w:rsid w:val="00ED0A2E"/>
    <w:rsid w:val="00ED0A46"/>
    <w:rsid w:val="00ED0B18"/>
    <w:rsid w:val="00ED0B71"/>
    <w:rsid w:val="00ED0BD1"/>
    <w:rsid w:val="00ED0CE6"/>
    <w:rsid w:val="00ED0F16"/>
    <w:rsid w:val="00ED1203"/>
    <w:rsid w:val="00ED12A2"/>
    <w:rsid w:val="00ED1A77"/>
    <w:rsid w:val="00ED2285"/>
    <w:rsid w:val="00ED276F"/>
    <w:rsid w:val="00ED2BF1"/>
    <w:rsid w:val="00ED32BF"/>
    <w:rsid w:val="00ED3609"/>
    <w:rsid w:val="00ED3690"/>
    <w:rsid w:val="00ED3778"/>
    <w:rsid w:val="00ED37EA"/>
    <w:rsid w:val="00ED3917"/>
    <w:rsid w:val="00ED3A16"/>
    <w:rsid w:val="00ED3B6B"/>
    <w:rsid w:val="00ED3BE0"/>
    <w:rsid w:val="00ED3DF9"/>
    <w:rsid w:val="00ED3E6F"/>
    <w:rsid w:val="00ED4227"/>
    <w:rsid w:val="00ED4435"/>
    <w:rsid w:val="00ED45F4"/>
    <w:rsid w:val="00ED4609"/>
    <w:rsid w:val="00ED497A"/>
    <w:rsid w:val="00ED49F8"/>
    <w:rsid w:val="00ED4B28"/>
    <w:rsid w:val="00ED512A"/>
    <w:rsid w:val="00ED5221"/>
    <w:rsid w:val="00ED5389"/>
    <w:rsid w:val="00ED543F"/>
    <w:rsid w:val="00ED600A"/>
    <w:rsid w:val="00ED60B2"/>
    <w:rsid w:val="00ED62D4"/>
    <w:rsid w:val="00ED6325"/>
    <w:rsid w:val="00ED64B8"/>
    <w:rsid w:val="00ED681F"/>
    <w:rsid w:val="00ED6AC7"/>
    <w:rsid w:val="00ED6CDF"/>
    <w:rsid w:val="00ED6D43"/>
    <w:rsid w:val="00ED6E08"/>
    <w:rsid w:val="00ED71B3"/>
    <w:rsid w:val="00ED71BB"/>
    <w:rsid w:val="00ED72E2"/>
    <w:rsid w:val="00ED773F"/>
    <w:rsid w:val="00ED783B"/>
    <w:rsid w:val="00ED7FF6"/>
    <w:rsid w:val="00EE008C"/>
    <w:rsid w:val="00EE015C"/>
    <w:rsid w:val="00EE032F"/>
    <w:rsid w:val="00EE03F5"/>
    <w:rsid w:val="00EE0503"/>
    <w:rsid w:val="00EE0534"/>
    <w:rsid w:val="00EE0AD2"/>
    <w:rsid w:val="00EE0CA9"/>
    <w:rsid w:val="00EE0CFA"/>
    <w:rsid w:val="00EE0ED5"/>
    <w:rsid w:val="00EE10C5"/>
    <w:rsid w:val="00EE1504"/>
    <w:rsid w:val="00EE1896"/>
    <w:rsid w:val="00EE1951"/>
    <w:rsid w:val="00EE1A66"/>
    <w:rsid w:val="00EE1EA8"/>
    <w:rsid w:val="00EE2036"/>
    <w:rsid w:val="00EE2512"/>
    <w:rsid w:val="00EE260E"/>
    <w:rsid w:val="00EE2614"/>
    <w:rsid w:val="00EE278D"/>
    <w:rsid w:val="00EE2B80"/>
    <w:rsid w:val="00EE3045"/>
    <w:rsid w:val="00EE32B1"/>
    <w:rsid w:val="00EE361C"/>
    <w:rsid w:val="00EE3828"/>
    <w:rsid w:val="00EE38D9"/>
    <w:rsid w:val="00EE3A00"/>
    <w:rsid w:val="00EE3AEF"/>
    <w:rsid w:val="00EE3BC7"/>
    <w:rsid w:val="00EE3FAA"/>
    <w:rsid w:val="00EE4111"/>
    <w:rsid w:val="00EE4264"/>
    <w:rsid w:val="00EE433B"/>
    <w:rsid w:val="00EE4401"/>
    <w:rsid w:val="00EE4454"/>
    <w:rsid w:val="00EE46FF"/>
    <w:rsid w:val="00EE4AC5"/>
    <w:rsid w:val="00EE4EA4"/>
    <w:rsid w:val="00EE5237"/>
    <w:rsid w:val="00EE55DC"/>
    <w:rsid w:val="00EE57BD"/>
    <w:rsid w:val="00EE5896"/>
    <w:rsid w:val="00EE5905"/>
    <w:rsid w:val="00EE59C6"/>
    <w:rsid w:val="00EE5E5C"/>
    <w:rsid w:val="00EE61CF"/>
    <w:rsid w:val="00EE662C"/>
    <w:rsid w:val="00EE6A49"/>
    <w:rsid w:val="00EE6AED"/>
    <w:rsid w:val="00EE6D28"/>
    <w:rsid w:val="00EE6E7C"/>
    <w:rsid w:val="00EE700A"/>
    <w:rsid w:val="00EE7457"/>
    <w:rsid w:val="00EE7688"/>
    <w:rsid w:val="00EE769B"/>
    <w:rsid w:val="00EE786D"/>
    <w:rsid w:val="00EE7BB9"/>
    <w:rsid w:val="00EE7E94"/>
    <w:rsid w:val="00EE7F51"/>
    <w:rsid w:val="00EF0063"/>
    <w:rsid w:val="00EF00D9"/>
    <w:rsid w:val="00EF0265"/>
    <w:rsid w:val="00EF06AA"/>
    <w:rsid w:val="00EF0D6D"/>
    <w:rsid w:val="00EF0F19"/>
    <w:rsid w:val="00EF1197"/>
    <w:rsid w:val="00EF1613"/>
    <w:rsid w:val="00EF180B"/>
    <w:rsid w:val="00EF18CB"/>
    <w:rsid w:val="00EF1D83"/>
    <w:rsid w:val="00EF1FD9"/>
    <w:rsid w:val="00EF2028"/>
    <w:rsid w:val="00EF2167"/>
    <w:rsid w:val="00EF22BF"/>
    <w:rsid w:val="00EF24AD"/>
    <w:rsid w:val="00EF276C"/>
    <w:rsid w:val="00EF28A0"/>
    <w:rsid w:val="00EF2996"/>
    <w:rsid w:val="00EF2A21"/>
    <w:rsid w:val="00EF2A74"/>
    <w:rsid w:val="00EF2FFF"/>
    <w:rsid w:val="00EF31C5"/>
    <w:rsid w:val="00EF33A2"/>
    <w:rsid w:val="00EF3459"/>
    <w:rsid w:val="00EF3CB7"/>
    <w:rsid w:val="00EF3E65"/>
    <w:rsid w:val="00EF44D7"/>
    <w:rsid w:val="00EF44EF"/>
    <w:rsid w:val="00EF45CA"/>
    <w:rsid w:val="00EF48D1"/>
    <w:rsid w:val="00EF4B06"/>
    <w:rsid w:val="00EF4CAB"/>
    <w:rsid w:val="00EF4FA2"/>
    <w:rsid w:val="00EF4FFB"/>
    <w:rsid w:val="00EF5442"/>
    <w:rsid w:val="00EF56FB"/>
    <w:rsid w:val="00EF58A7"/>
    <w:rsid w:val="00EF5BCE"/>
    <w:rsid w:val="00EF5C9E"/>
    <w:rsid w:val="00EF61DB"/>
    <w:rsid w:val="00EF6253"/>
    <w:rsid w:val="00EF6512"/>
    <w:rsid w:val="00EF6687"/>
    <w:rsid w:val="00EF67CC"/>
    <w:rsid w:val="00EF6C11"/>
    <w:rsid w:val="00EF6C74"/>
    <w:rsid w:val="00EF6CCA"/>
    <w:rsid w:val="00EF6D38"/>
    <w:rsid w:val="00EF7042"/>
    <w:rsid w:val="00EF7266"/>
    <w:rsid w:val="00EF77A5"/>
    <w:rsid w:val="00EF783F"/>
    <w:rsid w:val="00EF791F"/>
    <w:rsid w:val="00EF7B1A"/>
    <w:rsid w:val="00EF7D60"/>
    <w:rsid w:val="00EF7F4A"/>
    <w:rsid w:val="00EF7F84"/>
    <w:rsid w:val="00F007AA"/>
    <w:rsid w:val="00F00ADB"/>
    <w:rsid w:val="00F00D72"/>
    <w:rsid w:val="00F00DC9"/>
    <w:rsid w:val="00F00E60"/>
    <w:rsid w:val="00F00EF3"/>
    <w:rsid w:val="00F0116B"/>
    <w:rsid w:val="00F01409"/>
    <w:rsid w:val="00F0177C"/>
    <w:rsid w:val="00F019A7"/>
    <w:rsid w:val="00F01B30"/>
    <w:rsid w:val="00F01B34"/>
    <w:rsid w:val="00F01C6D"/>
    <w:rsid w:val="00F01D59"/>
    <w:rsid w:val="00F02265"/>
    <w:rsid w:val="00F0268E"/>
    <w:rsid w:val="00F02B24"/>
    <w:rsid w:val="00F02ED6"/>
    <w:rsid w:val="00F030DD"/>
    <w:rsid w:val="00F03457"/>
    <w:rsid w:val="00F03505"/>
    <w:rsid w:val="00F03597"/>
    <w:rsid w:val="00F035F2"/>
    <w:rsid w:val="00F03607"/>
    <w:rsid w:val="00F0363B"/>
    <w:rsid w:val="00F036DB"/>
    <w:rsid w:val="00F038BA"/>
    <w:rsid w:val="00F03A5E"/>
    <w:rsid w:val="00F0420E"/>
    <w:rsid w:val="00F0450D"/>
    <w:rsid w:val="00F048A1"/>
    <w:rsid w:val="00F0493F"/>
    <w:rsid w:val="00F049D2"/>
    <w:rsid w:val="00F04FA3"/>
    <w:rsid w:val="00F0515B"/>
    <w:rsid w:val="00F054B5"/>
    <w:rsid w:val="00F05535"/>
    <w:rsid w:val="00F05679"/>
    <w:rsid w:val="00F0589C"/>
    <w:rsid w:val="00F0591E"/>
    <w:rsid w:val="00F05A6E"/>
    <w:rsid w:val="00F05A9D"/>
    <w:rsid w:val="00F0609A"/>
    <w:rsid w:val="00F060E0"/>
    <w:rsid w:val="00F0610D"/>
    <w:rsid w:val="00F0617D"/>
    <w:rsid w:val="00F061F2"/>
    <w:rsid w:val="00F06206"/>
    <w:rsid w:val="00F063AB"/>
    <w:rsid w:val="00F0658D"/>
    <w:rsid w:val="00F066E5"/>
    <w:rsid w:val="00F06B33"/>
    <w:rsid w:val="00F06D84"/>
    <w:rsid w:val="00F06EE0"/>
    <w:rsid w:val="00F074D2"/>
    <w:rsid w:val="00F0755F"/>
    <w:rsid w:val="00F075DD"/>
    <w:rsid w:val="00F0763D"/>
    <w:rsid w:val="00F079FF"/>
    <w:rsid w:val="00F07A21"/>
    <w:rsid w:val="00F104DD"/>
    <w:rsid w:val="00F10BA2"/>
    <w:rsid w:val="00F10E0B"/>
    <w:rsid w:val="00F10F7A"/>
    <w:rsid w:val="00F10F82"/>
    <w:rsid w:val="00F115F7"/>
    <w:rsid w:val="00F11EB7"/>
    <w:rsid w:val="00F1218E"/>
    <w:rsid w:val="00F12193"/>
    <w:rsid w:val="00F122C4"/>
    <w:rsid w:val="00F123F2"/>
    <w:rsid w:val="00F12538"/>
    <w:rsid w:val="00F1258D"/>
    <w:rsid w:val="00F12687"/>
    <w:rsid w:val="00F129EE"/>
    <w:rsid w:val="00F12B09"/>
    <w:rsid w:val="00F12BD4"/>
    <w:rsid w:val="00F12D8D"/>
    <w:rsid w:val="00F130C1"/>
    <w:rsid w:val="00F1387B"/>
    <w:rsid w:val="00F1422D"/>
    <w:rsid w:val="00F1459B"/>
    <w:rsid w:val="00F14CDE"/>
    <w:rsid w:val="00F14DEF"/>
    <w:rsid w:val="00F153F2"/>
    <w:rsid w:val="00F1549F"/>
    <w:rsid w:val="00F156B3"/>
    <w:rsid w:val="00F158A0"/>
    <w:rsid w:val="00F15B6D"/>
    <w:rsid w:val="00F15D5C"/>
    <w:rsid w:val="00F1608C"/>
    <w:rsid w:val="00F162DA"/>
    <w:rsid w:val="00F163CA"/>
    <w:rsid w:val="00F16495"/>
    <w:rsid w:val="00F16CBC"/>
    <w:rsid w:val="00F16DC7"/>
    <w:rsid w:val="00F16F69"/>
    <w:rsid w:val="00F16F90"/>
    <w:rsid w:val="00F17053"/>
    <w:rsid w:val="00F172CA"/>
    <w:rsid w:val="00F174AD"/>
    <w:rsid w:val="00F179BC"/>
    <w:rsid w:val="00F17DA8"/>
    <w:rsid w:val="00F17F24"/>
    <w:rsid w:val="00F17FAA"/>
    <w:rsid w:val="00F2074A"/>
    <w:rsid w:val="00F20778"/>
    <w:rsid w:val="00F2087F"/>
    <w:rsid w:val="00F20998"/>
    <w:rsid w:val="00F20DF6"/>
    <w:rsid w:val="00F20F85"/>
    <w:rsid w:val="00F21187"/>
    <w:rsid w:val="00F21456"/>
    <w:rsid w:val="00F2176A"/>
    <w:rsid w:val="00F21773"/>
    <w:rsid w:val="00F21A20"/>
    <w:rsid w:val="00F21A59"/>
    <w:rsid w:val="00F21C92"/>
    <w:rsid w:val="00F21DDD"/>
    <w:rsid w:val="00F2253C"/>
    <w:rsid w:val="00F226E6"/>
    <w:rsid w:val="00F22820"/>
    <w:rsid w:val="00F22822"/>
    <w:rsid w:val="00F22844"/>
    <w:rsid w:val="00F22916"/>
    <w:rsid w:val="00F22958"/>
    <w:rsid w:val="00F22A76"/>
    <w:rsid w:val="00F232DB"/>
    <w:rsid w:val="00F23355"/>
    <w:rsid w:val="00F2376E"/>
    <w:rsid w:val="00F237E9"/>
    <w:rsid w:val="00F238FA"/>
    <w:rsid w:val="00F23BFF"/>
    <w:rsid w:val="00F241AD"/>
    <w:rsid w:val="00F24257"/>
    <w:rsid w:val="00F242C5"/>
    <w:rsid w:val="00F24394"/>
    <w:rsid w:val="00F24471"/>
    <w:rsid w:val="00F2546C"/>
    <w:rsid w:val="00F2561B"/>
    <w:rsid w:val="00F257A1"/>
    <w:rsid w:val="00F25830"/>
    <w:rsid w:val="00F2593C"/>
    <w:rsid w:val="00F25D18"/>
    <w:rsid w:val="00F25E08"/>
    <w:rsid w:val="00F25E95"/>
    <w:rsid w:val="00F25F6F"/>
    <w:rsid w:val="00F2611A"/>
    <w:rsid w:val="00F268D9"/>
    <w:rsid w:val="00F2693D"/>
    <w:rsid w:val="00F26AAC"/>
    <w:rsid w:val="00F26AE2"/>
    <w:rsid w:val="00F26E7C"/>
    <w:rsid w:val="00F26FC4"/>
    <w:rsid w:val="00F27054"/>
    <w:rsid w:val="00F2711A"/>
    <w:rsid w:val="00F27192"/>
    <w:rsid w:val="00F27385"/>
    <w:rsid w:val="00F27889"/>
    <w:rsid w:val="00F278DA"/>
    <w:rsid w:val="00F27C7D"/>
    <w:rsid w:val="00F30068"/>
    <w:rsid w:val="00F303A3"/>
    <w:rsid w:val="00F303F5"/>
    <w:rsid w:val="00F30543"/>
    <w:rsid w:val="00F306AD"/>
    <w:rsid w:val="00F30EB4"/>
    <w:rsid w:val="00F31463"/>
    <w:rsid w:val="00F318B6"/>
    <w:rsid w:val="00F31CEC"/>
    <w:rsid w:val="00F31D63"/>
    <w:rsid w:val="00F32184"/>
    <w:rsid w:val="00F32240"/>
    <w:rsid w:val="00F326D4"/>
    <w:rsid w:val="00F3279F"/>
    <w:rsid w:val="00F32902"/>
    <w:rsid w:val="00F329CD"/>
    <w:rsid w:val="00F32CFE"/>
    <w:rsid w:val="00F32D54"/>
    <w:rsid w:val="00F32EC6"/>
    <w:rsid w:val="00F3329A"/>
    <w:rsid w:val="00F332E3"/>
    <w:rsid w:val="00F33308"/>
    <w:rsid w:val="00F336DF"/>
    <w:rsid w:val="00F33716"/>
    <w:rsid w:val="00F33B08"/>
    <w:rsid w:val="00F33B3E"/>
    <w:rsid w:val="00F33BFF"/>
    <w:rsid w:val="00F341D6"/>
    <w:rsid w:val="00F341F1"/>
    <w:rsid w:val="00F3473E"/>
    <w:rsid w:val="00F3542F"/>
    <w:rsid w:val="00F35AEB"/>
    <w:rsid w:val="00F35CDB"/>
    <w:rsid w:val="00F3628F"/>
    <w:rsid w:val="00F36330"/>
    <w:rsid w:val="00F3673D"/>
    <w:rsid w:val="00F36771"/>
    <w:rsid w:val="00F36787"/>
    <w:rsid w:val="00F36865"/>
    <w:rsid w:val="00F368AD"/>
    <w:rsid w:val="00F368BD"/>
    <w:rsid w:val="00F36A5F"/>
    <w:rsid w:val="00F36D73"/>
    <w:rsid w:val="00F37120"/>
    <w:rsid w:val="00F3741F"/>
    <w:rsid w:val="00F375BC"/>
    <w:rsid w:val="00F37688"/>
    <w:rsid w:val="00F37875"/>
    <w:rsid w:val="00F378E6"/>
    <w:rsid w:val="00F37A9D"/>
    <w:rsid w:val="00F37E2C"/>
    <w:rsid w:val="00F37E6F"/>
    <w:rsid w:val="00F40260"/>
    <w:rsid w:val="00F40656"/>
    <w:rsid w:val="00F406AF"/>
    <w:rsid w:val="00F40A33"/>
    <w:rsid w:val="00F40B58"/>
    <w:rsid w:val="00F40D01"/>
    <w:rsid w:val="00F40D28"/>
    <w:rsid w:val="00F40DA0"/>
    <w:rsid w:val="00F40F36"/>
    <w:rsid w:val="00F40F4F"/>
    <w:rsid w:val="00F41052"/>
    <w:rsid w:val="00F411CF"/>
    <w:rsid w:val="00F412D4"/>
    <w:rsid w:val="00F4146C"/>
    <w:rsid w:val="00F4162A"/>
    <w:rsid w:val="00F41F63"/>
    <w:rsid w:val="00F42002"/>
    <w:rsid w:val="00F420B4"/>
    <w:rsid w:val="00F4220C"/>
    <w:rsid w:val="00F423F6"/>
    <w:rsid w:val="00F4249C"/>
    <w:rsid w:val="00F424DA"/>
    <w:rsid w:val="00F42871"/>
    <w:rsid w:val="00F42AE3"/>
    <w:rsid w:val="00F42D24"/>
    <w:rsid w:val="00F4311C"/>
    <w:rsid w:val="00F43359"/>
    <w:rsid w:val="00F437B1"/>
    <w:rsid w:val="00F438D3"/>
    <w:rsid w:val="00F43941"/>
    <w:rsid w:val="00F43981"/>
    <w:rsid w:val="00F43E45"/>
    <w:rsid w:val="00F43F7A"/>
    <w:rsid w:val="00F4404E"/>
    <w:rsid w:val="00F4406D"/>
    <w:rsid w:val="00F446FB"/>
    <w:rsid w:val="00F4489D"/>
    <w:rsid w:val="00F44D1D"/>
    <w:rsid w:val="00F450CD"/>
    <w:rsid w:val="00F450D6"/>
    <w:rsid w:val="00F45515"/>
    <w:rsid w:val="00F45614"/>
    <w:rsid w:val="00F45D3E"/>
    <w:rsid w:val="00F45E71"/>
    <w:rsid w:val="00F461EA"/>
    <w:rsid w:val="00F46334"/>
    <w:rsid w:val="00F4654E"/>
    <w:rsid w:val="00F4695B"/>
    <w:rsid w:val="00F46C21"/>
    <w:rsid w:val="00F46FCC"/>
    <w:rsid w:val="00F470E0"/>
    <w:rsid w:val="00F473F1"/>
    <w:rsid w:val="00F47517"/>
    <w:rsid w:val="00F47701"/>
    <w:rsid w:val="00F47961"/>
    <w:rsid w:val="00F479DC"/>
    <w:rsid w:val="00F47D8B"/>
    <w:rsid w:val="00F47E65"/>
    <w:rsid w:val="00F47F1D"/>
    <w:rsid w:val="00F50018"/>
    <w:rsid w:val="00F5013F"/>
    <w:rsid w:val="00F502B2"/>
    <w:rsid w:val="00F502BB"/>
    <w:rsid w:val="00F505C8"/>
    <w:rsid w:val="00F506FD"/>
    <w:rsid w:val="00F50729"/>
    <w:rsid w:val="00F508D2"/>
    <w:rsid w:val="00F508ED"/>
    <w:rsid w:val="00F50BEE"/>
    <w:rsid w:val="00F510B8"/>
    <w:rsid w:val="00F51187"/>
    <w:rsid w:val="00F512EB"/>
    <w:rsid w:val="00F5138D"/>
    <w:rsid w:val="00F51894"/>
    <w:rsid w:val="00F51A65"/>
    <w:rsid w:val="00F51AA9"/>
    <w:rsid w:val="00F52085"/>
    <w:rsid w:val="00F5223B"/>
    <w:rsid w:val="00F5229F"/>
    <w:rsid w:val="00F52419"/>
    <w:rsid w:val="00F52749"/>
    <w:rsid w:val="00F52877"/>
    <w:rsid w:val="00F52979"/>
    <w:rsid w:val="00F52B4F"/>
    <w:rsid w:val="00F52C97"/>
    <w:rsid w:val="00F52E4D"/>
    <w:rsid w:val="00F52F6F"/>
    <w:rsid w:val="00F52FAB"/>
    <w:rsid w:val="00F53279"/>
    <w:rsid w:val="00F5376E"/>
    <w:rsid w:val="00F538E4"/>
    <w:rsid w:val="00F53A12"/>
    <w:rsid w:val="00F53BE9"/>
    <w:rsid w:val="00F53D93"/>
    <w:rsid w:val="00F53E07"/>
    <w:rsid w:val="00F53F4B"/>
    <w:rsid w:val="00F53F77"/>
    <w:rsid w:val="00F54204"/>
    <w:rsid w:val="00F54229"/>
    <w:rsid w:val="00F543B6"/>
    <w:rsid w:val="00F547B0"/>
    <w:rsid w:val="00F54C70"/>
    <w:rsid w:val="00F54CFC"/>
    <w:rsid w:val="00F54DAD"/>
    <w:rsid w:val="00F54DE9"/>
    <w:rsid w:val="00F552D7"/>
    <w:rsid w:val="00F5567D"/>
    <w:rsid w:val="00F55EF1"/>
    <w:rsid w:val="00F560C8"/>
    <w:rsid w:val="00F5612C"/>
    <w:rsid w:val="00F561EF"/>
    <w:rsid w:val="00F562CF"/>
    <w:rsid w:val="00F56843"/>
    <w:rsid w:val="00F56D8A"/>
    <w:rsid w:val="00F573F4"/>
    <w:rsid w:val="00F57457"/>
    <w:rsid w:val="00F57C21"/>
    <w:rsid w:val="00F57F45"/>
    <w:rsid w:val="00F60215"/>
    <w:rsid w:val="00F602D4"/>
    <w:rsid w:val="00F602E5"/>
    <w:rsid w:val="00F6030E"/>
    <w:rsid w:val="00F603E7"/>
    <w:rsid w:val="00F604CD"/>
    <w:rsid w:val="00F6069F"/>
    <w:rsid w:val="00F606BB"/>
    <w:rsid w:val="00F60890"/>
    <w:rsid w:val="00F60A54"/>
    <w:rsid w:val="00F60A7C"/>
    <w:rsid w:val="00F60E8B"/>
    <w:rsid w:val="00F61401"/>
    <w:rsid w:val="00F61452"/>
    <w:rsid w:val="00F61473"/>
    <w:rsid w:val="00F61AEE"/>
    <w:rsid w:val="00F61FA5"/>
    <w:rsid w:val="00F6253A"/>
    <w:rsid w:val="00F625A1"/>
    <w:rsid w:val="00F6262B"/>
    <w:rsid w:val="00F62B93"/>
    <w:rsid w:val="00F63233"/>
    <w:rsid w:val="00F632DF"/>
    <w:rsid w:val="00F6355A"/>
    <w:rsid w:val="00F636E1"/>
    <w:rsid w:val="00F63A11"/>
    <w:rsid w:val="00F63BA3"/>
    <w:rsid w:val="00F63CAC"/>
    <w:rsid w:val="00F6459D"/>
    <w:rsid w:val="00F6481E"/>
    <w:rsid w:val="00F65214"/>
    <w:rsid w:val="00F653C8"/>
    <w:rsid w:val="00F65479"/>
    <w:rsid w:val="00F65B47"/>
    <w:rsid w:val="00F662E5"/>
    <w:rsid w:val="00F6635A"/>
    <w:rsid w:val="00F6635C"/>
    <w:rsid w:val="00F664A3"/>
    <w:rsid w:val="00F664CA"/>
    <w:rsid w:val="00F667A8"/>
    <w:rsid w:val="00F668DD"/>
    <w:rsid w:val="00F668E4"/>
    <w:rsid w:val="00F66936"/>
    <w:rsid w:val="00F66A95"/>
    <w:rsid w:val="00F66BA1"/>
    <w:rsid w:val="00F66FA3"/>
    <w:rsid w:val="00F66FCE"/>
    <w:rsid w:val="00F67065"/>
    <w:rsid w:val="00F67447"/>
    <w:rsid w:val="00F678BA"/>
    <w:rsid w:val="00F67915"/>
    <w:rsid w:val="00F67BA0"/>
    <w:rsid w:val="00F67BE2"/>
    <w:rsid w:val="00F67E39"/>
    <w:rsid w:val="00F67ED8"/>
    <w:rsid w:val="00F67F7F"/>
    <w:rsid w:val="00F70415"/>
    <w:rsid w:val="00F70641"/>
    <w:rsid w:val="00F70761"/>
    <w:rsid w:val="00F70BB1"/>
    <w:rsid w:val="00F7137B"/>
    <w:rsid w:val="00F72058"/>
    <w:rsid w:val="00F720FC"/>
    <w:rsid w:val="00F7227F"/>
    <w:rsid w:val="00F72353"/>
    <w:rsid w:val="00F723D6"/>
    <w:rsid w:val="00F72519"/>
    <w:rsid w:val="00F7273C"/>
    <w:rsid w:val="00F72A47"/>
    <w:rsid w:val="00F72C0A"/>
    <w:rsid w:val="00F72E7A"/>
    <w:rsid w:val="00F72F02"/>
    <w:rsid w:val="00F734BD"/>
    <w:rsid w:val="00F73680"/>
    <w:rsid w:val="00F737FC"/>
    <w:rsid w:val="00F73D5E"/>
    <w:rsid w:val="00F7419F"/>
    <w:rsid w:val="00F74222"/>
    <w:rsid w:val="00F743D4"/>
    <w:rsid w:val="00F74474"/>
    <w:rsid w:val="00F744C7"/>
    <w:rsid w:val="00F74745"/>
    <w:rsid w:val="00F74985"/>
    <w:rsid w:val="00F74C45"/>
    <w:rsid w:val="00F74E92"/>
    <w:rsid w:val="00F75035"/>
    <w:rsid w:val="00F750E8"/>
    <w:rsid w:val="00F75318"/>
    <w:rsid w:val="00F7551C"/>
    <w:rsid w:val="00F75670"/>
    <w:rsid w:val="00F760F3"/>
    <w:rsid w:val="00F761D7"/>
    <w:rsid w:val="00F76341"/>
    <w:rsid w:val="00F77351"/>
    <w:rsid w:val="00F773B9"/>
    <w:rsid w:val="00F7796E"/>
    <w:rsid w:val="00F77CBC"/>
    <w:rsid w:val="00F801AB"/>
    <w:rsid w:val="00F805D9"/>
    <w:rsid w:val="00F80686"/>
    <w:rsid w:val="00F80736"/>
    <w:rsid w:val="00F80752"/>
    <w:rsid w:val="00F80AF0"/>
    <w:rsid w:val="00F80B5D"/>
    <w:rsid w:val="00F80BED"/>
    <w:rsid w:val="00F80E2B"/>
    <w:rsid w:val="00F811F7"/>
    <w:rsid w:val="00F8172F"/>
    <w:rsid w:val="00F81BC1"/>
    <w:rsid w:val="00F81CFD"/>
    <w:rsid w:val="00F81DFD"/>
    <w:rsid w:val="00F820B9"/>
    <w:rsid w:val="00F8232B"/>
    <w:rsid w:val="00F82518"/>
    <w:rsid w:val="00F82929"/>
    <w:rsid w:val="00F82BCD"/>
    <w:rsid w:val="00F82BD6"/>
    <w:rsid w:val="00F82D43"/>
    <w:rsid w:val="00F83702"/>
    <w:rsid w:val="00F837D9"/>
    <w:rsid w:val="00F83F5B"/>
    <w:rsid w:val="00F83F5C"/>
    <w:rsid w:val="00F83FF4"/>
    <w:rsid w:val="00F84AE2"/>
    <w:rsid w:val="00F84CCE"/>
    <w:rsid w:val="00F84EC1"/>
    <w:rsid w:val="00F84FBB"/>
    <w:rsid w:val="00F852E5"/>
    <w:rsid w:val="00F85313"/>
    <w:rsid w:val="00F85643"/>
    <w:rsid w:val="00F85B1D"/>
    <w:rsid w:val="00F85C64"/>
    <w:rsid w:val="00F86159"/>
    <w:rsid w:val="00F86357"/>
    <w:rsid w:val="00F867DF"/>
    <w:rsid w:val="00F86C57"/>
    <w:rsid w:val="00F86DE2"/>
    <w:rsid w:val="00F86ED1"/>
    <w:rsid w:val="00F86FC3"/>
    <w:rsid w:val="00F8700E"/>
    <w:rsid w:val="00F87092"/>
    <w:rsid w:val="00F871FF"/>
    <w:rsid w:val="00F872B0"/>
    <w:rsid w:val="00F87831"/>
    <w:rsid w:val="00F879C9"/>
    <w:rsid w:val="00F879FD"/>
    <w:rsid w:val="00F87B3A"/>
    <w:rsid w:val="00F87B81"/>
    <w:rsid w:val="00F87DEE"/>
    <w:rsid w:val="00F900AC"/>
    <w:rsid w:val="00F90106"/>
    <w:rsid w:val="00F9014D"/>
    <w:rsid w:val="00F901CB"/>
    <w:rsid w:val="00F9061A"/>
    <w:rsid w:val="00F907DE"/>
    <w:rsid w:val="00F9083F"/>
    <w:rsid w:val="00F90AE4"/>
    <w:rsid w:val="00F90E5B"/>
    <w:rsid w:val="00F9118C"/>
    <w:rsid w:val="00F9137E"/>
    <w:rsid w:val="00F91763"/>
    <w:rsid w:val="00F919C7"/>
    <w:rsid w:val="00F91AB2"/>
    <w:rsid w:val="00F91E5D"/>
    <w:rsid w:val="00F9209B"/>
    <w:rsid w:val="00F920C5"/>
    <w:rsid w:val="00F92502"/>
    <w:rsid w:val="00F927CD"/>
    <w:rsid w:val="00F92888"/>
    <w:rsid w:val="00F92AC5"/>
    <w:rsid w:val="00F92B1D"/>
    <w:rsid w:val="00F9305E"/>
    <w:rsid w:val="00F93356"/>
    <w:rsid w:val="00F933DC"/>
    <w:rsid w:val="00F93406"/>
    <w:rsid w:val="00F9371D"/>
    <w:rsid w:val="00F93856"/>
    <w:rsid w:val="00F9400F"/>
    <w:rsid w:val="00F946C9"/>
    <w:rsid w:val="00F946F8"/>
    <w:rsid w:val="00F94B28"/>
    <w:rsid w:val="00F94BFB"/>
    <w:rsid w:val="00F94D48"/>
    <w:rsid w:val="00F94F9B"/>
    <w:rsid w:val="00F9542A"/>
    <w:rsid w:val="00F95691"/>
    <w:rsid w:val="00F95914"/>
    <w:rsid w:val="00F9593A"/>
    <w:rsid w:val="00F95ED3"/>
    <w:rsid w:val="00F95FF9"/>
    <w:rsid w:val="00F96129"/>
    <w:rsid w:val="00F963D0"/>
    <w:rsid w:val="00F96552"/>
    <w:rsid w:val="00F9661A"/>
    <w:rsid w:val="00F967B4"/>
    <w:rsid w:val="00F96E28"/>
    <w:rsid w:val="00F97005"/>
    <w:rsid w:val="00F97216"/>
    <w:rsid w:val="00F97780"/>
    <w:rsid w:val="00F97A9E"/>
    <w:rsid w:val="00F97B2C"/>
    <w:rsid w:val="00F97BEA"/>
    <w:rsid w:val="00F97C68"/>
    <w:rsid w:val="00F97F67"/>
    <w:rsid w:val="00FA02FE"/>
    <w:rsid w:val="00FA07E4"/>
    <w:rsid w:val="00FA0A5A"/>
    <w:rsid w:val="00FA1038"/>
    <w:rsid w:val="00FA199E"/>
    <w:rsid w:val="00FA1B6A"/>
    <w:rsid w:val="00FA2187"/>
    <w:rsid w:val="00FA22A4"/>
    <w:rsid w:val="00FA2372"/>
    <w:rsid w:val="00FA23E3"/>
    <w:rsid w:val="00FA24CD"/>
    <w:rsid w:val="00FA257F"/>
    <w:rsid w:val="00FA2AB5"/>
    <w:rsid w:val="00FA3335"/>
    <w:rsid w:val="00FA3448"/>
    <w:rsid w:val="00FA36A9"/>
    <w:rsid w:val="00FA373D"/>
    <w:rsid w:val="00FA3B82"/>
    <w:rsid w:val="00FA3CCA"/>
    <w:rsid w:val="00FA3CCF"/>
    <w:rsid w:val="00FA43BF"/>
    <w:rsid w:val="00FA4414"/>
    <w:rsid w:val="00FA45F4"/>
    <w:rsid w:val="00FA47BB"/>
    <w:rsid w:val="00FA4B98"/>
    <w:rsid w:val="00FA4D39"/>
    <w:rsid w:val="00FA4E5D"/>
    <w:rsid w:val="00FA5189"/>
    <w:rsid w:val="00FA5226"/>
    <w:rsid w:val="00FA5499"/>
    <w:rsid w:val="00FA564A"/>
    <w:rsid w:val="00FA57A1"/>
    <w:rsid w:val="00FA5AB5"/>
    <w:rsid w:val="00FA6336"/>
    <w:rsid w:val="00FA6555"/>
    <w:rsid w:val="00FA678F"/>
    <w:rsid w:val="00FA6EAC"/>
    <w:rsid w:val="00FA7095"/>
    <w:rsid w:val="00FA7471"/>
    <w:rsid w:val="00FA7574"/>
    <w:rsid w:val="00FA7696"/>
    <w:rsid w:val="00FA7700"/>
    <w:rsid w:val="00FA7856"/>
    <w:rsid w:val="00FA7943"/>
    <w:rsid w:val="00FA7A1D"/>
    <w:rsid w:val="00FA7A81"/>
    <w:rsid w:val="00FA7A94"/>
    <w:rsid w:val="00FA7EEF"/>
    <w:rsid w:val="00FB0173"/>
    <w:rsid w:val="00FB0328"/>
    <w:rsid w:val="00FB05B8"/>
    <w:rsid w:val="00FB05E1"/>
    <w:rsid w:val="00FB06B3"/>
    <w:rsid w:val="00FB0DB7"/>
    <w:rsid w:val="00FB0EA4"/>
    <w:rsid w:val="00FB0F4C"/>
    <w:rsid w:val="00FB0F79"/>
    <w:rsid w:val="00FB14A2"/>
    <w:rsid w:val="00FB1949"/>
    <w:rsid w:val="00FB1996"/>
    <w:rsid w:val="00FB22B4"/>
    <w:rsid w:val="00FB25D8"/>
    <w:rsid w:val="00FB28CE"/>
    <w:rsid w:val="00FB28D9"/>
    <w:rsid w:val="00FB2A82"/>
    <w:rsid w:val="00FB2CA0"/>
    <w:rsid w:val="00FB30C6"/>
    <w:rsid w:val="00FB31CE"/>
    <w:rsid w:val="00FB3442"/>
    <w:rsid w:val="00FB3577"/>
    <w:rsid w:val="00FB3611"/>
    <w:rsid w:val="00FB36C3"/>
    <w:rsid w:val="00FB38D9"/>
    <w:rsid w:val="00FB3A63"/>
    <w:rsid w:val="00FB3A9B"/>
    <w:rsid w:val="00FB3EF7"/>
    <w:rsid w:val="00FB3F03"/>
    <w:rsid w:val="00FB46A0"/>
    <w:rsid w:val="00FB46EF"/>
    <w:rsid w:val="00FB4786"/>
    <w:rsid w:val="00FB48C0"/>
    <w:rsid w:val="00FB4933"/>
    <w:rsid w:val="00FB4DD9"/>
    <w:rsid w:val="00FB5150"/>
    <w:rsid w:val="00FB5180"/>
    <w:rsid w:val="00FB52F9"/>
    <w:rsid w:val="00FB56F4"/>
    <w:rsid w:val="00FB57B6"/>
    <w:rsid w:val="00FB58CD"/>
    <w:rsid w:val="00FB5D4E"/>
    <w:rsid w:val="00FB5DD3"/>
    <w:rsid w:val="00FB5FBC"/>
    <w:rsid w:val="00FB66C8"/>
    <w:rsid w:val="00FB6D02"/>
    <w:rsid w:val="00FB6E22"/>
    <w:rsid w:val="00FB738B"/>
    <w:rsid w:val="00FB753A"/>
    <w:rsid w:val="00FB78F8"/>
    <w:rsid w:val="00FB7A6D"/>
    <w:rsid w:val="00FC00C5"/>
    <w:rsid w:val="00FC02F3"/>
    <w:rsid w:val="00FC0587"/>
    <w:rsid w:val="00FC0898"/>
    <w:rsid w:val="00FC09B2"/>
    <w:rsid w:val="00FC0D28"/>
    <w:rsid w:val="00FC0D81"/>
    <w:rsid w:val="00FC1040"/>
    <w:rsid w:val="00FC1081"/>
    <w:rsid w:val="00FC10B9"/>
    <w:rsid w:val="00FC12F4"/>
    <w:rsid w:val="00FC1661"/>
    <w:rsid w:val="00FC1721"/>
    <w:rsid w:val="00FC18EA"/>
    <w:rsid w:val="00FC1B05"/>
    <w:rsid w:val="00FC1D69"/>
    <w:rsid w:val="00FC1F09"/>
    <w:rsid w:val="00FC210C"/>
    <w:rsid w:val="00FC22A6"/>
    <w:rsid w:val="00FC2348"/>
    <w:rsid w:val="00FC23DE"/>
    <w:rsid w:val="00FC24A8"/>
    <w:rsid w:val="00FC2A0C"/>
    <w:rsid w:val="00FC2CF7"/>
    <w:rsid w:val="00FC2EB5"/>
    <w:rsid w:val="00FC2FE0"/>
    <w:rsid w:val="00FC32CD"/>
    <w:rsid w:val="00FC3670"/>
    <w:rsid w:val="00FC36F3"/>
    <w:rsid w:val="00FC4104"/>
    <w:rsid w:val="00FC4281"/>
    <w:rsid w:val="00FC42D3"/>
    <w:rsid w:val="00FC4351"/>
    <w:rsid w:val="00FC45F7"/>
    <w:rsid w:val="00FC48DD"/>
    <w:rsid w:val="00FC4EAD"/>
    <w:rsid w:val="00FC509D"/>
    <w:rsid w:val="00FC54D3"/>
    <w:rsid w:val="00FC5596"/>
    <w:rsid w:val="00FC568E"/>
    <w:rsid w:val="00FC5695"/>
    <w:rsid w:val="00FC57CE"/>
    <w:rsid w:val="00FC5808"/>
    <w:rsid w:val="00FC599D"/>
    <w:rsid w:val="00FC59EC"/>
    <w:rsid w:val="00FC5B4A"/>
    <w:rsid w:val="00FC5CD1"/>
    <w:rsid w:val="00FC5F92"/>
    <w:rsid w:val="00FC6046"/>
    <w:rsid w:val="00FC60A6"/>
    <w:rsid w:val="00FC61E1"/>
    <w:rsid w:val="00FC646D"/>
    <w:rsid w:val="00FC691E"/>
    <w:rsid w:val="00FC745A"/>
    <w:rsid w:val="00FC766D"/>
    <w:rsid w:val="00FC7817"/>
    <w:rsid w:val="00FC7AD4"/>
    <w:rsid w:val="00FC7AEF"/>
    <w:rsid w:val="00FC7E40"/>
    <w:rsid w:val="00FD00C1"/>
    <w:rsid w:val="00FD050D"/>
    <w:rsid w:val="00FD0A9E"/>
    <w:rsid w:val="00FD0BA1"/>
    <w:rsid w:val="00FD0BAD"/>
    <w:rsid w:val="00FD0D0E"/>
    <w:rsid w:val="00FD112D"/>
    <w:rsid w:val="00FD11E5"/>
    <w:rsid w:val="00FD129D"/>
    <w:rsid w:val="00FD16F1"/>
    <w:rsid w:val="00FD1746"/>
    <w:rsid w:val="00FD17AB"/>
    <w:rsid w:val="00FD1A48"/>
    <w:rsid w:val="00FD1CD2"/>
    <w:rsid w:val="00FD1D3E"/>
    <w:rsid w:val="00FD1D5D"/>
    <w:rsid w:val="00FD1EC3"/>
    <w:rsid w:val="00FD21F6"/>
    <w:rsid w:val="00FD23A1"/>
    <w:rsid w:val="00FD2887"/>
    <w:rsid w:val="00FD30EC"/>
    <w:rsid w:val="00FD3436"/>
    <w:rsid w:val="00FD371C"/>
    <w:rsid w:val="00FD37CA"/>
    <w:rsid w:val="00FD3E25"/>
    <w:rsid w:val="00FD3E42"/>
    <w:rsid w:val="00FD421A"/>
    <w:rsid w:val="00FD425A"/>
    <w:rsid w:val="00FD4770"/>
    <w:rsid w:val="00FD4D26"/>
    <w:rsid w:val="00FD4D62"/>
    <w:rsid w:val="00FD4E53"/>
    <w:rsid w:val="00FD4F2F"/>
    <w:rsid w:val="00FD5112"/>
    <w:rsid w:val="00FD534B"/>
    <w:rsid w:val="00FD5567"/>
    <w:rsid w:val="00FD58F9"/>
    <w:rsid w:val="00FD5A33"/>
    <w:rsid w:val="00FD62B9"/>
    <w:rsid w:val="00FD6443"/>
    <w:rsid w:val="00FD6461"/>
    <w:rsid w:val="00FD64A3"/>
    <w:rsid w:val="00FD6508"/>
    <w:rsid w:val="00FD65C6"/>
    <w:rsid w:val="00FD65E7"/>
    <w:rsid w:val="00FD6C10"/>
    <w:rsid w:val="00FD70FE"/>
    <w:rsid w:val="00FD7303"/>
    <w:rsid w:val="00FD731F"/>
    <w:rsid w:val="00FD7947"/>
    <w:rsid w:val="00FD7992"/>
    <w:rsid w:val="00FD7A91"/>
    <w:rsid w:val="00FD7ED6"/>
    <w:rsid w:val="00FE021D"/>
    <w:rsid w:val="00FE0242"/>
    <w:rsid w:val="00FE02A5"/>
    <w:rsid w:val="00FE0436"/>
    <w:rsid w:val="00FE052D"/>
    <w:rsid w:val="00FE05BA"/>
    <w:rsid w:val="00FE0A63"/>
    <w:rsid w:val="00FE107B"/>
    <w:rsid w:val="00FE128F"/>
    <w:rsid w:val="00FE135C"/>
    <w:rsid w:val="00FE14BB"/>
    <w:rsid w:val="00FE159C"/>
    <w:rsid w:val="00FE16BF"/>
    <w:rsid w:val="00FE18CA"/>
    <w:rsid w:val="00FE1A80"/>
    <w:rsid w:val="00FE1AB1"/>
    <w:rsid w:val="00FE1BA2"/>
    <w:rsid w:val="00FE1CEA"/>
    <w:rsid w:val="00FE1F02"/>
    <w:rsid w:val="00FE2027"/>
    <w:rsid w:val="00FE23BE"/>
    <w:rsid w:val="00FE2531"/>
    <w:rsid w:val="00FE26AE"/>
    <w:rsid w:val="00FE288E"/>
    <w:rsid w:val="00FE28D1"/>
    <w:rsid w:val="00FE296B"/>
    <w:rsid w:val="00FE29A1"/>
    <w:rsid w:val="00FE2ECC"/>
    <w:rsid w:val="00FE33E3"/>
    <w:rsid w:val="00FE3A1E"/>
    <w:rsid w:val="00FE3E65"/>
    <w:rsid w:val="00FE3FCF"/>
    <w:rsid w:val="00FE4500"/>
    <w:rsid w:val="00FE47D8"/>
    <w:rsid w:val="00FE49DD"/>
    <w:rsid w:val="00FE4ABB"/>
    <w:rsid w:val="00FE4C84"/>
    <w:rsid w:val="00FE4E28"/>
    <w:rsid w:val="00FE5021"/>
    <w:rsid w:val="00FE50BA"/>
    <w:rsid w:val="00FE50EC"/>
    <w:rsid w:val="00FE54C4"/>
    <w:rsid w:val="00FE57DA"/>
    <w:rsid w:val="00FE57ED"/>
    <w:rsid w:val="00FE5B88"/>
    <w:rsid w:val="00FE5DA6"/>
    <w:rsid w:val="00FE65CA"/>
    <w:rsid w:val="00FE6BA0"/>
    <w:rsid w:val="00FE702B"/>
    <w:rsid w:val="00FE71BB"/>
    <w:rsid w:val="00FE75B7"/>
    <w:rsid w:val="00FE79A5"/>
    <w:rsid w:val="00FE7B81"/>
    <w:rsid w:val="00FE7C83"/>
    <w:rsid w:val="00FF0121"/>
    <w:rsid w:val="00FF0336"/>
    <w:rsid w:val="00FF0505"/>
    <w:rsid w:val="00FF0A2C"/>
    <w:rsid w:val="00FF0A58"/>
    <w:rsid w:val="00FF0CA4"/>
    <w:rsid w:val="00FF0D07"/>
    <w:rsid w:val="00FF0E47"/>
    <w:rsid w:val="00FF0FEE"/>
    <w:rsid w:val="00FF10F8"/>
    <w:rsid w:val="00FF1425"/>
    <w:rsid w:val="00FF14D0"/>
    <w:rsid w:val="00FF1574"/>
    <w:rsid w:val="00FF17F7"/>
    <w:rsid w:val="00FF19D3"/>
    <w:rsid w:val="00FF19E2"/>
    <w:rsid w:val="00FF1A0B"/>
    <w:rsid w:val="00FF1B27"/>
    <w:rsid w:val="00FF1C37"/>
    <w:rsid w:val="00FF1D7B"/>
    <w:rsid w:val="00FF1E80"/>
    <w:rsid w:val="00FF1EEE"/>
    <w:rsid w:val="00FF20E1"/>
    <w:rsid w:val="00FF2E14"/>
    <w:rsid w:val="00FF2E2C"/>
    <w:rsid w:val="00FF2F7F"/>
    <w:rsid w:val="00FF351A"/>
    <w:rsid w:val="00FF36E1"/>
    <w:rsid w:val="00FF38C9"/>
    <w:rsid w:val="00FF3B03"/>
    <w:rsid w:val="00FF3C8D"/>
    <w:rsid w:val="00FF3E9D"/>
    <w:rsid w:val="00FF41E4"/>
    <w:rsid w:val="00FF42DF"/>
    <w:rsid w:val="00FF43F0"/>
    <w:rsid w:val="00FF45C9"/>
    <w:rsid w:val="00FF488E"/>
    <w:rsid w:val="00FF4927"/>
    <w:rsid w:val="00FF4C0E"/>
    <w:rsid w:val="00FF52AD"/>
    <w:rsid w:val="00FF61F1"/>
    <w:rsid w:val="00FF64A0"/>
    <w:rsid w:val="00FF65AA"/>
    <w:rsid w:val="00FF6B4D"/>
    <w:rsid w:val="00FF6B9D"/>
    <w:rsid w:val="00FF6BFC"/>
    <w:rsid w:val="00FF6F16"/>
    <w:rsid w:val="00FF76B3"/>
    <w:rsid w:val="00FF7772"/>
    <w:rsid w:val="00FF7828"/>
    <w:rsid w:val="00FF7A09"/>
    <w:rsid w:val="00FF7A17"/>
    <w:rsid w:val="00FF7F91"/>
  </w:rsids>
  <m:mathPr>
    <m:mathFont m:val="Cambria Math"/>
    <m:brkBin m:val="before"/>
    <m:brkBinSub m:val="--"/>
    <m:smallFrac/>
    <m:dispDef/>
    <m:lMargin m:val="0"/>
    <m:rMargin m:val="0"/>
    <m:defJc m:val="centerGroup"/>
    <m:wrapIndent m:val="1440"/>
    <m:intLim m:val="subSup"/>
    <m:naryLim m:val="undOvr"/>
  </m:mathPr>
  <w:attachedSchema w:val="http://schemas.microsoft.com/office/word/2003/wordmlhttp://schemas.microsoft.com/office/word/2003/wordmlurn:schemas-microsoft-com:office:smarttags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Number" w:qFormat="1"/>
    <w:lsdException w:name="List Number 2" w:qFormat="1"/>
    <w:lsdException w:name="List Number 3" w:qFormat="1"/>
    <w:lsdException w:name="List Number 4" w:uiPriority="13"/>
    <w:lsdException w:name="Title" w:uiPriority="10"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Table numbers + курсив"/>
    <w:qFormat/>
    <w:rsid w:val="00F9400F"/>
    <w:rPr>
      <w:rFonts w:ascii="Arial" w:hAnsi="Arial"/>
      <w:sz w:val="18"/>
      <w:lang w:val="en-GB"/>
    </w:rPr>
  </w:style>
  <w:style w:type="paragraph" w:styleId="1">
    <w:name w:val="heading 1"/>
    <w:basedOn w:val="a0"/>
    <w:next w:val="a0"/>
    <w:link w:val="10"/>
    <w:uiPriority w:val="9"/>
    <w:qFormat/>
    <w:rsid w:val="00166F1A"/>
    <w:pPr>
      <w:keepNext/>
      <w:numPr>
        <w:numId w:val="9"/>
      </w:numPr>
      <w:tabs>
        <w:tab w:val="clear" w:pos="567"/>
        <w:tab w:val="num" w:pos="709"/>
      </w:tabs>
      <w:spacing w:before="240" w:after="240"/>
      <w:ind w:left="709"/>
      <w:outlineLvl w:val="0"/>
    </w:pPr>
    <w:rPr>
      <w:b/>
      <w:kern w:val="28"/>
      <w:sz w:val="20"/>
    </w:rPr>
  </w:style>
  <w:style w:type="paragraph" w:styleId="20">
    <w:name w:val="heading 2"/>
    <w:basedOn w:val="a0"/>
    <w:next w:val="a0"/>
    <w:qFormat/>
    <w:rsid w:val="00166F1A"/>
    <w:pPr>
      <w:keepNext/>
      <w:spacing w:before="240" w:after="60"/>
      <w:outlineLvl w:val="1"/>
    </w:pPr>
    <w:rPr>
      <w:b/>
      <w:i/>
      <w:sz w:val="24"/>
    </w:rPr>
  </w:style>
  <w:style w:type="paragraph" w:styleId="30">
    <w:name w:val="heading 3"/>
    <w:basedOn w:val="a0"/>
    <w:next w:val="a0"/>
    <w:link w:val="31"/>
    <w:qFormat/>
    <w:rsid w:val="00166F1A"/>
    <w:pPr>
      <w:keepNext/>
      <w:keepLines/>
      <w:tabs>
        <w:tab w:val="left" w:pos="2483"/>
        <w:tab w:val="left" w:pos="4154"/>
        <w:tab w:val="left" w:pos="5963"/>
        <w:tab w:val="left" w:pos="7495"/>
        <w:tab w:val="left" w:pos="9192"/>
      </w:tabs>
      <w:outlineLvl w:val="2"/>
    </w:pPr>
    <w:rPr>
      <w:b/>
    </w:rPr>
  </w:style>
  <w:style w:type="paragraph" w:styleId="40">
    <w:name w:val="heading 4"/>
    <w:basedOn w:val="a0"/>
    <w:next w:val="a0"/>
    <w:qFormat/>
    <w:rsid w:val="00166F1A"/>
    <w:pPr>
      <w:keepNext/>
      <w:outlineLvl w:val="3"/>
    </w:pPr>
    <w:rPr>
      <w:u w:val="single"/>
    </w:rPr>
  </w:style>
  <w:style w:type="paragraph" w:styleId="50">
    <w:name w:val="heading 5"/>
    <w:basedOn w:val="a0"/>
    <w:next w:val="a0"/>
    <w:qFormat/>
    <w:rsid w:val="00166F1A"/>
    <w:pPr>
      <w:keepNext/>
      <w:spacing w:after="240"/>
      <w:ind w:left="709"/>
      <w:jc w:val="both"/>
      <w:outlineLvl w:val="4"/>
    </w:pPr>
    <w:rPr>
      <w:sz w:val="24"/>
    </w:rPr>
  </w:style>
  <w:style w:type="paragraph" w:styleId="6">
    <w:name w:val="heading 6"/>
    <w:basedOn w:val="a0"/>
    <w:next w:val="a0"/>
    <w:qFormat/>
    <w:rsid w:val="00166F1A"/>
    <w:pPr>
      <w:keepNext/>
      <w:keepLines/>
      <w:ind w:left="228" w:hanging="228"/>
      <w:outlineLvl w:val="5"/>
    </w:pPr>
    <w:rPr>
      <w:b/>
    </w:rPr>
  </w:style>
  <w:style w:type="paragraph" w:styleId="7">
    <w:name w:val="heading 7"/>
    <w:basedOn w:val="a0"/>
    <w:next w:val="a0"/>
    <w:qFormat/>
    <w:rsid w:val="00166F1A"/>
    <w:pPr>
      <w:keepNext/>
      <w:ind w:left="228" w:hanging="228"/>
      <w:outlineLvl w:val="6"/>
    </w:pPr>
    <w:rPr>
      <w:b/>
      <w:sz w:val="24"/>
    </w:rPr>
  </w:style>
  <w:style w:type="paragraph" w:styleId="8">
    <w:name w:val="heading 8"/>
    <w:basedOn w:val="a0"/>
    <w:next w:val="a0"/>
    <w:qFormat/>
    <w:rsid w:val="00166F1A"/>
    <w:pPr>
      <w:keepNext/>
      <w:keepLines/>
      <w:ind w:left="228" w:hanging="228"/>
      <w:outlineLvl w:val="7"/>
    </w:pPr>
    <w:rPr>
      <w:b/>
    </w:rPr>
  </w:style>
  <w:style w:type="paragraph" w:styleId="9">
    <w:name w:val="heading 9"/>
    <w:basedOn w:val="a0"/>
    <w:next w:val="a0"/>
    <w:qFormat/>
    <w:rsid w:val="00166F1A"/>
    <w:pPr>
      <w:keepNext/>
      <w:keepLines/>
      <w:ind w:right="74"/>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itreABC2">
    <w:name w:val="Titre ABC2"/>
    <w:basedOn w:val="21"/>
    <w:rsid w:val="00166F1A"/>
    <w:pPr>
      <w:ind w:left="198" w:hanging="198"/>
    </w:pPr>
    <w:rPr>
      <w:b/>
      <w:lang w:val="en-US"/>
    </w:rPr>
  </w:style>
  <w:style w:type="paragraph" w:styleId="21">
    <w:name w:val="index 2"/>
    <w:basedOn w:val="a0"/>
    <w:next w:val="a0"/>
    <w:uiPriority w:val="99"/>
    <w:semiHidden/>
    <w:rsid w:val="00166F1A"/>
    <w:pPr>
      <w:tabs>
        <w:tab w:val="right" w:leader="dot" w:pos="8782"/>
      </w:tabs>
      <w:ind w:left="400" w:hanging="200"/>
    </w:pPr>
  </w:style>
  <w:style w:type="paragraph" w:customStyle="1" w:styleId="ABCTitle">
    <w:name w:val="ABC Title"/>
    <w:basedOn w:val="20"/>
    <w:rsid w:val="00166F1A"/>
    <w:pPr>
      <w:tabs>
        <w:tab w:val="left" w:pos="2268"/>
      </w:tabs>
      <w:spacing w:before="60" w:after="0"/>
      <w:outlineLvl w:val="9"/>
    </w:pPr>
    <w:rPr>
      <w:i w:val="0"/>
      <w:smallCaps/>
      <w:sz w:val="20"/>
      <w:lang w:val="en-US"/>
    </w:rPr>
  </w:style>
  <w:style w:type="paragraph" w:customStyle="1" w:styleId="Name">
    <w:name w:val="Name"/>
    <w:rsid w:val="00166F1A"/>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rFonts w:ascii="Arial" w:hAnsi="Arial"/>
      <w:b/>
      <w:smallCaps/>
      <w:spacing w:val="-2"/>
      <w:sz w:val="22"/>
      <w:lang w:val="en-GB"/>
    </w:rPr>
  </w:style>
  <w:style w:type="paragraph" w:styleId="11">
    <w:name w:val="index 1"/>
    <w:basedOn w:val="a0"/>
    <w:next w:val="a0"/>
    <w:autoRedefine/>
    <w:semiHidden/>
    <w:rsid w:val="00EB2190"/>
    <w:pPr>
      <w:ind w:left="85" w:hanging="85"/>
    </w:pPr>
    <w:rPr>
      <w:rFonts w:cs="Arial"/>
      <w:i/>
      <w:iCs/>
      <w:color w:val="000000"/>
      <w:szCs w:val="18"/>
      <w:lang w:val="ru-RU"/>
    </w:rPr>
  </w:style>
  <w:style w:type="paragraph" w:styleId="12">
    <w:name w:val="toc 1"/>
    <w:basedOn w:val="a0"/>
    <w:next w:val="a0"/>
    <w:autoRedefine/>
    <w:uiPriority w:val="39"/>
    <w:rsid w:val="00166F1A"/>
    <w:pPr>
      <w:tabs>
        <w:tab w:val="left" w:pos="567"/>
        <w:tab w:val="right" w:leader="dot" w:pos="9356"/>
      </w:tabs>
      <w:ind w:left="567" w:right="850" w:hanging="567"/>
    </w:pPr>
  </w:style>
  <w:style w:type="paragraph" w:styleId="22">
    <w:name w:val="toc 2"/>
    <w:basedOn w:val="a0"/>
    <w:next w:val="a0"/>
    <w:link w:val="23"/>
    <w:autoRedefine/>
    <w:uiPriority w:val="39"/>
    <w:rsid w:val="00166F1A"/>
    <w:pPr>
      <w:ind w:left="200"/>
    </w:pPr>
    <w:rPr>
      <w:smallCaps/>
    </w:rPr>
  </w:style>
  <w:style w:type="paragraph" w:styleId="a4">
    <w:name w:val="header"/>
    <w:basedOn w:val="a0"/>
    <w:link w:val="a5"/>
    <w:uiPriority w:val="99"/>
    <w:rsid w:val="00166F1A"/>
    <w:pPr>
      <w:pBdr>
        <w:bottom w:val="single" w:sz="6" w:space="1" w:color="auto"/>
      </w:pBdr>
      <w:tabs>
        <w:tab w:val="center" w:pos="4153"/>
        <w:tab w:val="right" w:pos="8306"/>
      </w:tabs>
      <w:jc w:val="both"/>
    </w:pPr>
    <w:rPr>
      <w:sz w:val="16"/>
    </w:rPr>
  </w:style>
  <w:style w:type="character" w:styleId="a6">
    <w:name w:val="page number"/>
    <w:basedOn w:val="a1"/>
    <w:rsid w:val="00166F1A"/>
    <w:rPr>
      <w:rFonts w:ascii="Arial" w:hAnsi="Arial" w:cs="Times New Roman"/>
    </w:rPr>
  </w:style>
  <w:style w:type="paragraph" w:styleId="a7">
    <w:name w:val="footer"/>
    <w:basedOn w:val="a0"/>
    <w:link w:val="a8"/>
    <w:uiPriority w:val="99"/>
    <w:rsid w:val="00166F1A"/>
    <w:pPr>
      <w:tabs>
        <w:tab w:val="center" w:pos="4153"/>
        <w:tab w:val="right" w:pos="8306"/>
      </w:tabs>
      <w:jc w:val="both"/>
    </w:pPr>
  </w:style>
  <w:style w:type="paragraph" w:styleId="a9">
    <w:name w:val="footnote text"/>
    <w:basedOn w:val="a0"/>
    <w:link w:val="aa"/>
    <w:uiPriority w:val="99"/>
    <w:semiHidden/>
    <w:rsid w:val="00166F1A"/>
  </w:style>
  <w:style w:type="character" w:styleId="ab">
    <w:name w:val="footnote reference"/>
    <w:basedOn w:val="a1"/>
    <w:semiHidden/>
    <w:rsid w:val="00166F1A"/>
    <w:rPr>
      <w:rFonts w:cs="Times New Roman"/>
      <w:vertAlign w:val="superscript"/>
    </w:rPr>
  </w:style>
  <w:style w:type="paragraph" w:styleId="32">
    <w:name w:val="toc 3"/>
    <w:basedOn w:val="a0"/>
    <w:next w:val="a0"/>
    <w:autoRedefine/>
    <w:semiHidden/>
    <w:rsid w:val="00166F1A"/>
    <w:pPr>
      <w:ind w:left="400"/>
    </w:pPr>
    <w:rPr>
      <w:i/>
    </w:rPr>
  </w:style>
  <w:style w:type="paragraph" w:customStyle="1" w:styleId="ABC-paragrahinNotes">
    <w:name w:val="ABC - paragrah in Notes"/>
    <w:qFormat/>
    <w:rsid w:val="00166F1A"/>
    <w:pPr>
      <w:spacing w:after="240"/>
      <w:jc w:val="both"/>
    </w:pPr>
    <w:rPr>
      <w:rFonts w:ascii="Arial" w:hAnsi="Arial"/>
      <w:lang w:val="en-GB"/>
    </w:rPr>
  </w:style>
  <w:style w:type="paragraph" w:customStyle="1" w:styleId="ABC-BulletsinNotes">
    <w:name w:val="ABC - Bullets in Notes"/>
    <w:rsid w:val="00166F1A"/>
    <w:pPr>
      <w:numPr>
        <w:numId w:val="8"/>
      </w:numPr>
      <w:tabs>
        <w:tab w:val="left" w:pos="851"/>
      </w:tabs>
      <w:spacing w:after="240"/>
      <w:jc w:val="both"/>
    </w:pPr>
    <w:rPr>
      <w:rFonts w:ascii="Arial" w:hAnsi="Arial"/>
      <w:sz w:val="18"/>
      <w:lang w:val="en-GB"/>
    </w:rPr>
  </w:style>
  <w:style w:type="paragraph" w:styleId="41">
    <w:name w:val="toc 4"/>
    <w:basedOn w:val="a0"/>
    <w:next w:val="a0"/>
    <w:autoRedefine/>
    <w:semiHidden/>
    <w:rsid w:val="00166F1A"/>
    <w:pPr>
      <w:ind w:left="600"/>
    </w:pPr>
  </w:style>
  <w:style w:type="paragraph" w:styleId="51">
    <w:name w:val="toc 5"/>
    <w:basedOn w:val="a0"/>
    <w:next w:val="a0"/>
    <w:autoRedefine/>
    <w:semiHidden/>
    <w:rsid w:val="00166F1A"/>
    <w:pPr>
      <w:ind w:left="800"/>
    </w:pPr>
  </w:style>
  <w:style w:type="paragraph" w:styleId="60">
    <w:name w:val="toc 6"/>
    <w:basedOn w:val="a0"/>
    <w:next w:val="a0"/>
    <w:autoRedefine/>
    <w:semiHidden/>
    <w:rsid w:val="00166F1A"/>
    <w:pPr>
      <w:ind w:left="1000"/>
    </w:pPr>
  </w:style>
  <w:style w:type="paragraph" w:styleId="70">
    <w:name w:val="toc 7"/>
    <w:basedOn w:val="a0"/>
    <w:next w:val="a0"/>
    <w:autoRedefine/>
    <w:semiHidden/>
    <w:rsid w:val="00166F1A"/>
    <w:pPr>
      <w:ind w:left="1200"/>
    </w:pPr>
  </w:style>
  <w:style w:type="paragraph" w:styleId="80">
    <w:name w:val="toc 8"/>
    <w:basedOn w:val="a0"/>
    <w:next w:val="a0"/>
    <w:autoRedefine/>
    <w:semiHidden/>
    <w:rsid w:val="00166F1A"/>
    <w:pPr>
      <w:ind w:left="1400"/>
    </w:pPr>
  </w:style>
  <w:style w:type="paragraph" w:styleId="90">
    <w:name w:val="toc 9"/>
    <w:basedOn w:val="a0"/>
    <w:next w:val="a0"/>
    <w:autoRedefine/>
    <w:semiHidden/>
    <w:rsid w:val="00166F1A"/>
    <w:pPr>
      <w:ind w:left="1600"/>
    </w:pPr>
  </w:style>
  <w:style w:type="paragraph" w:customStyle="1" w:styleId="Address">
    <w:name w:val="Address"/>
    <w:basedOn w:val="a0"/>
    <w:rsid w:val="00166F1A"/>
    <w:pPr>
      <w:framePr w:w="3005" w:hSpace="181" w:vSpace="181" w:wrap="around" w:hAnchor="page" w:xAlign="right" w:yAlign="top"/>
      <w:pBdr>
        <w:left w:val="single" w:sz="4" w:space="9" w:color="auto"/>
      </w:pBdr>
      <w:spacing w:line="200" w:lineRule="exact"/>
    </w:pPr>
    <w:rPr>
      <w:sz w:val="16"/>
    </w:rPr>
  </w:style>
  <w:style w:type="paragraph" w:customStyle="1" w:styleId="ABCFootnote">
    <w:name w:val="ABC Footnote"/>
    <w:basedOn w:val="a9"/>
    <w:rsid w:val="00166F1A"/>
  </w:style>
  <w:style w:type="paragraph" w:customStyle="1" w:styleId="ABCNotes">
    <w:name w:val="ABC Notes"/>
    <w:basedOn w:val="a0"/>
    <w:rsid w:val="00166F1A"/>
    <w:pPr>
      <w:keepNext/>
      <w:keepLines/>
      <w:numPr>
        <w:numId w:val="1"/>
      </w:numPr>
      <w:spacing w:before="240" w:after="240"/>
    </w:pPr>
    <w:rPr>
      <w:b/>
    </w:rPr>
  </w:style>
  <w:style w:type="paragraph" w:styleId="ac">
    <w:name w:val="Document Map"/>
    <w:basedOn w:val="a0"/>
    <w:semiHidden/>
    <w:rsid w:val="00166F1A"/>
    <w:pPr>
      <w:shd w:val="clear" w:color="auto" w:fill="000080"/>
    </w:pPr>
    <w:rPr>
      <w:rFonts w:ascii="Times New Roman" w:hAnsi="Times New Roman"/>
    </w:rPr>
  </w:style>
  <w:style w:type="paragraph" w:styleId="ad">
    <w:name w:val="Body Text"/>
    <w:basedOn w:val="a0"/>
    <w:link w:val="ae"/>
    <w:rsid w:val="00166F1A"/>
    <w:pPr>
      <w:widowControl w:val="0"/>
      <w:suppressLineNumbers/>
      <w:ind w:right="1"/>
      <w:jc w:val="both"/>
    </w:pPr>
  </w:style>
  <w:style w:type="paragraph" w:styleId="24">
    <w:name w:val="Body Text 2"/>
    <w:basedOn w:val="a0"/>
    <w:rsid w:val="00166F1A"/>
    <w:pPr>
      <w:tabs>
        <w:tab w:val="center" w:pos="2835"/>
        <w:tab w:val="right" w:pos="5529"/>
        <w:tab w:val="center" w:pos="5812"/>
        <w:tab w:val="right" w:pos="8788"/>
      </w:tabs>
    </w:pPr>
    <w:rPr>
      <w:i/>
    </w:rPr>
  </w:style>
  <w:style w:type="paragraph" w:styleId="33">
    <w:name w:val="Body Text 3"/>
    <w:basedOn w:val="a0"/>
    <w:rsid w:val="00166F1A"/>
    <w:pPr>
      <w:jc w:val="both"/>
    </w:pPr>
    <w:rPr>
      <w:i/>
    </w:rPr>
  </w:style>
  <w:style w:type="paragraph" w:customStyle="1" w:styleId="RICK1">
    <w:name w:val="RICK 1"/>
    <w:rsid w:val="00166F1A"/>
    <w:pPr>
      <w:tabs>
        <w:tab w:val="left" w:pos="-720"/>
      </w:tabs>
      <w:suppressAutoHyphens/>
    </w:pPr>
    <w:rPr>
      <w:rFonts w:ascii="Arial" w:hAnsi="Arial"/>
      <w:lang w:val="en-US"/>
    </w:rPr>
  </w:style>
  <w:style w:type="paragraph" w:customStyle="1" w:styleId="RightPar4">
    <w:name w:val="Right Par 4"/>
    <w:rsid w:val="00166F1A"/>
    <w:pPr>
      <w:tabs>
        <w:tab w:val="left" w:pos="-720"/>
        <w:tab w:val="left" w:pos="0"/>
        <w:tab w:val="left" w:pos="720"/>
        <w:tab w:val="left" w:pos="1440"/>
        <w:tab w:val="left" w:pos="2160"/>
        <w:tab w:val="decimal" w:pos="2880"/>
      </w:tabs>
      <w:suppressAutoHyphens/>
      <w:ind w:left="2880" w:hanging="432"/>
    </w:pPr>
    <w:rPr>
      <w:lang w:val="en-US"/>
    </w:rPr>
  </w:style>
  <w:style w:type="paragraph" w:customStyle="1" w:styleId="Bullet0">
    <w:name w:val="Bullet"/>
    <w:basedOn w:val="a0"/>
    <w:rsid w:val="00166F1A"/>
    <w:pPr>
      <w:numPr>
        <w:numId w:val="2"/>
      </w:numPr>
    </w:pPr>
  </w:style>
  <w:style w:type="paragraph" w:styleId="af">
    <w:name w:val="Body Text Indent"/>
    <w:basedOn w:val="a0"/>
    <w:rsid w:val="00166F1A"/>
    <w:pPr>
      <w:spacing w:after="240"/>
      <w:ind w:left="357"/>
      <w:jc w:val="both"/>
    </w:pPr>
  </w:style>
  <w:style w:type="paragraph" w:customStyle="1" w:styleId="Continued">
    <w:name w:val="Continued"/>
    <w:qFormat/>
    <w:rsid w:val="00166F1A"/>
    <w:pPr>
      <w:keepNext/>
      <w:keepLines/>
      <w:pageBreakBefore/>
      <w:tabs>
        <w:tab w:val="left" w:pos="567"/>
      </w:tabs>
      <w:spacing w:after="240"/>
      <w:ind w:left="567" w:hanging="567"/>
    </w:pPr>
    <w:rPr>
      <w:rFonts w:ascii="Arial" w:hAnsi="Arial"/>
      <w:b/>
      <w:lang w:val="en-US"/>
    </w:rPr>
  </w:style>
  <w:style w:type="paragraph" w:customStyle="1" w:styleId="Report">
    <w:name w:val="Report"/>
    <w:rsid w:val="00166F1A"/>
    <w:pPr>
      <w:numPr>
        <w:numId w:val="5"/>
      </w:numPr>
      <w:spacing w:after="240"/>
      <w:jc w:val="both"/>
    </w:pPr>
    <w:rPr>
      <w:rFonts w:ascii="Arial" w:hAnsi="Arial"/>
      <w:snapToGrid w:val="0"/>
      <w:lang w:val="en-GB"/>
    </w:rPr>
  </w:style>
  <w:style w:type="paragraph" w:customStyle="1" w:styleId="ABC-Aftertable">
    <w:name w:val="ABC - After table"/>
    <w:next w:val="ABC-paragrahinNotes"/>
    <w:rsid w:val="00166F1A"/>
    <w:pPr>
      <w:spacing w:before="240" w:after="240"/>
    </w:pPr>
    <w:rPr>
      <w:rFonts w:ascii="Arial" w:hAnsi="Arial"/>
      <w:noProof/>
      <w:sz w:val="18"/>
    </w:rPr>
  </w:style>
  <w:style w:type="paragraph" w:customStyle="1" w:styleId="ABC-rBullets">
    <w:name w:val="ABC -r Bullets"/>
    <w:basedOn w:val="ABC-BulletsinNotes"/>
    <w:rsid w:val="00166F1A"/>
    <w:pPr>
      <w:numPr>
        <w:numId w:val="0"/>
      </w:numPr>
      <w:tabs>
        <w:tab w:val="num" w:pos="360"/>
      </w:tabs>
      <w:ind w:left="360" w:hanging="360"/>
    </w:pPr>
    <w:rPr>
      <w:lang w:val="ru-RU"/>
    </w:rPr>
  </w:style>
  <w:style w:type="paragraph" w:customStyle="1" w:styleId="Reportbullets">
    <w:name w:val="Report bullets"/>
    <w:rsid w:val="00166F1A"/>
    <w:pPr>
      <w:numPr>
        <w:numId w:val="4"/>
      </w:numPr>
      <w:tabs>
        <w:tab w:val="clear" w:pos="360"/>
        <w:tab w:val="left" w:pos="567"/>
      </w:tabs>
      <w:spacing w:after="240"/>
      <w:ind w:left="567" w:hanging="567"/>
      <w:jc w:val="both"/>
    </w:pPr>
    <w:rPr>
      <w:rFonts w:ascii="Arial" w:hAnsi="Arial"/>
      <w:lang w:val="en-GB"/>
    </w:rPr>
  </w:style>
  <w:style w:type="paragraph" w:customStyle="1" w:styleId="Bullet1">
    <w:name w:val="Bullet1"/>
    <w:basedOn w:val="a0"/>
    <w:rsid w:val="00166F1A"/>
    <w:pPr>
      <w:numPr>
        <w:numId w:val="6"/>
      </w:numPr>
    </w:pPr>
  </w:style>
  <w:style w:type="paragraph" w:customStyle="1" w:styleId="Tabletext">
    <w:name w:val="Table text"/>
    <w:basedOn w:val="a0"/>
    <w:qFormat/>
    <w:rsid w:val="00166F1A"/>
    <w:pPr>
      <w:ind w:left="85" w:hanging="85"/>
    </w:pPr>
  </w:style>
  <w:style w:type="paragraph" w:customStyle="1" w:styleId="Rowheader">
    <w:name w:val="Row header"/>
    <w:basedOn w:val="a0"/>
    <w:rsid w:val="00166F1A"/>
    <w:pPr>
      <w:ind w:left="85" w:hanging="85"/>
    </w:pPr>
    <w:rPr>
      <w:b/>
    </w:rPr>
  </w:style>
  <w:style w:type="paragraph" w:customStyle="1" w:styleId="Columnheader">
    <w:name w:val="Column header"/>
    <w:basedOn w:val="a0"/>
    <w:rsid w:val="00166F1A"/>
    <w:pPr>
      <w:tabs>
        <w:tab w:val="decimal" w:pos="1503"/>
      </w:tabs>
      <w:spacing w:line="228" w:lineRule="auto"/>
      <w:ind w:right="-56"/>
    </w:pPr>
    <w:rPr>
      <w:b/>
    </w:rPr>
  </w:style>
  <w:style w:type="paragraph" w:customStyle="1" w:styleId="Tablenumbers1">
    <w:name w:val="Table numbers1"/>
    <w:rsid w:val="00166F1A"/>
    <w:pPr>
      <w:tabs>
        <w:tab w:val="decimal" w:pos="1503"/>
      </w:tabs>
      <w:ind w:right="-56"/>
    </w:pPr>
    <w:rPr>
      <w:rFonts w:ascii="Arial" w:hAnsi="Arial"/>
      <w:sz w:val="18"/>
      <w:lang w:val="en-GB"/>
    </w:rPr>
  </w:style>
  <w:style w:type="paragraph" w:customStyle="1" w:styleId="TitleABC">
    <w:name w:val="Title ABC"/>
    <w:basedOn w:val="ABC-paragrahinNotes"/>
    <w:rsid w:val="00166F1A"/>
    <w:pPr>
      <w:outlineLvl w:val="0"/>
    </w:pPr>
    <w:rPr>
      <w:b/>
      <w:sz w:val="32"/>
    </w:rPr>
  </w:style>
  <w:style w:type="paragraph" w:customStyle="1" w:styleId="Header1">
    <w:name w:val="Header1"/>
    <w:rsid w:val="00166F1A"/>
    <w:pPr>
      <w:tabs>
        <w:tab w:val="left" w:pos="-528"/>
      </w:tabs>
    </w:pPr>
    <w:rPr>
      <w:rFonts w:ascii="Arial" w:hAnsi="Arial"/>
      <w:b/>
      <w:bCs/>
      <w:i/>
      <w:lang w:val="en-GB"/>
    </w:rPr>
  </w:style>
  <w:style w:type="paragraph" w:customStyle="1" w:styleId="Header2">
    <w:name w:val="Header2"/>
    <w:rsid w:val="00166F1A"/>
    <w:pPr>
      <w:pBdr>
        <w:bottom w:val="single" w:sz="4" w:space="1" w:color="auto"/>
      </w:pBdr>
      <w:ind w:right="-57"/>
    </w:pPr>
    <w:rPr>
      <w:rFonts w:ascii="Arial" w:hAnsi="Arial"/>
      <w:i/>
      <w:spacing w:val="-4"/>
      <w:sz w:val="16"/>
      <w:lang w:val="en-GB"/>
    </w:rPr>
  </w:style>
  <w:style w:type="paragraph" w:customStyle="1" w:styleId="1stpage">
    <w:name w:val="1st page"/>
    <w:basedOn w:val="ABC-paragrahinNotes"/>
    <w:rsid w:val="00166F1A"/>
    <w:pPr>
      <w:spacing w:after="0"/>
    </w:pPr>
    <w:rPr>
      <w:b/>
      <w:bCs/>
      <w:sz w:val="32"/>
    </w:rPr>
  </w:style>
  <w:style w:type="paragraph" w:customStyle="1" w:styleId="StyleSymbolTimesNewRomanBold9ptBoldLeft0cmHangi7">
    <w:name w:val="Style (Symbol) Times New Roman Bold 9 pt Bold Left:  0 cm Hangi...7"/>
    <w:basedOn w:val="a0"/>
    <w:autoRedefine/>
    <w:rsid w:val="00166F1A"/>
    <w:pPr>
      <w:spacing w:line="228" w:lineRule="auto"/>
      <w:ind w:left="228" w:hanging="228"/>
    </w:pPr>
    <w:rPr>
      <w:b/>
      <w:bCs/>
      <w:spacing w:val="-6"/>
    </w:rPr>
  </w:style>
  <w:style w:type="paragraph" w:customStyle="1" w:styleId="Aftertable">
    <w:name w:val="After table"/>
    <w:next w:val="ABC-paragrahinNotes"/>
    <w:rsid w:val="00166F1A"/>
    <w:rPr>
      <w:rFonts w:ascii="Arial" w:hAnsi="Arial"/>
      <w:noProof/>
      <w:sz w:val="18"/>
    </w:rPr>
  </w:style>
  <w:style w:type="paragraph" w:customStyle="1" w:styleId="Disclaimer">
    <w:name w:val="Disclaimer"/>
    <w:rsid w:val="00166F1A"/>
    <w:pPr>
      <w:spacing w:after="60"/>
    </w:pPr>
    <w:rPr>
      <w:rFonts w:ascii="Arial" w:hAnsi="Arial"/>
      <w:noProof/>
      <w:sz w:val="12"/>
    </w:rPr>
  </w:style>
  <w:style w:type="paragraph" w:customStyle="1" w:styleId="ABC-r-paragraphinNotes">
    <w:name w:val="ABC-r - paragraph in Notes"/>
    <w:uiPriority w:val="99"/>
    <w:rsid w:val="00166F1A"/>
    <w:pPr>
      <w:spacing w:after="240"/>
      <w:jc w:val="both"/>
    </w:pPr>
    <w:rPr>
      <w:rFonts w:ascii="Arial" w:hAnsi="Arial"/>
      <w:sz w:val="18"/>
    </w:rPr>
  </w:style>
  <w:style w:type="paragraph" w:customStyle="1" w:styleId="bullet">
    <w:name w:val="bullet"/>
    <w:basedOn w:val="a0"/>
    <w:uiPriority w:val="99"/>
    <w:rsid w:val="00166F1A"/>
    <w:pPr>
      <w:numPr>
        <w:numId w:val="7"/>
      </w:numPr>
      <w:spacing w:before="40" w:line="200" w:lineRule="exact"/>
    </w:pPr>
    <w:rPr>
      <w:sz w:val="17"/>
    </w:rPr>
  </w:style>
  <w:style w:type="paragraph" w:customStyle="1" w:styleId="wfxRecipient">
    <w:name w:val="wfxRecipient"/>
    <w:basedOn w:val="a0"/>
    <w:rsid w:val="00166F1A"/>
    <w:pPr>
      <w:widowControl w:val="0"/>
    </w:pPr>
    <w:rPr>
      <w:lang w:val="en-US"/>
    </w:rPr>
  </w:style>
  <w:style w:type="paragraph" w:styleId="af0">
    <w:name w:val="Balloon Text"/>
    <w:basedOn w:val="a0"/>
    <w:semiHidden/>
    <w:rsid w:val="00166F1A"/>
    <w:rPr>
      <w:rFonts w:ascii="Times New Roman" w:hAnsi="Times New Roman"/>
      <w:sz w:val="16"/>
      <w:szCs w:val="16"/>
    </w:rPr>
  </w:style>
  <w:style w:type="paragraph" w:customStyle="1" w:styleId="StyleSymbolTimesNewRomanBold9ptBoldLeft0cmHangi">
    <w:name w:val="Style (Symbol) Times New Roman Bold 9 pt Bold Left:  0 cm Hangi..."/>
    <w:basedOn w:val="a0"/>
    <w:rsid w:val="00166F1A"/>
    <w:pPr>
      <w:spacing w:line="228" w:lineRule="auto"/>
      <w:ind w:left="228" w:hanging="228"/>
    </w:pPr>
    <w:rPr>
      <w:b/>
      <w:bCs/>
      <w:spacing w:val="-6"/>
    </w:rPr>
  </w:style>
  <w:style w:type="paragraph" w:customStyle="1" w:styleId="StyleSymbolTimesNewRomanBold9ptBoldLeft0cmHangi1">
    <w:name w:val="Style (Symbol) Times New Roman Bold 9 pt Bold Left:  0 cm Hangi...1"/>
    <w:basedOn w:val="a0"/>
    <w:rsid w:val="00166F1A"/>
    <w:pPr>
      <w:spacing w:line="228" w:lineRule="auto"/>
      <w:ind w:left="228" w:hanging="228"/>
    </w:pPr>
    <w:rPr>
      <w:b/>
      <w:bCs/>
      <w:spacing w:val="-6"/>
    </w:rPr>
  </w:style>
  <w:style w:type="paragraph" w:customStyle="1" w:styleId="StyleSymbolTimesNewRomanBold9ptBoldLeft0cmHangi2">
    <w:name w:val="Style (Symbol) Times New Roman Bold 9 pt Bold Left:  0 cm Hangi...2"/>
    <w:basedOn w:val="a0"/>
    <w:rsid w:val="00166F1A"/>
    <w:pPr>
      <w:spacing w:line="228" w:lineRule="auto"/>
      <w:ind w:left="228" w:hanging="228"/>
    </w:pPr>
    <w:rPr>
      <w:b/>
      <w:bCs/>
      <w:spacing w:val="-6"/>
    </w:rPr>
  </w:style>
  <w:style w:type="paragraph" w:customStyle="1" w:styleId="StyleSymbolTimesNewRomanBold9ptBoldLeft0cmHangi3">
    <w:name w:val="Style (Symbol) Times New Roman Bold 9 pt Bold Left:  0 cm Hangi...3"/>
    <w:basedOn w:val="a0"/>
    <w:rsid w:val="00166F1A"/>
    <w:pPr>
      <w:spacing w:line="228" w:lineRule="auto"/>
      <w:ind w:left="228" w:hanging="228"/>
    </w:pPr>
    <w:rPr>
      <w:b/>
      <w:bCs/>
      <w:spacing w:val="-6"/>
    </w:rPr>
  </w:style>
  <w:style w:type="character" w:customStyle="1" w:styleId="Style9pt">
    <w:name w:val="Style 9 pt"/>
    <w:basedOn w:val="a1"/>
    <w:rsid w:val="00166F1A"/>
    <w:rPr>
      <w:rFonts w:ascii="Arial" w:hAnsi="Arial" w:cs="Times New Roman"/>
      <w:sz w:val="18"/>
    </w:rPr>
  </w:style>
  <w:style w:type="paragraph" w:customStyle="1" w:styleId="Style9ptBoldCentered">
    <w:name w:val="Style 9 pt Bold Centered"/>
    <w:basedOn w:val="a0"/>
    <w:rsid w:val="00166F1A"/>
    <w:pPr>
      <w:jc w:val="center"/>
    </w:pPr>
    <w:rPr>
      <w:b/>
      <w:bCs/>
    </w:rPr>
  </w:style>
  <w:style w:type="paragraph" w:customStyle="1" w:styleId="StyleSymbolTimesNewRomanBold9ptBoldLeft0cmHangi4">
    <w:name w:val="Style (Symbol) Times New Roman Bold 9 pt Bold Left:  0 cm Hangi...4"/>
    <w:basedOn w:val="a0"/>
    <w:rsid w:val="00166F1A"/>
    <w:pPr>
      <w:spacing w:line="228" w:lineRule="auto"/>
      <w:ind w:left="228" w:hanging="228"/>
    </w:pPr>
    <w:rPr>
      <w:b/>
      <w:bCs/>
      <w:spacing w:val="-6"/>
    </w:rPr>
  </w:style>
  <w:style w:type="character" w:customStyle="1" w:styleId="Style14ptItalicBlueSmallcaps">
    <w:name w:val="Style 14 pt Italic Blue Small caps"/>
    <w:basedOn w:val="a1"/>
    <w:rsid w:val="00166F1A"/>
    <w:rPr>
      <w:rFonts w:ascii="Arial" w:hAnsi="Arial" w:cs="Times New Roman"/>
      <w:i/>
      <w:iCs/>
      <w:smallCaps/>
      <w:color w:val="0000FF"/>
      <w:sz w:val="28"/>
    </w:rPr>
  </w:style>
  <w:style w:type="paragraph" w:customStyle="1" w:styleId="StyleSymbolTimesNewRomanBold9ptBoldLeft0cmHangi5">
    <w:name w:val="Style (Symbol) Times New Roman Bold 9 pt Bold Left:  0 cm Hangi...5"/>
    <w:basedOn w:val="a0"/>
    <w:rsid w:val="00166F1A"/>
    <w:pPr>
      <w:spacing w:line="228" w:lineRule="auto"/>
      <w:ind w:left="228" w:hanging="228"/>
    </w:pPr>
    <w:rPr>
      <w:b/>
      <w:bCs/>
      <w:spacing w:val="-6"/>
    </w:rPr>
  </w:style>
  <w:style w:type="character" w:customStyle="1" w:styleId="Style14ptItalicRedSmallcaps">
    <w:name w:val="Style 14 pt Italic Red Small caps"/>
    <w:basedOn w:val="a1"/>
    <w:rsid w:val="00166F1A"/>
    <w:rPr>
      <w:rFonts w:ascii="Arial" w:hAnsi="Arial" w:cs="Times New Roman"/>
      <w:i/>
      <w:iCs/>
      <w:smallCaps/>
      <w:color w:val="FF0000"/>
      <w:sz w:val="28"/>
    </w:rPr>
  </w:style>
  <w:style w:type="paragraph" w:customStyle="1" w:styleId="StyleTablenumbers1BoldAllcapsCentered">
    <w:name w:val="Style Table numbers1 + Bold All caps Centered"/>
    <w:basedOn w:val="Tablenumbers1"/>
    <w:rsid w:val="00166F1A"/>
    <w:pPr>
      <w:jc w:val="center"/>
    </w:pPr>
    <w:rPr>
      <w:b/>
      <w:bCs/>
      <w:caps/>
    </w:rPr>
  </w:style>
  <w:style w:type="paragraph" w:customStyle="1" w:styleId="StyleSymbolTimesNewRomanBold9ptBoldLeft0cmHangi6">
    <w:name w:val="Style (Symbol) Times New Roman Bold 9 pt Bold Left:  0 cm Hangi...6"/>
    <w:basedOn w:val="a0"/>
    <w:rsid w:val="00166F1A"/>
    <w:pPr>
      <w:spacing w:line="228" w:lineRule="auto"/>
      <w:ind w:left="228" w:hanging="228"/>
    </w:pPr>
    <w:rPr>
      <w:b/>
      <w:bCs/>
      <w:spacing w:val="-6"/>
    </w:rPr>
  </w:style>
  <w:style w:type="paragraph" w:customStyle="1" w:styleId="Style9ptBoldCentered1">
    <w:name w:val="Style 9 pt Bold Centered1"/>
    <w:basedOn w:val="a0"/>
    <w:rsid w:val="00166F1A"/>
    <w:pPr>
      <w:jc w:val="center"/>
    </w:pPr>
    <w:rPr>
      <w:b/>
      <w:bCs/>
    </w:rPr>
  </w:style>
  <w:style w:type="paragraph" w:customStyle="1" w:styleId="Style9ptBoldCentered2">
    <w:name w:val="Style 9 pt Bold Centered2"/>
    <w:basedOn w:val="a0"/>
    <w:rsid w:val="00166F1A"/>
    <w:pPr>
      <w:jc w:val="center"/>
    </w:pPr>
    <w:rPr>
      <w:b/>
      <w:bCs/>
      <w:spacing w:val="-2"/>
    </w:rPr>
  </w:style>
  <w:style w:type="paragraph" w:customStyle="1" w:styleId="xl50">
    <w:name w:val="xl50"/>
    <w:basedOn w:val="a0"/>
    <w:rsid w:val="00166F1A"/>
    <w:pPr>
      <w:spacing w:before="100" w:beforeAutospacing="1" w:after="100" w:afterAutospacing="1"/>
    </w:pPr>
    <w:rPr>
      <w:rFonts w:ascii="Times New Roman" w:hAnsi="Times New Roman"/>
      <w:b/>
      <w:bCs/>
      <w:szCs w:val="18"/>
    </w:rPr>
  </w:style>
  <w:style w:type="paragraph" w:customStyle="1" w:styleId="StyleABC-paragrahinNotesBold">
    <w:name w:val="Style ABC - paragrah in Notes + Bold"/>
    <w:basedOn w:val="a0"/>
    <w:rsid w:val="00166F1A"/>
    <w:pPr>
      <w:spacing w:after="240"/>
      <w:jc w:val="both"/>
    </w:pPr>
    <w:rPr>
      <w:b/>
      <w:bCs/>
      <w:sz w:val="20"/>
    </w:rPr>
  </w:style>
  <w:style w:type="character" w:customStyle="1" w:styleId="StyleABC-paragrahinNotesBoldChar">
    <w:name w:val="Style ABC - paragrah in Notes + Bold Char"/>
    <w:basedOn w:val="a1"/>
    <w:locked/>
    <w:rsid w:val="00166F1A"/>
    <w:rPr>
      <w:rFonts w:ascii="Arial" w:hAnsi="Arial" w:cs="Times New Roman"/>
      <w:b/>
      <w:bCs/>
      <w:lang w:val="en-GB" w:bidi="ar-SA"/>
    </w:rPr>
  </w:style>
  <w:style w:type="paragraph" w:styleId="af1">
    <w:name w:val="Block Text"/>
    <w:basedOn w:val="a0"/>
    <w:rsid w:val="00166F1A"/>
    <w:pPr>
      <w:spacing w:after="120"/>
      <w:ind w:left="1440" w:right="1440"/>
    </w:pPr>
  </w:style>
  <w:style w:type="paragraph" w:styleId="af2">
    <w:name w:val="Body Text First Indent"/>
    <w:basedOn w:val="ad"/>
    <w:rsid w:val="00166F1A"/>
    <w:pPr>
      <w:widowControl/>
      <w:suppressLineNumbers w:val="0"/>
      <w:spacing w:after="120"/>
      <w:ind w:right="0" w:firstLine="210"/>
      <w:jc w:val="left"/>
    </w:pPr>
  </w:style>
  <w:style w:type="paragraph" w:customStyle="1" w:styleId="ABC-Comments">
    <w:name w:val="ABC - Comments"/>
    <w:basedOn w:val="ABC-paragrahinNotes"/>
    <w:rsid w:val="00166F1A"/>
    <w:rPr>
      <w:i/>
      <w:color w:val="FF0000"/>
    </w:rPr>
  </w:style>
  <w:style w:type="character" w:customStyle="1" w:styleId="ABC-paragrahinNotesChar">
    <w:name w:val="ABC - paragrah in Notes Char"/>
    <w:basedOn w:val="a1"/>
    <w:rsid w:val="00166F1A"/>
    <w:rPr>
      <w:rFonts w:ascii="Arial" w:hAnsi="Arial" w:cs="Times New Roman"/>
      <w:lang w:val="en-GB" w:bidi="ar-SA"/>
    </w:rPr>
  </w:style>
  <w:style w:type="character" w:customStyle="1" w:styleId="ABC-CommentsChar">
    <w:name w:val="ABC - Comments Char"/>
    <w:basedOn w:val="ABC-paragrahinNotesChar"/>
    <w:rsid w:val="00166F1A"/>
    <w:rPr>
      <w:rFonts w:ascii="Arial" w:hAnsi="Arial" w:cs="Times New Roman"/>
      <w:i/>
      <w:color w:val="FF0000"/>
      <w:lang w:val="en-GB" w:bidi="ar-SA"/>
    </w:rPr>
  </w:style>
  <w:style w:type="paragraph" w:customStyle="1" w:styleId="RowHeader0">
    <w:name w:val="Row Header +"/>
    <w:basedOn w:val="Rowheader"/>
    <w:rsid w:val="00166F1A"/>
    <w:pPr>
      <w:spacing w:before="60" w:after="60"/>
    </w:pPr>
    <w:rPr>
      <w:rFonts w:cs="Arial"/>
    </w:rPr>
  </w:style>
  <w:style w:type="paragraph" w:customStyle="1" w:styleId="RRthousands">
    <w:name w:val="RR thousands"/>
    <w:basedOn w:val="a0"/>
    <w:link w:val="RRthousandsChar1"/>
    <w:rsid w:val="00166F1A"/>
    <w:pPr>
      <w:ind w:left="86" w:hanging="86"/>
    </w:pPr>
    <w:rPr>
      <w:rFonts w:cs="Arial"/>
      <w:i/>
      <w:sz w:val="16"/>
    </w:rPr>
  </w:style>
  <w:style w:type="paragraph" w:customStyle="1" w:styleId="StyleRowheaderLinespacingMultiple095li">
    <w:name w:val="Style Row header + Line spacing:  Multiple 0.95 li"/>
    <w:basedOn w:val="Rowheader"/>
    <w:rsid w:val="00166F1A"/>
    <w:pPr>
      <w:spacing w:before="20" w:line="228" w:lineRule="auto"/>
    </w:pPr>
    <w:rPr>
      <w:bCs/>
    </w:rPr>
  </w:style>
  <w:style w:type="paragraph" w:customStyle="1" w:styleId="StyleTabletextLinespacingMultiple095li">
    <w:name w:val="Style Table text + Line spacing:  Multiple 0.95 li"/>
    <w:basedOn w:val="Tabletext"/>
    <w:rsid w:val="00166F1A"/>
    <w:pPr>
      <w:spacing w:before="20" w:line="228" w:lineRule="auto"/>
    </w:pPr>
  </w:style>
  <w:style w:type="paragraph" w:customStyle="1" w:styleId="text">
    <w:name w:val="text"/>
    <w:basedOn w:val="a0"/>
    <w:rsid w:val="00166F1A"/>
    <w:pPr>
      <w:spacing w:after="100" w:line="300" w:lineRule="atLeast"/>
      <w:jc w:val="both"/>
    </w:pPr>
    <w:rPr>
      <w:rFonts w:ascii="Times New Roman" w:hAnsi="Times New Roman"/>
      <w:sz w:val="22"/>
      <w:lang w:val="en-US"/>
    </w:rPr>
  </w:style>
  <w:style w:type="paragraph" w:customStyle="1" w:styleId="StyleABC-paragrahinNotesAfter10pt">
    <w:name w:val="Style ABC - paragrah in Notes + After:  10 pt"/>
    <w:basedOn w:val="ABC-paragrahinNotes"/>
    <w:rsid w:val="00166F1A"/>
    <w:pPr>
      <w:spacing w:after="200"/>
    </w:pPr>
    <w:rPr>
      <w:sz w:val="18"/>
    </w:rPr>
  </w:style>
  <w:style w:type="paragraph" w:customStyle="1" w:styleId="StyleABC-paragrahinNotesAfter0pt">
    <w:name w:val="Style ABC - paragrah in Notes + After:  0 pt"/>
    <w:basedOn w:val="ABC-paragrahinNotes"/>
    <w:rsid w:val="00166F1A"/>
    <w:pPr>
      <w:spacing w:after="0"/>
    </w:pPr>
    <w:rPr>
      <w:sz w:val="18"/>
    </w:rPr>
  </w:style>
  <w:style w:type="character" w:styleId="af3">
    <w:name w:val="annotation reference"/>
    <w:basedOn w:val="a1"/>
    <w:uiPriority w:val="99"/>
    <w:semiHidden/>
    <w:rsid w:val="00166F1A"/>
    <w:rPr>
      <w:rFonts w:cs="Times New Roman"/>
      <w:sz w:val="16"/>
      <w:szCs w:val="16"/>
    </w:rPr>
  </w:style>
  <w:style w:type="paragraph" w:styleId="af4">
    <w:name w:val="annotation text"/>
    <w:basedOn w:val="a0"/>
    <w:link w:val="af5"/>
    <w:uiPriority w:val="99"/>
    <w:semiHidden/>
    <w:rsid w:val="00166F1A"/>
  </w:style>
  <w:style w:type="paragraph" w:styleId="af6">
    <w:name w:val="annotation subject"/>
    <w:basedOn w:val="af4"/>
    <w:next w:val="af4"/>
    <w:semiHidden/>
    <w:rsid w:val="00166F1A"/>
    <w:rPr>
      <w:b/>
      <w:bCs/>
    </w:rPr>
  </w:style>
  <w:style w:type="paragraph" w:customStyle="1" w:styleId="Iauiue">
    <w:name w:val="Iau?iue"/>
    <w:rsid w:val="00166F1A"/>
  </w:style>
  <w:style w:type="paragraph" w:customStyle="1" w:styleId="StyleContinued9pt">
    <w:name w:val="Style Continued + 9 pt"/>
    <w:basedOn w:val="Continued"/>
    <w:rsid w:val="00166F1A"/>
    <w:rPr>
      <w:bCs/>
    </w:rPr>
  </w:style>
  <w:style w:type="character" w:customStyle="1" w:styleId="ContinuedChar">
    <w:name w:val="Continued Char"/>
    <w:basedOn w:val="a1"/>
    <w:rsid w:val="00166F1A"/>
    <w:rPr>
      <w:rFonts w:ascii="Arial" w:hAnsi="Arial" w:cs="Times New Roman"/>
      <w:b/>
      <w:lang w:val="en-US" w:bidi="ar-SA"/>
    </w:rPr>
  </w:style>
  <w:style w:type="character" w:customStyle="1" w:styleId="StyleContinued9ptChar">
    <w:name w:val="Style Continued + 9 pt Char"/>
    <w:basedOn w:val="ContinuedChar"/>
    <w:rsid w:val="00166F1A"/>
    <w:rPr>
      <w:rFonts w:ascii="Arial" w:hAnsi="Arial" w:cs="Times New Roman"/>
      <w:b/>
      <w:bCs/>
      <w:lang w:val="en-US" w:bidi="ar-SA"/>
    </w:rPr>
  </w:style>
  <w:style w:type="character" w:customStyle="1" w:styleId="ABC-r-paragraphinNotesChar">
    <w:name w:val="ABC-r - paragraph in Notes Char"/>
    <w:basedOn w:val="a1"/>
    <w:rsid w:val="00166F1A"/>
    <w:rPr>
      <w:rFonts w:ascii="Arial" w:hAnsi="Arial" w:cs="Times New Roman"/>
      <w:sz w:val="18"/>
      <w:lang w:val="ru-RU" w:bidi="ar-SA"/>
    </w:rPr>
  </w:style>
  <w:style w:type="character" w:customStyle="1" w:styleId="Heading1Char">
    <w:name w:val="Heading 1 Char"/>
    <w:basedOn w:val="a1"/>
    <w:rsid w:val="00166F1A"/>
    <w:rPr>
      <w:rFonts w:ascii="Arial" w:hAnsi="Arial" w:cs="Times New Roman"/>
      <w:b/>
      <w:kern w:val="28"/>
      <w:lang w:val="en-GB" w:bidi="ar-SA"/>
    </w:rPr>
  </w:style>
  <w:style w:type="paragraph" w:customStyle="1" w:styleId="ABCLatinnumbering">
    <w:name w:val="ABC Latin numbering"/>
    <w:basedOn w:val="ABC-paragrahinNotes"/>
    <w:rsid w:val="00166F1A"/>
    <w:rPr>
      <w:rFonts w:cs="Arial"/>
      <w:snapToGrid w:val="0"/>
      <w:spacing w:val="-4"/>
    </w:rPr>
  </w:style>
  <w:style w:type="character" w:customStyle="1" w:styleId="Heading1Char1">
    <w:name w:val="Heading 1 Char1"/>
    <w:basedOn w:val="a1"/>
    <w:locked/>
    <w:rsid w:val="00166F1A"/>
    <w:rPr>
      <w:rFonts w:ascii="Arial" w:hAnsi="Arial" w:cs="Times New Roman"/>
      <w:b/>
      <w:kern w:val="28"/>
      <w:lang w:val="en-GB" w:bidi="ar-SA"/>
    </w:rPr>
  </w:style>
  <w:style w:type="paragraph" w:customStyle="1" w:styleId="ABC-paragrahinNotes0">
    <w:name w:val="ABC - paragrah in Notes Знак"/>
    <w:rsid w:val="00166F1A"/>
    <w:pPr>
      <w:spacing w:after="240"/>
      <w:jc w:val="both"/>
    </w:pPr>
    <w:rPr>
      <w:rFonts w:ascii="Arial" w:hAnsi="Arial"/>
      <w:sz w:val="18"/>
      <w:lang w:val="en-GB"/>
    </w:rPr>
  </w:style>
  <w:style w:type="character" w:customStyle="1" w:styleId="ABC-paragrahinNotes1">
    <w:name w:val="ABC - paragrah in Notes Знак Знак"/>
    <w:basedOn w:val="a1"/>
    <w:locked/>
    <w:rsid w:val="00166F1A"/>
    <w:rPr>
      <w:rFonts w:ascii="Arial" w:hAnsi="Arial" w:cs="Times New Roman"/>
      <w:sz w:val="18"/>
      <w:lang w:val="en-GB" w:bidi="ar-SA"/>
    </w:rPr>
  </w:style>
  <w:style w:type="character" w:customStyle="1" w:styleId="RRthousandsChar">
    <w:name w:val="RR thousands Char"/>
    <w:basedOn w:val="a1"/>
    <w:locked/>
    <w:rsid w:val="00166F1A"/>
    <w:rPr>
      <w:rFonts w:ascii="Arial" w:hAnsi="Arial" w:cs="Arial"/>
      <w:i/>
      <w:sz w:val="16"/>
      <w:lang w:val="en-GB" w:bidi="ar-SA"/>
    </w:rPr>
  </w:style>
  <w:style w:type="character" w:customStyle="1" w:styleId="ABC-paragrahinNotesChar1">
    <w:name w:val="ABC - paragrah in Notes Char1"/>
    <w:basedOn w:val="a1"/>
    <w:locked/>
    <w:rsid w:val="00166F1A"/>
    <w:rPr>
      <w:rFonts w:ascii="Arial" w:hAnsi="Arial" w:cs="Times New Roman"/>
      <w:lang w:val="en-GB" w:bidi="ar-SA"/>
    </w:rPr>
  </w:style>
  <w:style w:type="character" w:customStyle="1" w:styleId="tw4winMark">
    <w:name w:val="tw4winMark"/>
    <w:rsid w:val="00166F1A"/>
    <w:rPr>
      <w:rFonts w:ascii="Courier New" w:hAnsi="Courier New"/>
      <w:vanish/>
      <w:color w:val="800080"/>
      <w:sz w:val="24"/>
      <w:vertAlign w:val="subscript"/>
    </w:rPr>
  </w:style>
  <w:style w:type="character" w:customStyle="1" w:styleId="tw4winError">
    <w:name w:val="tw4winError"/>
    <w:rsid w:val="00166F1A"/>
    <w:rPr>
      <w:rFonts w:ascii="Courier New" w:hAnsi="Courier New"/>
      <w:color w:val="00FF00"/>
      <w:sz w:val="40"/>
    </w:rPr>
  </w:style>
  <w:style w:type="character" w:customStyle="1" w:styleId="tw4winTerm">
    <w:name w:val="tw4winTerm"/>
    <w:rsid w:val="00166F1A"/>
    <w:rPr>
      <w:color w:val="0000FF"/>
    </w:rPr>
  </w:style>
  <w:style w:type="character" w:customStyle="1" w:styleId="tw4winPopup">
    <w:name w:val="tw4winPopup"/>
    <w:rsid w:val="00166F1A"/>
    <w:rPr>
      <w:rFonts w:ascii="Courier New" w:hAnsi="Courier New"/>
      <w:noProof/>
      <w:color w:val="008000"/>
    </w:rPr>
  </w:style>
  <w:style w:type="character" w:customStyle="1" w:styleId="tw4winJump">
    <w:name w:val="tw4winJump"/>
    <w:rsid w:val="00166F1A"/>
    <w:rPr>
      <w:rFonts w:ascii="Courier New" w:hAnsi="Courier New"/>
      <w:noProof/>
      <w:color w:val="008080"/>
    </w:rPr>
  </w:style>
  <w:style w:type="character" w:customStyle="1" w:styleId="tw4winExternal">
    <w:name w:val="tw4winExternal"/>
    <w:rsid w:val="00166F1A"/>
    <w:rPr>
      <w:rFonts w:ascii="Courier New" w:hAnsi="Courier New"/>
      <w:noProof/>
      <w:color w:val="808080"/>
    </w:rPr>
  </w:style>
  <w:style w:type="character" w:customStyle="1" w:styleId="tw4winInternal">
    <w:name w:val="tw4winInternal"/>
    <w:rsid w:val="00166F1A"/>
    <w:rPr>
      <w:rFonts w:ascii="Courier New" w:hAnsi="Courier New"/>
      <w:noProof/>
      <w:color w:val="FF0000"/>
    </w:rPr>
  </w:style>
  <w:style w:type="character" w:customStyle="1" w:styleId="DONOTTRANSLATE">
    <w:name w:val="DO_NOT_TRANSLATE"/>
    <w:rsid w:val="00166F1A"/>
    <w:rPr>
      <w:rFonts w:ascii="Courier New" w:hAnsi="Courier New"/>
      <w:noProof/>
      <w:color w:val="800000"/>
    </w:rPr>
  </w:style>
  <w:style w:type="character" w:customStyle="1" w:styleId="ABC-subheadinNotes">
    <w:name w:val="ABC - subhead in Notes"/>
    <w:rsid w:val="00166F1A"/>
    <w:rPr>
      <w:b/>
      <w:i/>
    </w:rPr>
  </w:style>
  <w:style w:type="table" w:styleId="af7">
    <w:name w:val="Table Grid"/>
    <w:basedOn w:val="a2"/>
    <w:rsid w:val="00451F05"/>
    <w:rPr>
      <w:rFonts w:ascii="Arial" w:eastAsia="SimSun" w:hAnsi="Arial"/>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umbersCharChar">
    <w:name w:val="Table numbers Char Char"/>
    <w:basedOn w:val="a0"/>
    <w:rsid w:val="00BA5558"/>
    <w:pPr>
      <w:spacing w:after="100" w:line="300" w:lineRule="atLeast"/>
      <w:jc w:val="both"/>
    </w:pPr>
    <w:rPr>
      <w:rFonts w:ascii="Times New Roman" w:hAnsi="Times New Roman"/>
      <w:sz w:val="22"/>
      <w:lang w:val="en-US"/>
    </w:rPr>
  </w:style>
  <w:style w:type="character" w:customStyle="1" w:styleId="DeltaViewInsertion">
    <w:name w:val="DeltaView Insertion"/>
    <w:rsid w:val="00FC0D28"/>
    <w:rPr>
      <w:color w:val="0000FF"/>
      <w:spacing w:val="0"/>
      <w:u w:val="double"/>
    </w:rPr>
  </w:style>
  <w:style w:type="paragraph" w:customStyle="1" w:styleId="consplusnormal">
    <w:name w:val="consplusnormal"/>
    <w:basedOn w:val="a0"/>
    <w:rsid w:val="006123C5"/>
    <w:pPr>
      <w:autoSpaceDE w:val="0"/>
      <w:autoSpaceDN w:val="0"/>
      <w:ind w:firstLine="720"/>
    </w:pPr>
    <w:rPr>
      <w:rFonts w:cs="Arial"/>
      <w:sz w:val="20"/>
      <w:lang w:val="ru-RU"/>
    </w:rPr>
  </w:style>
  <w:style w:type="character" w:styleId="af8">
    <w:name w:val="Strong"/>
    <w:basedOn w:val="a1"/>
    <w:qFormat/>
    <w:rsid w:val="00E965A9"/>
    <w:rPr>
      <w:b/>
      <w:bCs/>
    </w:rPr>
  </w:style>
  <w:style w:type="character" w:customStyle="1" w:styleId="a5">
    <w:name w:val="Верхний колонтитул Знак"/>
    <w:basedOn w:val="a1"/>
    <w:link w:val="a4"/>
    <w:uiPriority w:val="99"/>
    <w:rsid w:val="00886C83"/>
    <w:rPr>
      <w:rFonts w:ascii="Arial" w:hAnsi="Arial"/>
      <w:sz w:val="16"/>
      <w:lang w:val="en-GB" w:eastAsia="ru-RU" w:bidi="ar-SA"/>
    </w:rPr>
  </w:style>
  <w:style w:type="paragraph" w:customStyle="1" w:styleId="Style96">
    <w:name w:val="Style96"/>
    <w:basedOn w:val="a0"/>
    <w:uiPriority w:val="99"/>
    <w:rsid w:val="001A3CA4"/>
    <w:pPr>
      <w:widowControl w:val="0"/>
      <w:autoSpaceDE w:val="0"/>
      <w:autoSpaceDN w:val="0"/>
      <w:adjustRightInd w:val="0"/>
      <w:spacing w:line="244" w:lineRule="exact"/>
      <w:jc w:val="both"/>
    </w:pPr>
    <w:rPr>
      <w:rFonts w:ascii="Calibri" w:eastAsiaTheme="minorEastAsia" w:hAnsi="Calibri" w:cstheme="minorBidi"/>
      <w:sz w:val="24"/>
      <w:szCs w:val="24"/>
      <w:lang w:val="ru-RU"/>
    </w:rPr>
  </w:style>
  <w:style w:type="character" w:customStyle="1" w:styleId="FontStyle170">
    <w:name w:val="Font Style170"/>
    <w:basedOn w:val="a1"/>
    <w:uiPriority w:val="99"/>
    <w:rsid w:val="001A3CA4"/>
    <w:rPr>
      <w:rFonts w:ascii="Calibri" w:hAnsi="Calibri" w:cs="Calibri"/>
      <w:color w:val="000000"/>
      <w:sz w:val="18"/>
      <w:szCs w:val="18"/>
    </w:rPr>
  </w:style>
  <w:style w:type="paragraph" w:customStyle="1" w:styleId="PwCAddress">
    <w:name w:val="PwC Address"/>
    <w:basedOn w:val="a0"/>
    <w:link w:val="PwCAddressChar"/>
    <w:qFormat/>
    <w:rsid w:val="00334E7D"/>
    <w:pPr>
      <w:spacing w:line="200" w:lineRule="atLeast"/>
    </w:pPr>
    <w:rPr>
      <w:rFonts w:ascii="Georgia" w:eastAsia="Arial" w:hAnsi="Georgia"/>
      <w:i/>
      <w:noProof/>
      <w:szCs w:val="22"/>
      <w:lang w:eastAsia="en-GB"/>
    </w:rPr>
  </w:style>
  <w:style w:type="character" w:customStyle="1" w:styleId="PwCAddressChar">
    <w:name w:val="PwC Address Char"/>
    <w:basedOn w:val="a1"/>
    <w:link w:val="PwCAddress"/>
    <w:rsid w:val="00334E7D"/>
    <w:rPr>
      <w:rFonts w:ascii="Georgia" w:eastAsia="Arial" w:hAnsi="Georgia"/>
      <w:i/>
      <w:noProof/>
      <w:sz w:val="18"/>
      <w:szCs w:val="22"/>
      <w:lang w:val="en-GB" w:eastAsia="en-GB"/>
    </w:rPr>
  </w:style>
  <w:style w:type="character" w:customStyle="1" w:styleId="aa">
    <w:name w:val="Текст сноски Знак"/>
    <w:basedOn w:val="a1"/>
    <w:link w:val="a9"/>
    <w:uiPriority w:val="99"/>
    <w:semiHidden/>
    <w:rsid w:val="0027623E"/>
    <w:rPr>
      <w:rFonts w:ascii="Arial" w:hAnsi="Arial"/>
      <w:sz w:val="18"/>
      <w:lang w:val="en-GB"/>
    </w:rPr>
  </w:style>
  <w:style w:type="paragraph" w:styleId="af9">
    <w:name w:val="Revision"/>
    <w:hidden/>
    <w:uiPriority w:val="99"/>
    <w:semiHidden/>
    <w:rsid w:val="00B35BFD"/>
    <w:rPr>
      <w:rFonts w:ascii="Arial" w:hAnsi="Arial"/>
      <w:sz w:val="18"/>
      <w:lang w:val="en-GB"/>
    </w:rPr>
  </w:style>
  <w:style w:type="character" w:customStyle="1" w:styleId="a8">
    <w:name w:val="Нижний колонтитул Знак"/>
    <w:basedOn w:val="a1"/>
    <w:link w:val="a7"/>
    <w:uiPriority w:val="99"/>
    <w:rsid w:val="00E16BFD"/>
    <w:rPr>
      <w:rFonts w:ascii="Arial" w:hAnsi="Arial"/>
      <w:sz w:val="18"/>
      <w:lang w:val="en-GB"/>
    </w:rPr>
  </w:style>
  <w:style w:type="paragraph" w:customStyle="1" w:styleId="RRthousand">
    <w:name w:val="RR thousand"/>
    <w:basedOn w:val="RRthousands"/>
    <w:qFormat/>
    <w:rsid w:val="008E0055"/>
    <w:rPr>
      <w:sz w:val="18"/>
      <w:szCs w:val="18"/>
      <w:lang w:val="ru-RU"/>
    </w:rPr>
  </w:style>
  <w:style w:type="character" w:customStyle="1" w:styleId="RRthousandsChar1">
    <w:name w:val="RR thousands Char1"/>
    <w:basedOn w:val="a1"/>
    <w:link w:val="RRthousands"/>
    <w:rsid w:val="00607BE6"/>
    <w:rPr>
      <w:rFonts w:ascii="Arial" w:hAnsi="Arial" w:cs="Arial"/>
      <w:i/>
      <w:sz w:val="16"/>
      <w:lang w:val="en-GB"/>
    </w:rPr>
  </w:style>
  <w:style w:type="paragraph" w:styleId="afa">
    <w:name w:val="List Paragraph"/>
    <w:basedOn w:val="a0"/>
    <w:uiPriority w:val="99"/>
    <w:qFormat/>
    <w:rsid w:val="00994892"/>
    <w:pPr>
      <w:ind w:left="720"/>
      <w:contextualSpacing/>
    </w:pPr>
  </w:style>
  <w:style w:type="paragraph" w:styleId="afb">
    <w:name w:val="Plain Text"/>
    <w:basedOn w:val="a0"/>
    <w:link w:val="afc"/>
    <w:uiPriority w:val="99"/>
    <w:unhideWhenUsed/>
    <w:rsid w:val="007421B1"/>
    <w:rPr>
      <w:rFonts w:ascii="Courier New" w:eastAsiaTheme="minorHAnsi" w:hAnsi="Courier New" w:cs="Courier New"/>
      <w:sz w:val="20"/>
      <w:lang w:val="ru-RU"/>
    </w:rPr>
  </w:style>
  <w:style w:type="character" w:customStyle="1" w:styleId="afc">
    <w:name w:val="Текст Знак"/>
    <w:basedOn w:val="a1"/>
    <w:link w:val="afb"/>
    <w:uiPriority w:val="99"/>
    <w:rsid w:val="007421B1"/>
    <w:rPr>
      <w:rFonts w:ascii="Courier New" w:eastAsiaTheme="minorHAnsi" w:hAnsi="Courier New" w:cs="Courier New"/>
    </w:rPr>
  </w:style>
  <w:style w:type="character" w:styleId="afd">
    <w:name w:val="Hyperlink"/>
    <w:basedOn w:val="a1"/>
    <w:uiPriority w:val="99"/>
    <w:rsid w:val="00522239"/>
    <w:rPr>
      <w:color w:val="0000FF" w:themeColor="hyperlink"/>
      <w:u w:val="single"/>
    </w:rPr>
  </w:style>
  <w:style w:type="character" w:customStyle="1" w:styleId="10">
    <w:name w:val="Заголовок 1 Знак"/>
    <w:basedOn w:val="a1"/>
    <w:link w:val="1"/>
    <w:uiPriority w:val="9"/>
    <w:locked/>
    <w:rsid w:val="00364760"/>
    <w:rPr>
      <w:rFonts w:ascii="Arial" w:hAnsi="Arial"/>
      <w:b/>
      <w:kern w:val="28"/>
      <w:lang w:val="en-GB"/>
    </w:rPr>
  </w:style>
  <w:style w:type="character" w:customStyle="1" w:styleId="af5">
    <w:name w:val="Текст примечания Знак"/>
    <w:basedOn w:val="a1"/>
    <w:link w:val="af4"/>
    <w:uiPriority w:val="99"/>
    <w:semiHidden/>
    <w:locked/>
    <w:rsid w:val="00603F0B"/>
    <w:rPr>
      <w:rFonts w:ascii="Arial" w:hAnsi="Arial"/>
      <w:sz w:val="18"/>
      <w:lang w:val="en-GB"/>
    </w:rPr>
  </w:style>
  <w:style w:type="numbering" w:customStyle="1" w:styleId="PwCListNumbers1">
    <w:name w:val="PwC List Numbers 1"/>
    <w:uiPriority w:val="99"/>
    <w:rsid w:val="009C4246"/>
    <w:pPr>
      <w:numPr>
        <w:numId w:val="12"/>
      </w:numPr>
    </w:pPr>
  </w:style>
  <w:style w:type="paragraph" w:styleId="a">
    <w:name w:val="List Number"/>
    <w:basedOn w:val="a0"/>
    <w:unhideWhenUsed/>
    <w:qFormat/>
    <w:rsid w:val="009C4246"/>
    <w:pPr>
      <w:numPr>
        <w:numId w:val="13"/>
      </w:numPr>
      <w:spacing w:line="240" w:lineRule="atLeast"/>
      <w:contextualSpacing/>
    </w:pPr>
    <w:rPr>
      <w:rFonts w:ascii="Georgia" w:eastAsiaTheme="minorHAnsi" w:hAnsi="Georgia" w:cstheme="minorBidi"/>
      <w:sz w:val="20"/>
      <w:szCs w:val="22"/>
      <w:lang w:eastAsia="en-US"/>
    </w:rPr>
  </w:style>
  <w:style w:type="paragraph" w:styleId="2">
    <w:name w:val="List Number 2"/>
    <w:basedOn w:val="a0"/>
    <w:unhideWhenUsed/>
    <w:qFormat/>
    <w:rsid w:val="009C4246"/>
    <w:pPr>
      <w:numPr>
        <w:ilvl w:val="1"/>
        <w:numId w:val="13"/>
      </w:numPr>
      <w:spacing w:line="240" w:lineRule="atLeast"/>
      <w:contextualSpacing/>
    </w:pPr>
    <w:rPr>
      <w:rFonts w:ascii="Georgia" w:eastAsiaTheme="minorHAnsi" w:hAnsi="Georgia" w:cstheme="minorBidi"/>
      <w:sz w:val="20"/>
      <w:szCs w:val="22"/>
      <w:lang w:eastAsia="en-US"/>
    </w:rPr>
  </w:style>
  <w:style w:type="paragraph" w:styleId="3">
    <w:name w:val="List Number 3"/>
    <w:basedOn w:val="a0"/>
    <w:unhideWhenUsed/>
    <w:qFormat/>
    <w:rsid w:val="009C4246"/>
    <w:pPr>
      <w:numPr>
        <w:ilvl w:val="2"/>
        <w:numId w:val="13"/>
      </w:numPr>
      <w:spacing w:line="240" w:lineRule="atLeast"/>
      <w:contextualSpacing/>
    </w:pPr>
    <w:rPr>
      <w:rFonts w:ascii="Georgia" w:eastAsiaTheme="minorHAnsi" w:hAnsi="Georgia" w:cstheme="minorBidi"/>
      <w:sz w:val="20"/>
      <w:szCs w:val="22"/>
      <w:lang w:eastAsia="en-US"/>
    </w:rPr>
  </w:style>
  <w:style w:type="paragraph" w:styleId="4">
    <w:name w:val="List Number 4"/>
    <w:basedOn w:val="a0"/>
    <w:uiPriority w:val="13"/>
    <w:unhideWhenUsed/>
    <w:rsid w:val="009C4246"/>
    <w:pPr>
      <w:numPr>
        <w:ilvl w:val="3"/>
        <w:numId w:val="13"/>
      </w:numPr>
      <w:spacing w:line="240" w:lineRule="atLeast"/>
      <w:contextualSpacing/>
    </w:pPr>
    <w:rPr>
      <w:rFonts w:ascii="Georgia" w:eastAsiaTheme="minorHAnsi" w:hAnsi="Georgia" w:cstheme="minorBidi"/>
      <w:sz w:val="20"/>
      <w:szCs w:val="22"/>
      <w:lang w:eastAsia="en-US"/>
    </w:rPr>
  </w:style>
  <w:style w:type="paragraph" w:styleId="5">
    <w:name w:val="List Number 5"/>
    <w:basedOn w:val="a0"/>
    <w:unhideWhenUsed/>
    <w:rsid w:val="009C4246"/>
    <w:pPr>
      <w:numPr>
        <w:ilvl w:val="4"/>
        <w:numId w:val="13"/>
      </w:numPr>
      <w:spacing w:line="240" w:lineRule="atLeast"/>
      <w:contextualSpacing/>
    </w:pPr>
    <w:rPr>
      <w:rFonts w:ascii="Georgia" w:eastAsiaTheme="minorHAnsi" w:hAnsi="Georgia" w:cstheme="minorBidi"/>
      <w:sz w:val="20"/>
      <w:szCs w:val="22"/>
      <w:lang w:eastAsia="en-US"/>
    </w:rPr>
  </w:style>
  <w:style w:type="character" w:customStyle="1" w:styleId="31">
    <w:name w:val="Заголовок 3 Знак"/>
    <w:basedOn w:val="a1"/>
    <w:link w:val="30"/>
    <w:rsid w:val="005C7342"/>
    <w:rPr>
      <w:rFonts w:ascii="Arial" w:hAnsi="Arial"/>
      <w:b/>
      <w:sz w:val="18"/>
      <w:lang w:val="en-GB"/>
    </w:rPr>
  </w:style>
  <w:style w:type="paragraph" w:styleId="afe">
    <w:name w:val="Normal (Web)"/>
    <w:basedOn w:val="a0"/>
    <w:uiPriority w:val="99"/>
    <w:rsid w:val="00B27FBF"/>
    <w:rPr>
      <w:rFonts w:ascii="Times New Roman" w:hAnsi="Times New Roman"/>
      <w:sz w:val="24"/>
      <w:szCs w:val="24"/>
      <w:lang w:val="ru-RU"/>
    </w:rPr>
  </w:style>
  <w:style w:type="character" w:styleId="aff">
    <w:name w:val="Emphasis"/>
    <w:basedOn w:val="a1"/>
    <w:uiPriority w:val="20"/>
    <w:qFormat/>
    <w:rsid w:val="00AC7644"/>
    <w:rPr>
      <w:i/>
      <w:iCs/>
    </w:rPr>
  </w:style>
  <w:style w:type="paragraph" w:styleId="HTML">
    <w:name w:val="HTML Preformatted"/>
    <w:basedOn w:val="a0"/>
    <w:link w:val="HTML0"/>
    <w:uiPriority w:val="99"/>
    <w:unhideWhenUsed/>
    <w:rsid w:val="0018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lang w:val="ru-RU"/>
    </w:rPr>
  </w:style>
  <w:style w:type="character" w:customStyle="1" w:styleId="HTML0">
    <w:name w:val="Стандартный HTML Знак"/>
    <w:basedOn w:val="a1"/>
    <w:link w:val="HTML"/>
    <w:uiPriority w:val="99"/>
    <w:rsid w:val="0018114E"/>
    <w:rPr>
      <w:rFonts w:ascii="Courier New" w:eastAsiaTheme="minorHAnsi" w:hAnsi="Courier New" w:cs="Courier New"/>
    </w:rPr>
  </w:style>
  <w:style w:type="paragraph" w:styleId="aff0">
    <w:name w:val="Title"/>
    <w:basedOn w:val="a0"/>
    <w:link w:val="aff1"/>
    <w:uiPriority w:val="10"/>
    <w:qFormat/>
    <w:rsid w:val="006030AA"/>
    <w:pPr>
      <w:jc w:val="center"/>
    </w:pPr>
    <w:rPr>
      <w:rFonts w:ascii="Times New Roman" w:eastAsiaTheme="minorHAnsi" w:hAnsi="Times New Roman"/>
      <w:b/>
      <w:bCs/>
      <w:sz w:val="24"/>
      <w:szCs w:val="24"/>
      <w:lang w:val="ru-RU"/>
    </w:rPr>
  </w:style>
  <w:style w:type="character" w:customStyle="1" w:styleId="aff1">
    <w:name w:val="Название Знак"/>
    <w:basedOn w:val="a1"/>
    <w:link w:val="aff0"/>
    <w:uiPriority w:val="10"/>
    <w:rsid w:val="006030AA"/>
    <w:rPr>
      <w:rFonts w:eastAsiaTheme="minorHAnsi"/>
      <w:b/>
      <w:bCs/>
      <w:sz w:val="24"/>
      <w:szCs w:val="24"/>
    </w:rPr>
  </w:style>
  <w:style w:type="character" w:customStyle="1" w:styleId="23">
    <w:name w:val="Оглавление 2 Знак"/>
    <w:basedOn w:val="a1"/>
    <w:link w:val="22"/>
    <w:locked/>
    <w:rsid w:val="001F426D"/>
    <w:rPr>
      <w:rFonts w:ascii="Arial" w:hAnsi="Arial"/>
      <w:smallCaps/>
      <w:sz w:val="18"/>
      <w:lang w:val="en-GB"/>
    </w:rPr>
  </w:style>
  <w:style w:type="character" w:customStyle="1" w:styleId="25">
    <w:name w:val="Основной текст (2)_"/>
    <w:basedOn w:val="a1"/>
    <w:link w:val="210"/>
    <w:uiPriority w:val="99"/>
    <w:locked/>
    <w:rsid w:val="001F426D"/>
    <w:rPr>
      <w:rFonts w:ascii="Arial" w:hAnsi="Arial" w:cs="Arial"/>
      <w:b/>
      <w:bCs/>
      <w:sz w:val="18"/>
      <w:szCs w:val="18"/>
      <w:shd w:val="clear" w:color="auto" w:fill="FFFFFF"/>
    </w:rPr>
  </w:style>
  <w:style w:type="paragraph" w:customStyle="1" w:styleId="210">
    <w:name w:val="Основной текст (2)1"/>
    <w:basedOn w:val="a0"/>
    <w:link w:val="25"/>
    <w:uiPriority w:val="99"/>
    <w:rsid w:val="001F426D"/>
    <w:pPr>
      <w:widowControl w:val="0"/>
      <w:shd w:val="clear" w:color="auto" w:fill="FFFFFF"/>
      <w:spacing w:line="226" w:lineRule="exact"/>
      <w:ind w:hanging="920"/>
    </w:pPr>
    <w:rPr>
      <w:rFonts w:cs="Arial"/>
      <w:b/>
      <w:bCs/>
      <w:szCs w:val="18"/>
      <w:lang w:val="ru-RU"/>
    </w:rPr>
  </w:style>
  <w:style w:type="paragraph" w:customStyle="1" w:styleId="ConsPlusNormal0">
    <w:name w:val="ConsPlusNormal"/>
    <w:rsid w:val="00323BC0"/>
    <w:pPr>
      <w:autoSpaceDE w:val="0"/>
      <w:autoSpaceDN w:val="0"/>
      <w:adjustRightInd w:val="0"/>
    </w:pPr>
    <w:rPr>
      <w:rFonts w:ascii="Arial" w:hAnsi="Arial" w:cs="Arial"/>
    </w:rPr>
  </w:style>
  <w:style w:type="character" w:customStyle="1" w:styleId="aff2">
    <w:name w:val="Подпись к таблице_"/>
    <w:basedOn w:val="a1"/>
    <w:link w:val="aff3"/>
    <w:uiPriority w:val="99"/>
    <w:locked/>
    <w:rsid w:val="00D71B06"/>
    <w:rPr>
      <w:rFonts w:ascii="Arial" w:hAnsi="Arial" w:cs="Arial"/>
      <w:i/>
      <w:iCs/>
      <w:sz w:val="18"/>
      <w:szCs w:val="18"/>
      <w:shd w:val="clear" w:color="auto" w:fill="FFFFFF"/>
    </w:rPr>
  </w:style>
  <w:style w:type="paragraph" w:customStyle="1" w:styleId="aff3">
    <w:name w:val="Подпись к таблице"/>
    <w:basedOn w:val="a0"/>
    <w:link w:val="aff2"/>
    <w:uiPriority w:val="99"/>
    <w:rsid w:val="00D71B06"/>
    <w:pPr>
      <w:widowControl w:val="0"/>
      <w:shd w:val="clear" w:color="auto" w:fill="FFFFFF"/>
      <w:spacing w:line="240" w:lineRule="atLeast"/>
    </w:pPr>
    <w:rPr>
      <w:rFonts w:cs="Arial"/>
      <w:i/>
      <w:iCs/>
      <w:szCs w:val="18"/>
      <w:lang w:val="ru-RU"/>
    </w:rPr>
  </w:style>
  <w:style w:type="character" w:customStyle="1" w:styleId="26">
    <w:name w:val="Заголовок №2_"/>
    <w:basedOn w:val="a1"/>
    <w:link w:val="211"/>
    <w:uiPriority w:val="99"/>
    <w:locked/>
    <w:rsid w:val="00ED600A"/>
    <w:rPr>
      <w:rFonts w:ascii="Arial" w:hAnsi="Arial" w:cs="Arial"/>
      <w:b/>
      <w:bCs/>
      <w:sz w:val="18"/>
      <w:szCs w:val="18"/>
      <w:shd w:val="clear" w:color="auto" w:fill="FFFFFF"/>
    </w:rPr>
  </w:style>
  <w:style w:type="paragraph" w:customStyle="1" w:styleId="211">
    <w:name w:val="Заголовок №21"/>
    <w:basedOn w:val="a0"/>
    <w:link w:val="26"/>
    <w:uiPriority w:val="99"/>
    <w:rsid w:val="00ED600A"/>
    <w:pPr>
      <w:widowControl w:val="0"/>
      <w:shd w:val="clear" w:color="auto" w:fill="FFFFFF"/>
      <w:spacing w:line="437" w:lineRule="exact"/>
      <w:ind w:hanging="440"/>
      <w:jc w:val="both"/>
      <w:outlineLvl w:val="1"/>
    </w:pPr>
    <w:rPr>
      <w:rFonts w:cs="Arial"/>
      <w:b/>
      <w:bCs/>
      <w:szCs w:val="18"/>
      <w:lang w:val="ru-RU"/>
    </w:rPr>
  </w:style>
  <w:style w:type="character" w:customStyle="1" w:styleId="34">
    <w:name w:val="Основной текст (3)_"/>
    <w:basedOn w:val="a1"/>
    <w:link w:val="310"/>
    <w:uiPriority w:val="99"/>
    <w:locked/>
    <w:rsid w:val="00E01D35"/>
    <w:rPr>
      <w:rFonts w:ascii="Arial" w:hAnsi="Arial" w:cs="Arial"/>
      <w:b/>
      <w:bCs/>
      <w:i/>
      <w:iCs/>
      <w:shd w:val="clear" w:color="auto" w:fill="FFFFFF"/>
    </w:rPr>
  </w:style>
  <w:style w:type="paragraph" w:customStyle="1" w:styleId="310">
    <w:name w:val="Основной текст (3)1"/>
    <w:basedOn w:val="a0"/>
    <w:link w:val="34"/>
    <w:uiPriority w:val="99"/>
    <w:rsid w:val="00E01D35"/>
    <w:pPr>
      <w:widowControl w:val="0"/>
      <w:shd w:val="clear" w:color="auto" w:fill="FFFFFF"/>
      <w:spacing w:line="230" w:lineRule="exact"/>
      <w:ind w:hanging="440"/>
      <w:jc w:val="right"/>
    </w:pPr>
    <w:rPr>
      <w:rFonts w:cs="Arial"/>
      <w:b/>
      <w:bCs/>
      <w:i/>
      <w:iCs/>
      <w:sz w:val="20"/>
      <w:lang w:val="ru-RU"/>
    </w:rPr>
  </w:style>
  <w:style w:type="character" w:customStyle="1" w:styleId="71">
    <w:name w:val="Основной текст (7)_"/>
    <w:basedOn w:val="a1"/>
    <w:link w:val="710"/>
    <w:uiPriority w:val="99"/>
    <w:locked/>
    <w:rsid w:val="00794C6E"/>
    <w:rPr>
      <w:rFonts w:ascii="Arial" w:hAnsi="Arial" w:cs="Arial"/>
      <w:i/>
      <w:iCs/>
      <w:sz w:val="19"/>
      <w:szCs w:val="19"/>
      <w:shd w:val="clear" w:color="auto" w:fill="FFFFFF"/>
    </w:rPr>
  </w:style>
  <w:style w:type="character" w:customStyle="1" w:styleId="27">
    <w:name w:val="Подпись к таблице (2)_"/>
    <w:basedOn w:val="a1"/>
    <w:link w:val="212"/>
    <w:uiPriority w:val="99"/>
    <w:locked/>
    <w:rsid w:val="00794C6E"/>
    <w:rPr>
      <w:rFonts w:ascii="Arial" w:hAnsi="Arial" w:cs="Arial"/>
      <w:b/>
      <w:bCs/>
      <w:sz w:val="18"/>
      <w:szCs w:val="18"/>
      <w:shd w:val="clear" w:color="auto" w:fill="FFFFFF"/>
    </w:rPr>
  </w:style>
  <w:style w:type="paragraph" w:customStyle="1" w:styleId="710">
    <w:name w:val="Основной текст (7)1"/>
    <w:basedOn w:val="a0"/>
    <w:link w:val="71"/>
    <w:uiPriority w:val="99"/>
    <w:rsid w:val="00794C6E"/>
    <w:pPr>
      <w:widowControl w:val="0"/>
      <w:shd w:val="clear" w:color="auto" w:fill="FFFFFF"/>
      <w:spacing w:line="240" w:lineRule="atLeast"/>
    </w:pPr>
    <w:rPr>
      <w:rFonts w:cs="Arial"/>
      <w:i/>
      <w:iCs/>
      <w:sz w:val="19"/>
      <w:szCs w:val="19"/>
      <w:lang w:val="ru-RU"/>
    </w:rPr>
  </w:style>
  <w:style w:type="paragraph" w:customStyle="1" w:styleId="212">
    <w:name w:val="Подпись к таблице (2)1"/>
    <w:basedOn w:val="a0"/>
    <w:link w:val="27"/>
    <w:uiPriority w:val="99"/>
    <w:rsid w:val="00794C6E"/>
    <w:pPr>
      <w:widowControl w:val="0"/>
      <w:shd w:val="clear" w:color="auto" w:fill="FFFFFF"/>
      <w:spacing w:line="240" w:lineRule="atLeast"/>
    </w:pPr>
    <w:rPr>
      <w:rFonts w:cs="Arial"/>
      <w:b/>
      <w:bCs/>
      <w:szCs w:val="18"/>
      <w:lang w:val="ru-RU"/>
    </w:rPr>
  </w:style>
  <w:style w:type="paragraph" w:customStyle="1" w:styleId="TrebuchetMS">
    <w:name w:val="Обычный + Trebuchet MS"/>
    <w:aliases w:val="Перед:  6 пт"/>
    <w:basedOn w:val="a0"/>
    <w:rsid w:val="00DC2703"/>
    <w:pPr>
      <w:spacing w:before="120" w:after="120"/>
      <w:jc w:val="both"/>
    </w:pPr>
    <w:rPr>
      <w:rFonts w:ascii="Trebuchet MS" w:hAnsi="Trebuchet MS"/>
      <w:sz w:val="20"/>
      <w:szCs w:val="24"/>
      <w:lang w:val="ru-RU"/>
    </w:rPr>
  </w:style>
  <w:style w:type="character" w:customStyle="1" w:styleId="aff4">
    <w:name w:val="Колонтитул_"/>
    <w:basedOn w:val="a1"/>
    <w:link w:val="13"/>
    <w:uiPriority w:val="99"/>
    <w:locked/>
    <w:rsid w:val="00454FD2"/>
    <w:rPr>
      <w:rFonts w:ascii="Arial" w:hAnsi="Arial" w:cs="Arial"/>
      <w:b/>
      <w:bCs/>
      <w:i/>
      <w:iCs/>
      <w:shd w:val="clear" w:color="auto" w:fill="FFFFFF"/>
    </w:rPr>
  </w:style>
  <w:style w:type="character" w:customStyle="1" w:styleId="28">
    <w:name w:val="Колонтитул + Не полужирный2"/>
    <w:aliases w:val="Не курсив4"/>
    <w:basedOn w:val="aff4"/>
    <w:uiPriority w:val="99"/>
    <w:rsid w:val="00454FD2"/>
    <w:rPr>
      <w:rFonts w:ascii="Arial" w:hAnsi="Arial" w:cs="Arial"/>
      <w:b w:val="0"/>
      <w:bCs w:val="0"/>
      <w:i w:val="0"/>
      <w:iCs w:val="0"/>
      <w:shd w:val="clear" w:color="auto" w:fill="FFFFFF"/>
    </w:rPr>
  </w:style>
  <w:style w:type="character" w:customStyle="1" w:styleId="29">
    <w:name w:val="Колонтитул2"/>
    <w:basedOn w:val="aff4"/>
    <w:uiPriority w:val="99"/>
    <w:rsid w:val="00454FD2"/>
    <w:rPr>
      <w:rFonts w:ascii="Arial" w:hAnsi="Arial" w:cs="Arial"/>
      <w:b/>
      <w:bCs/>
      <w:i/>
      <w:iCs/>
      <w:u w:val="single"/>
      <w:shd w:val="clear" w:color="auto" w:fill="FFFFFF"/>
    </w:rPr>
  </w:style>
  <w:style w:type="character" w:customStyle="1" w:styleId="Sylfaen1">
    <w:name w:val="Колонтитул + Sylfaen1"/>
    <w:aliases w:val="Не курсив3"/>
    <w:basedOn w:val="aff4"/>
    <w:uiPriority w:val="99"/>
    <w:rsid w:val="00454FD2"/>
    <w:rPr>
      <w:rFonts w:ascii="Sylfaen" w:hAnsi="Sylfaen" w:cs="Sylfaen"/>
      <w:b/>
      <w:bCs/>
      <w:i w:val="0"/>
      <w:iCs w:val="0"/>
      <w:shd w:val="clear" w:color="auto" w:fill="FFFFFF"/>
    </w:rPr>
  </w:style>
  <w:style w:type="character" w:customStyle="1" w:styleId="15pt1">
    <w:name w:val="Колонтитул + 15 pt1"/>
    <w:aliases w:val="Не полужирный3,Не курсив2"/>
    <w:basedOn w:val="aff4"/>
    <w:uiPriority w:val="99"/>
    <w:rsid w:val="00454FD2"/>
    <w:rPr>
      <w:rFonts w:ascii="Arial" w:hAnsi="Arial" w:cs="Arial"/>
      <w:b w:val="0"/>
      <w:bCs w:val="0"/>
      <w:i w:val="0"/>
      <w:iCs w:val="0"/>
      <w:spacing w:val="0"/>
      <w:sz w:val="30"/>
      <w:szCs w:val="30"/>
      <w:shd w:val="clear" w:color="auto" w:fill="FFFFFF"/>
    </w:rPr>
  </w:style>
  <w:style w:type="character" w:customStyle="1" w:styleId="SegoeUI">
    <w:name w:val="Колонтитул + Segoe UI"/>
    <w:aliases w:val="4 pt,Не полужирный2,Не курсив1"/>
    <w:basedOn w:val="aff4"/>
    <w:uiPriority w:val="99"/>
    <w:rsid w:val="00454FD2"/>
    <w:rPr>
      <w:rFonts w:ascii="Segoe UI" w:hAnsi="Segoe UI" w:cs="Segoe UI"/>
      <w:b w:val="0"/>
      <w:bCs w:val="0"/>
      <w:i w:val="0"/>
      <w:iCs w:val="0"/>
      <w:sz w:val="8"/>
      <w:szCs w:val="8"/>
      <w:shd w:val="clear" w:color="auto" w:fill="FFFFFF"/>
    </w:rPr>
  </w:style>
  <w:style w:type="paragraph" w:customStyle="1" w:styleId="13">
    <w:name w:val="Колонтитул1"/>
    <w:basedOn w:val="a0"/>
    <w:link w:val="aff4"/>
    <w:uiPriority w:val="99"/>
    <w:rsid w:val="00454FD2"/>
    <w:pPr>
      <w:widowControl w:val="0"/>
      <w:shd w:val="clear" w:color="auto" w:fill="FFFFFF"/>
      <w:spacing w:line="230" w:lineRule="exact"/>
      <w:jc w:val="center"/>
    </w:pPr>
    <w:rPr>
      <w:rFonts w:cs="Arial"/>
      <w:b/>
      <w:bCs/>
      <w:i/>
      <w:iCs/>
      <w:sz w:val="20"/>
      <w:lang w:val="ru-RU"/>
    </w:rPr>
  </w:style>
  <w:style w:type="character" w:customStyle="1" w:styleId="14">
    <w:name w:val="Колонтитул + Не полужирный1"/>
    <w:basedOn w:val="aff4"/>
    <w:uiPriority w:val="99"/>
    <w:rsid w:val="00567162"/>
    <w:rPr>
      <w:rFonts w:ascii="Arial" w:hAnsi="Arial" w:cs="Arial"/>
      <w:b w:val="0"/>
      <w:bCs w:val="0"/>
      <w:i/>
      <w:iCs/>
      <w:sz w:val="20"/>
      <w:szCs w:val="20"/>
      <w:u w:val="none"/>
      <w:shd w:val="clear" w:color="auto" w:fill="FFFFFF"/>
    </w:rPr>
  </w:style>
  <w:style w:type="character" w:customStyle="1" w:styleId="220">
    <w:name w:val="Подпись к таблице (2)2"/>
    <w:basedOn w:val="a1"/>
    <w:uiPriority w:val="99"/>
    <w:rsid w:val="00AD0A76"/>
    <w:rPr>
      <w:rFonts w:ascii="Arial" w:hAnsi="Arial" w:cs="Arial"/>
      <w:b/>
      <w:bCs/>
      <w:sz w:val="18"/>
      <w:szCs w:val="18"/>
      <w:u w:val="none"/>
    </w:rPr>
  </w:style>
  <w:style w:type="character" w:customStyle="1" w:styleId="52">
    <w:name w:val="Подпись к таблице (5)_"/>
    <w:basedOn w:val="a1"/>
    <w:link w:val="53"/>
    <w:uiPriority w:val="99"/>
    <w:locked/>
    <w:rsid w:val="00B623F4"/>
    <w:rPr>
      <w:rFonts w:ascii="Arial" w:hAnsi="Arial" w:cs="Arial"/>
      <w:sz w:val="18"/>
      <w:szCs w:val="18"/>
      <w:shd w:val="clear" w:color="auto" w:fill="FFFFFF"/>
    </w:rPr>
  </w:style>
  <w:style w:type="paragraph" w:customStyle="1" w:styleId="53">
    <w:name w:val="Подпись к таблице (5)"/>
    <w:basedOn w:val="a0"/>
    <w:link w:val="52"/>
    <w:uiPriority w:val="99"/>
    <w:rsid w:val="00B623F4"/>
    <w:pPr>
      <w:widowControl w:val="0"/>
      <w:shd w:val="clear" w:color="auto" w:fill="FFFFFF"/>
      <w:spacing w:line="221" w:lineRule="exact"/>
      <w:jc w:val="both"/>
    </w:pPr>
    <w:rPr>
      <w:rFonts w:cs="Arial"/>
      <w:szCs w:val="18"/>
      <w:lang w:val="ru-RU"/>
    </w:rPr>
  </w:style>
  <w:style w:type="character" w:customStyle="1" w:styleId="79pt">
    <w:name w:val="Основной текст (7) + 9 pt"/>
    <w:aliases w:val="Полужирный,Не курсив5"/>
    <w:basedOn w:val="71"/>
    <w:uiPriority w:val="99"/>
    <w:rsid w:val="00763F88"/>
    <w:rPr>
      <w:rFonts w:ascii="Arial" w:hAnsi="Arial" w:cs="Arial"/>
      <w:b/>
      <w:bCs/>
      <w:i w:val="0"/>
      <w:iCs w:val="0"/>
      <w:sz w:val="18"/>
      <w:szCs w:val="18"/>
      <w:u w:val="none"/>
      <w:shd w:val="clear" w:color="auto" w:fill="FFFFFF"/>
    </w:rPr>
  </w:style>
  <w:style w:type="character" w:customStyle="1" w:styleId="42">
    <w:name w:val="Подпись к таблице (4)_"/>
    <w:basedOn w:val="a1"/>
    <w:link w:val="43"/>
    <w:uiPriority w:val="99"/>
    <w:locked/>
    <w:rsid w:val="0032464E"/>
    <w:rPr>
      <w:rFonts w:ascii="Arial" w:hAnsi="Arial" w:cs="Arial"/>
      <w:b/>
      <w:bCs/>
      <w:i/>
      <w:iCs/>
      <w:shd w:val="clear" w:color="auto" w:fill="FFFFFF"/>
    </w:rPr>
  </w:style>
  <w:style w:type="paragraph" w:customStyle="1" w:styleId="43">
    <w:name w:val="Подпись к таблице (4)"/>
    <w:basedOn w:val="a0"/>
    <w:link w:val="42"/>
    <w:uiPriority w:val="99"/>
    <w:rsid w:val="0032464E"/>
    <w:pPr>
      <w:widowControl w:val="0"/>
      <w:shd w:val="clear" w:color="auto" w:fill="FFFFFF"/>
      <w:spacing w:line="240" w:lineRule="atLeast"/>
    </w:pPr>
    <w:rPr>
      <w:rFonts w:cs="Arial"/>
      <w:b/>
      <w:bCs/>
      <w:i/>
      <w:iCs/>
      <w:sz w:val="20"/>
      <w:lang w:val="ru-RU"/>
    </w:rPr>
  </w:style>
  <w:style w:type="character" w:customStyle="1" w:styleId="230">
    <w:name w:val="Основной текст (2)3"/>
    <w:basedOn w:val="25"/>
    <w:uiPriority w:val="99"/>
    <w:rsid w:val="0032464E"/>
    <w:rPr>
      <w:rFonts w:ascii="Arial" w:hAnsi="Arial" w:cs="Arial"/>
      <w:b/>
      <w:bCs/>
      <w:sz w:val="18"/>
      <w:szCs w:val="18"/>
      <w:u w:val="none"/>
      <w:shd w:val="clear" w:color="auto" w:fill="FFFFFF"/>
    </w:rPr>
  </w:style>
  <w:style w:type="character" w:customStyle="1" w:styleId="ae">
    <w:name w:val="Основной текст Знак"/>
    <w:basedOn w:val="a1"/>
    <w:link w:val="ad"/>
    <w:rsid w:val="005B69B4"/>
    <w:rPr>
      <w:rFonts w:ascii="Arial" w:hAnsi="Arial"/>
      <w:sz w:val="18"/>
      <w:lang w:val="en-GB"/>
    </w:rPr>
  </w:style>
  <w:style w:type="character" w:styleId="aff5">
    <w:name w:val="line number"/>
    <w:basedOn w:val="a1"/>
    <w:rsid w:val="005431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Number" w:qFormat="1"/>
    <w:lsdException w:name="List Number 2" w:qFormat="1"/>
    <w:lsdException w:name="List Number 3" w:qFormat="1"/>
    <w:lsdException w:name="List Number 4" w:uiPriority="13"/>
    <w:lsdException w:name="Title" w:uiPriority="10"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Table numbers + курсив"/>
    <w:qFormat/>
    <w:rsid w:val="00F9400F"/>
    <w:rPr>
      <w:rFonts w:ascii="Arial" w:hAnsi="Arial"/>
      <w:sz w:val="18"/>
      <w:lang w:val="en-GB"/>
    </w:rPr>
  </w:style>
  <w:style w:type="paragraph" w:styleId="1">
    <w:name w:val="heading 1"/>
    <w:basedOn w:val="a0"/>
    <w:next w:val="a0"/>
    <w:link w:val="10"/>
    <w:uiPriority w:val="9"/>
    <w:qFormat/>
    <w:rsid w:val="00166F1A"/>
    <w:pPr>
      <w:keepNext/>
      <w:numPr>
        <w:numId w:val="9"/>
      </w:numPr>
      <w:tabs>
        <w:tab w:val="clear" w:pos="567"/>
        <w:tab w:val="num" w:pos="709"/>
      </w:tabs>
      <w:spacing w:before="240" w:after="240"/>
      <w:ind w:left="709"/>
      <w:outlineLvl w:val="0"/>
    </w:pPr>
    <w:rPr>
      <w:b/>
      <w:kern w:val="28"/>
      <w:sz w:val="20"/>
    </w:rPr>
  </w:style>
  <w:style w:type="paragraph" w:styleId="20">
    <w:name w:val="heading 2"/>
    <w:basedOn w:val="a0"/>
    <w:next w:val="a0"/>
    <w:qFormat/>
    <w:rsid w:val="00166F1A"/>
    <w:pPr>
      <w:keepNext/>
      <w:spacing w:before="240" w:after="60"/>
      <w:outlineLvl w:val="1"/>
    </w:pPr>
    <w:rPr>
      <w:b/>
      <w:i/>
      <w:sz w:val="24"/>
    </w:rPr>
  </w:style>
  <w:style w:type="paragraph" w:styleId="30">
    <w:name w:val="heading 3"/>
    <w:basedOn w:val="a0"/>
    <w:next w:val="a0"/>
    <w:link w:val="31"/>
    <w:qFormat/>
    <w:rsid w:val="00166F1A"/>
    <w:pPr>
      <w:keepNext/>
      <w:keepLines/>
      <w:tabs>
        <w:tab w:val="left" w:pos="2483"/>
        <w:tab w:val="left" w:pos="4154"/>
        <w:tab w:val="left" w:pos="5963"/>
        <w:tab w:val="left" w:pos="7495"/>
        <w:tab w:val="left" w:pos="9192"/>
      </w:tabs>
      <w:outlineLvl w:val="2"/>
    </w:pPr>
    <w:rPr>
      <w:b/>
    </w:rPr>
  </w:style>
  <w:style w:type="paragraph" w:styleId="40">
    <w:name w:val="heading 4"/>
    <w:basedOn w:val="a0"/>
    <w:next w:val="a0"/>
    <w:qFormat/>
    <w:rsid w:val="00166F1A"/>
    <w:pPr>
      <w:keepNext/>
      <w:outlineLvl w:val="3"/>
    </w:pPr>
    <w:rPr>
      <w:u w:val="single"/>
    </w:rPr>
  </w:style>
  <w:style w:type="paragraph" w:styleId="50">
    <w:name w:val="heading 5"/>
    <w:basedOn w:val="a0"/>
    <w:next w:val="a0"/>
    <w:qFormat/>
    <w:rsid w:val="00166F1A"/>
    <w:pPr>
      <w:keepNext/>
      <w:spacing w:after="240"/>
      <w:ind w:left="709"/>
      <w:jc w:val="both"/>
      <w:outlineLvl w:val="4"/>
    </w:pPr>
    <w:rPr>
      <w:sz w:val="24"/>
    </w:rPr>
  </w:style>
  <w:style w:type="paragraph" w:styleId="6">
    <w:name w:val="heading 6"/>
    <w:basedOn w:val="a0"/>
    <w:next w:val="a0"/>
    <w:qFormat/>
    <w:rsid w:val="00166F1A"/>
    <w:pPr>
      <w:keepNext/>
      <w:keepLines/>
      <w:ind w:left="228" w:hanging="228"/>
      <w:outlineLvl w:val="5"/>
    </w:pPr>
    <w:rPr>
      <w:b/>
    </w:rPr>
  </w:style>
  <w:style w:type="paragraph" w:styleId="7">
    <w:name w:val="heading 7"/>
    <w:basedOn w:val="a0"/>
    <w:next w:val="a0"/>
    <w:qFormat/>
    <w:rsid w:val="00166F1A"/>
    <w:pPr>
      <w:keepNext/>
      <w:ind w:left="228" w:hanging="228"/>
      <w:outlineLvl w:val="6"/>
    </w:pPr>
    <w:rPr>
      <w:b/>
      <w:sz w:val="24"/>
    </w:rPr>
  </w:style>
  <w:style w:type="paragraph" w:styleId="8">
    <w:name w:val="heading 8"/>
    <w:basedOn w:val="a0"/>
    <w:next w:val="a0"/>
    <w:qFormat/>
    <w:rsid w:val="00166F1A"/>
    <w:pPr>
      <w:keepNext/>
      <w:keepLines/>
      <w:ind w:left="228" w:hanging="228"/>
      <w:outlineLvl w:val="7"/>
    </w:pPr>
    <w:rPr>
      <w:b/>
    </w:rPr>
  </w:style>
  <w:style w:type="paragraph" w:styleId="9">
    <w:name w:val="heading 9"/>
    <w:basedOn w:val="a0"/>
    <w:next w:val="a0"/>
    <w:qFormat/>
    <w:rsid w:val="00166F1A"/>
    <w:pPr>
      <w:keepNext/>
      <w:keepLines/>
      <w:ind w:right="74"/>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itreABC2">
    <w:name w:val="Titre ABC2"/>
    <w:basedOn w:val="21"/>
    <w:rsid w:val="00166F1A"/>
    <w:pPr>
      <w:ind w:left="198" w:hanging="198"/>
    </w:pPr>
    <w:rPr>
      <w:b/>
      <w:lang w:val="en-US"/>
    </w:rPr>
  </w:style>
  <w:style w:type="paragraph" w:styleId="21">
    <w:name w:val="index 2"/>
    <w:basedOn w:val="a0"/>
    <w:next w:val="a0"/>
    <w:uiPriority w:val="99"/>
    <w:semiHidden/>
    <w:rsid w:val="00166F1A"/>
    <w:pPr>
      <w:tabs>
        <w:tab w:val="right" w:leader="dot" w:pos="8782"/>
      </w:tabs>
      <w:ind w:left="400" w:hanging="200"/>
    </w:pPr>
  </w:style>
  <w:style w:type="paragraph" w:customStyle="1" w:styleId="ABCTitle">
    <w:name w:val="ABC Title"/>
    <w:basedOn w:val="20"/>
    <w:rsid w:val="00166F1A"/>
    <w:pPr>
      <w:tabs>
        <w:tab w:val="left" w:pos="2268"/>
      </w:tabs>
      <w:spacing w:before="60" w:after="0"/>
      <w:outlineLvl w:val="9"/>
    </w:pPr>
    <w:rPr>
      <w:i w:val="0"/>
      <w:smallCaps/>
      <w:sz w:val="20"/>
      <w:lang w:val="en-US"/>
    </w:rPr>
  </w:style>
  <w:style w:type="paragraph" w:customStyle="1" w:styleId="Name">
    <w:name w:val="Name"/>
    <w:rsid w:val="00166F1A"/>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rFonts w:ascii="Arial" w:hAnsi="Arial"/>
      <w:b/>
      <w:smallCaps/>
      <w:spacing w:val="-2"/>
      <w:sz w:val="22"/>
      <w:lang w:val="en-GB"/>
    </w:rPr>
  </w:style>
  <w:style w:type="paragraph" w:styleId="11">
    <w:name w:val="index 1"/>
    <w:basedOn w:val="a0"/>
    <w:next w:val="a0"/>
    <w:autoRedefine/>
    <w:semiHidden/>
    <w:rsid w:val="00EB2190"/>
    <w:pPr>
      <w:ind w:left="85" w:hanging="85"/>
    </w:pPr>
    <w:rPr>
      <w:rFonts w:cs="Arial"/>
      <w:i/>
      <w:iCs/>
      <w:color w:val="000000"/>
      <w:szCs w:val="18"/>
      <w:lang w:val="ru-RU"/>
    </w:rPr>
  </w:style>
  <w:style w:type="paragraph" w:styleId="12">
    <w:name w:val="toc 1"/>
    <w:basedOn w:val="a0"/>
    <w:next w:val="a0"/>
    <w:autoRedefine/>
    <w:uiPriority w:val="39"/>
    <w:rsid w:val="00166F1A"/>
    <w:pPr>
      <w:tabs>
        <w:tab w:val="left" w:pos="567"/>
        <w:tab w:val="right" w:leader="dot" w:pos="9356"/>
      </w:tabs>
      <w:ind w:left="567" w:right="850" w:hanging="567"/>
    </w:pPr>
  </w:style>
  <w:style w:type="paragraph" w:styleId="22">
    <w:name w:val="toc 2"/>
    <w:basedOn w:val="a0"/>
    <w:next w:val="a0"/>
    <w:link w:val="23"/>
    <w:autoRedefine/>
    <w:uiPriority w:val="39"/>
    <w:rsid w:val="00166F1A"/>
    <w:pPr>
      <w:ind w:left="200"/>
    </w:pPr>
    <w:rPr>
      <w:smallCaps/>
    </w:rPr>
  </w:style>
  <w:style w:type="paragraph" w:styleId="a4">
    <w:name w:val="header"/>
    <w:basedOn w:val="a0"/>
    <w:link w:val="a5"/>
    <w:uiPriority w:val="99"/>
    <w:rsid w:val="00166F1A"/>
    <w:pPr>
      <w:pBdr>
        <w:bottom w:val="single" w:sz="6" w:space="1" w:color="auto"/>
      </w:pBdr>
      <w:tabs>
        <w:tab w:val="center" w:pos="4153"/>
        <w:tab w:val="right" w:pos="8306"/>
      </w:tabs>
      <w:jc w:val="both"/>
    </w:pPr>
    <w:rPr>
      <w:sz w:val="16"/>
    </w:rPr>
  </w:style>
  <w:style w:type="character" w:styleId="a6">
    <w:name w:val="page number"/>
    <w:basedOn w:val="a1"/>
    <w:rsid w:val="00166F1A"/>
    <w:rPr>
      <w:rFonts w:ascii="Arial" w:hAnsi="Arial" w:cs="Times New Roman"/>
    </w:rPr>
  </w:style>
  <w:style w:type="paragraph" w:styleId="a7">
    <w:name w:val="footer"/>
    <w:basedOn w:val="a0"/>
    <w:link w:val="a8"/>
    <w:uiPriority w:val="99"/>
    <w:rsid w:val="00166F1A"/>
    <w:pPr>
      <w:tabs>
        <w:tab w:val="center" w:pos="4153"/>
        <w:tab w:val="right" w:pos="8306"/>
      </w:tabs>
      <w:jc w:val="both"/>
    </w:pPr>
  </w:style>
  <w:style w:type="paragraph" w:styleId="a9">
    <w:name w:val="footnote text"/>
    <w:basedOn w:val="a0"/>
    <w:link w:val="aa"/>
    <w:uiPriority w:val="99"/>
    <w:semiHidden/>
    <w:rsid w:val="00166F1A"/>
  </w:style>
  <w:style w:type="character" w:styleId="ab">
    <w:name w:val="footnote reference"/>
    <w:basedOn w:val="a1"/>
    <w:semiHidden/>
    <w:rsid w:val="00166F1A"/>
    <w:rPr>
      <w:rFonts w:cs="Times New Roman"/>
      <w:vertAlign w:val="superscript"/>
    </w:rPr>
  </w:style>
  <w:style w:type="paragraph" w:styleId="32">
    <w:name w:val="toc 3"/>
    <w:basedOn w:val="a0"/>
    <w:next w:val="a0"/>
    <w:autoRedefine/>
    <w:semiHidden/>
    <w:rsid w:val="00166F1A"/>
    <w:pPr>
      <w:ind w:left="400"/>
    </w:pPr>
    <w:rPr>
      <w:i/>
    </w:rPr>
  </w:style>
  <w:style w:type="paragraph" w:customStyle="1" w:styleId="ABC-paragrahinNotes">
    <w:name w:val="ABC - paragrah in Notes"/>
    <w:qFormat/>
    <w:rsid w:val="00166F1A"/>
    <w:pPr>
      <w:spacing w:after="240"/>
      <w:jc w:val="both"/>
    </w:pPr>
    <w:rPr>
      <w:rFonts w:ascii="Arial" w:hAnsi="Arial"/>
      <w:lang w:val="en-GB"/>
    </w:rPr>
  </w:style>
  <w:style w:type="paragraph" w:customStyle="1" w:styleId="ABC-BulletsinNotes">
    <w:name w:val="ABC - Bullets in Notes"/>
    <w:rsid w:val="00166F1A"/>
    <w:pPr>
      <w:numPr>
        <w:numId w:val="8"/>
      </w:numPr>
      <w:tabs>
        <w:tab w:val="left" w:pos="851"/>
      </w:tabs>
      <w:spacing w:after="240"/>
      <w:jc w:val="both"/>
    </w:pPr>
    <w:rPr>
      <w:rFonts w:ascii="Arial" w:hAnsi="Arial"/>
      <w:sz w:val="18"/>
      <w:lang w:val="en-GB"/>
    </w:rPr>
  </w:style>
  <w:style w:type="paragraph" w:styleId="41">
    <w:name w:val="toc 4"/>
    <w:basedOn w:val="a0"/>
    <w:next w:val="a0"/>
    <w:autoRedefine/>
    <w:semiHidden/>
    <w:rsid w:val="00166F1A"/>
    <w:pPr>
      <w:ind w:left="600"/>
    </w:pPr>
  </w:style>
  <w:style w:type="paragraph" w:styleId="51">
    <w:name w:val="toc 5"/>
    <w:basedOn w:val="a0"/>
    <w:next w:val="a0"/>
    <w:autoRedefine/>
    <w:semiHidden/>
    <w:rsid w:val="00166F1A"/>
    <w:pPr>
      <w:ind w:left="800"/>
    </w:pPr>
  </w:style>
  <w:style w:type="paragraph" w:styleId="60">
    <w:name w:val="toc 6"/>
    <w:basedOn w:val="a0"/>
    <w:next w:val="a0"/>
    <w:autoRedefine/>
    <w:semiHidden/>
    <w:rsid w:val="00166F1A"/>
    <w:pPr>
      <w:ind w:left="1000"/>
    </w:pPr>
  </w:style>
  <w:style w:type="paragraph" w:styleId="70">
    <w:name w:val="toc 7"/>
    <w:basedOn w:val="a0"/>
    <w:next w:val="a0"/>
    <w:autoRedefine/>
    <w:semiHidden/>
    <w:rsid w:val="00166F1A"/>
    <w:pPr>
      <w:ind w:left="1200"/>
    </w:pPr>
  </w:style>
  <w:style w:type="paragraph" w:styleId="80">
    <w:name w:val="toc 8"/>
    <w:basedOn w:val="a0"/>
    <w:next w:val="a0"/>
    <w:autoRedefine/>
    <w:semiHidden/>
    <w:rsid w:val="00166F1A"/>
    <w:pPr>
      <w:ind w:left="1400"/>
    </w:pPr>
  </w:style>
  <w:style w:type="paragraph" w:styleId="90">
    <w:name w:val="toc 9"/>
    <w:basedOn w:val="a0"/>
    <w:next w:val="a0"/>
    <w:autoRedefine/>
    <w:semiHidden/>
    <w:rsid w:val="00166F1A"/>
    <w:pPr>
      <w:ind w:left="1600"/>
    </w:pPr>
  </w:style>
  <w:style w:type="paragraph" w:customStyle="1" w:styleId="Address">
    <w:name w:val="Address"/>
    <w:basedOn w:val="a0"/>
    <w:rsid w:val="00166F1A"/>
    <w:pPr>
      <w:framePr w:w="3005" w:hSpace="181" w:vSpace="181" w:wrap="around" w:hAnchor="page" w:xAlign="right" w:yAlign="top"/>
      <w:pBdr>
        <w:left w:val="single" w:sz="4" w:space="9" w:color="auto"/>
      </w:pBdr>
      <w:spacing w:line="200" w:lineRule="exact"/>
    </w:pPr>
    <w:rPr>
      <w:sz w:val="16"/>
    </w:rPr>
  </w:style>
  <w:style w:type="paragraph" w:customStyle="1" w:styleId="ABCFootnote">
    <w:name w:val="ABC Footnote"/>
    <w:basedOn w:val="a9"/>
    <w:rsid w:val="00166F1A"/>
  </w:style>
  <w:style w:type="paragraph" w:customStyle="1" w:styleId="ABCNotes">
    <w:name w:val="ABC Notes"/>
    <w:basedOn w:val="a0"/>
    <w:rsid w:val="00166F1A"/>
    <w:pPr>
      <w:keepNext/>
      <w:keepLines/>
      <w:numPr>
        <w:numId w:val="1"/>
      </w:numPr>
      <w:spacing w:before="240" w:after="240"/>
    </w:pPr>
    <w:rPr>
      <w:b/>
    </w:rPr>
  </w:style>
  <w:style w:type="paragraph" w:styleId="ac">
    <w:name w:val="Document Map"/>
    <w:basedOn w:val="a0"/>
    <w:semiHidden/>
    <w:rsid w:val="00166F1A"/>
    <w:pPr>
      <w:shd w:val="clear" w:color="auto" w:fill="000080"/>
    </w:pPr>
    <w:rPr>
      <w:rFonts w:ascii="Times New Roman" w:hAnsi="Times New Roman"/>
    </w:rPr>
  </w:style>
  <w:style w:type="paragraph" w:styleId="ad">
    <w:name w:val="Body Text"/>
    <w:basedOn w:val="a0"/>
    <w:link w:val="ae"/>
    <w:rsid w:val="00166F1A"/>
    <w:pPr>
      <w:widowControl w:val="0"/>
      <w:suppressLineNumbers/>
      <w:ind w:right="1"/>
      <w:jc w:val="both"/>
    </w:pPr>
  </w:style>
  <w:style w:type="paragraph" w:styleId="24">
    <w:name w:val="Body Text 2"/>
    <w:basedOn w:val="a0"/>
    <w:rsid w:val="00166F1A"/>
    <w:pPr>
      <w:tabs>
        <w:tab w:val="center" w:pos="2835"/>
        <w:tab w:val="right" w:pos="5529"/>
        <w:tab w:val="center" w:pos="5812"/>
        <w:tab w:val="right" w:pos="8788"/>
      </w:tabs>
    </w:pPr>
    <w:rPr>
      <w:i/>
    </w:rPr>
  </w:style>
  <w:style w:type="paragraph" w:styleId="33">
    <w:name w:val="Body Text 3"/>
    <w:basedOn w:val="a0"/>
    <w:rsid w:val="00166F1A"/>
    <w:pPr>
      <w:jc w:val="both"/>
    </w:pPr>
    <w:rPr>
      <w:i/>
    </w:rPr>
  </w:style>
  <w:style w:type="paragraph" w:customStyle="1" w:styleId="RICK1">
    <w:name w:val="RICK 1"/>
    <w:rsid w:val="00166F1A"/>
    <w:pPr>
      <w:tabs>
        <w:tab w:val="left" w:pos="-720"/>
      </w:tabs>
      <w:suppressAutoHyphens/>
    </w:pPr>
    <w:rPr>
      <w:rFonts w:ascii="Arial" w:hAnsi="Arial"/>
      <w:lang w:val="en-US"/>
    </w:rPr>
  </w:style>
  <w:style w:type="paragraph" w:customStyle="1" w:styleId="RightPar4">
    <w:name w:val="Right Par 4"/>
    <w:rsid w:val="00166F1A"/>
    <w:pPr>
      <w:tabs>
        <w:tab w:val="left" w:pos="-720"/>
        <w:tab w:val="left" w:pos="0"/>
        <w:tab w:val="left" w:pos="720"/>
        <w:tab w:val="left" w:pos="1440"/>
        <w:tab w:val="left" w:pos="2160"/>
        <w:tab w:val="decimal" w:pos="2880"/>
      </w:tabs>
      <w:suppressAutoHyphens/>
      <w:ind w:left="2880" w:hanging="432"/>
    </w:pPr>
    <w:rPr>
      <w:lang w:val="en-US"/>
    </w:rPr>
  </w:style>
  <w:style w:type="paragraph" w:customStyle="1" w:styleId="Bullet0">
    <w:name w:val="Bullet"/>
    <w:basedOn w:val="a0"/>
    <w:rsid w:val="00166F1A"/>
    <w:pPr>
      <w:numPr>
        <w:numId w:val="2"/>
      </w:numPr>
    </w:pPr>
  </w:style>
  <w:style w:type="paragraph" w:styleId="af">
    <w:name w:val="Body Text Indent"/>
    <w:basedOn w:val="a0"/>
    <w:rsid w:val="00166F1A"/>
    <w:pPr>
      <w:spacing w:after="240"/>
      <w:ind w:left="357"/>
      <w:jc w:val="both"/>
    </w:pPr>
  </w:style>
  <w:style w:type="paragraph" w:customStyle="1" w:styleId="Continued">
    <w:name w:val="Continued"/>
    <w:qFormat/>
    <w:rsid w:val="00166F1A"/>
    <w:pPr>
      <w:keepNext/>
      <w:keepLines/>
      <w:pageBreakBefore/>
      <w:tabs>
        <w:tab w:val="left" w:pos="567"/>
      </w:tabs>
      <w:spacing w:after="240"/>
      <w:ind w:left="567" w:hanging="567"/>
    </w:pPr>
    <w:rPr>
      <w:rFonts w:ascii="Arial" w:hAnsi="Arial"/>
      <w:b/>
      <w:lang w:val="en-US"/>
    </w:rPr>
  </w:style>
  <w:style w:type="paragraph" w:customStyle="1" w:styleId="Report">
    <w:name w:val="Report"/>
    <w:rsid w:val="00166F1A"/>
    <w:pPr>
      <w:numPr>
        <w:numId w:val="5"/>
      </w:numPr>
      <w:spacing w:after="240"/>
      <w:jc w:val="both"/>
    </w:pPr>
    <w:rPr>
      <w:rFonts w:ascii="Arial" w:hAnsi="Arial"/>
      <w:snapToGrid w:val="0"/>
      <w:lang w:val="en-GB"/>
    </w:rPr>
  </w:style>
  <w:style w:type="paragraph" w:customStyle="1" w:styleId="ABC-Aftertable">
    <w:name w:val="ABC - After table"/>
    <w:next w:val="ABC-paragrahinNotes"/>
    <w:rsid w:val="00166F1A"/>
    <w:pPr>
      <w:spacing w:before="240" w:after="240"/>
    </w:pPr>
    <w:rPr>
      <w:rFonts w:ascii="Arial" w:hAnsi="Arial"/>
      <w:noProof/>
      <w:sz w:val="18"/>
    </w:rPr>
  </w:style>
  <w:style w:type="paragraph" w:customStyle="1" w:styleId="ABC-rBullets">
    <w:name w:val="ABC -r Bullets"/>
    <w:basedOn w:val="ABC-BulletsinNotes"/>
    <w:rsid w:val="00166F1A"/>
    <w:pPr>
      <w:numPr>
        <w:numId w:val="0"/>
      </w:numPr>
      <w:tabs>
        <w:tab w:val="num" w:pos="360"/>
      </w:tabs>
      <w:ind w:left="360" w:hanging="360"/>
    </w:pPr>
    <w:rPr>
      <w:lang w:val="ru-RU"/>
    </w:rPr>
  </w:style>
  <w:style w:type="paragraph" w:customStyle="1" w:styleId="Reportbullets">
    <w:name w:val="Report bullets"/>
    <w:rsid w:val="00166F1A"/>
    <w:pPr>
      <w:numPr>
        <w:numId w:val="4"/>
      </w:numPr>
      <w:tabs>
        <w:tab w:val="clear" w:pos="360"/>
        <w:tab w:val="left" w:pos="567"/>
      </w:tabs>
      <w:spacing w:after="240"/>
      <w:ind w:left="567" w:hanging="567"/>
      <w:jc w:val="both"/>
    </w:pPr>
    <w:rPr>
      <w:rFonts w:ascii="Arial" w:hAnsi="Arial"/>
      <w:lang w:val="en-GB"/>
    </w:rPr>
  </w:style>
  <w:style w:type="paragraph" w:customStyle="1" w:styleId="Bullet1">
    <w:name w:val="Bullet1"/>
    <w:basedOn w:val="a0"/>
    <w:rsid w:val="00166F1A"/>
    <w:pPr>
      <w:numPr>
        <w:numId w:val="6"/>
      </w:numPr>
    </w:pPr>
  </w:style>
  <w:style w:type="paragraph" w:customStyle="1" w:styleId="Tabletext">
    <w:name w:val="Table text"/>
    <w:basedOn w:val="a0"/>
    <w:qFormat/>
    <w:rsid w:val="00166F1A"/>
    <w:pPr>
      <w:ind w:left="85" w:hanging="85"/>
    </w:pPr>
  </w:style>
  <w:style w:type="paragraph" w:customStyle="1" w:styleId="Rowheader">
    <w:name w:val="Row header"/>
    <w:basedOn w:val="a0"/>
    <w:rsid w:val="00166F1A"/>
    <w:pPr>
      <w:ind w:left="85" w:hanging="85"/>
    </w:pPr>
    <w:rPr>
      <w:b/>
    </w:rPr>
  </w:style>
  <w:style w:type="paragraph" w:customStyle="1" w:styleId="Columnheader">
    <w:name w:val="Column header"/>
    <w:basedOn w:val="a0"/>
    <w:rsid w:val="00166F1A"/>
    <w:pPr>
      <w:tabs>
        <w:tab w:val="decimal" w:pos="1503"/>
      </w:tabs>
      <w:spacing w:line="228" w:lineRule="auto"/>
      <w:ind w:right="-56"/>
    </w:pPr>
    <w:rPr>
      <w:b/>
    </w:rPr>
  </w:style>
  <w:style w:type="paragraph" w:customStyle="1" w:styleId="Tablenumbers1">
    <w:name w:val="Table numbers1"/>
    <w:rsid w:val="00166F1A"/>
    <w:pPr>
      <w:tabs>
        <w:tab w:val="decimal" w:pos="1503"/>
      </w:tabs>
      <w:ind w:right="-56"/>
    </w:pPr>
    <w:rPr>
      <w:rFonts w:ascii="Arial" w:hAnsi="Arial"/>
      <w:sz w:val="18"/>
      <w:lang w:val="en-GB"/>
    </w:rPr>
  </w:style>
  <w:style w:type="paragraph" w:customStyle="1" w:styleId="TitleABC">
    <w:name w:val="Title ABC"/>
    <w:basedOn w:val="ABC-paragrahinNotes"/>
    <w:rsid w:val="00166F1A"/>
    <w:pPr>
      <w:outlineLvl w:val="0"/>
    </w:pPr>
    <w:rPr>
      <w:b/>
      <w:sz w:val="32"/>
    </w:rPr>
  </w:style>
  <w:style w:type="paragraph" w:customStyle="1" w:styleId="Header1">
    <w:name w:val="Header1"/>
    <w:rsid w:val="00166F1A"/>
    <w:pPr>
      <w:tabs>
        <w:tab w:val="left" w:pos="-528"/>
      </w:tabs>
    </w:pPr>
    <w:rPr>
      <w:rFonts w:ascii="Arial" w:hAnsi="Arial"/>
      <w:b/>
      <w:bCs/>
      <w:i/>
      <w:lang w:val="en-GB"/>
    </w:rPr>
  </w:style>
  <w:style w:type="paragraph" w:customStyle="1" w:styleId="Header2">
    <w:name w:val="Header2"/>
    <w:rsid w:val="00166F1A"/>
    <w:pPr>
      <w:pBdr>
        <w:bottom w:val="single" w:sz="4" w:space="1" w:color="auto"/>
      </w:pBdr>
      <w:ind w:right="-57"/>
    </w:pPr>
    <w:rPr>
      <w:rFonts w:ascii="Arial" w:hAnsi="Arial"/>
      <w:i/>
      <w:spacing w:val="-4"/>
      <w:sz w:val="16"/>
      <w:lang w:val="en-GB"/>
    </w:rPr>
  </w:style>
  <w:style w:type="paragraph" w:customStyle="1" w:styleId="1stpage">
    <w:name w:val="1st page"/>
    <w:basedOn w:val="ABC-paragrahinNotes"/>
    <w:rsid w:val="00166F1A"/>
    <w:pPr>
      <w:spacing w:after="0"/>
    </w:pPr>
    <w:rPr>
      <w:b/>
      <w:bCs/>
      <w:sz w:val="32"/>
    </w:rPr>
  </w:style>
  <w:style w:type="paragraph" w:customStyle="1" w:styleId="StyleSymbolTimesNewRomanBold9ptBoldLeft0cmHangi7">
    <w:name w:val="Style (Symbol) Times New Roman Bold 9 pt Bold Left:  0 cm Hangi...7"/>
    <w:basedOn w:val="a0"/>
    <w:autoRedefine/>
    <w:rsid w:val="00166F1A"/>
    <w:pPr>
      <w:spacing w:line="228" w:lineRule="auto"/>
      <w:ind w:left="228" w:hanging="228"/>
    </w:pPr>
    <w:rPr>
      <w:b/>
      <w:bCs/>
      <w:spacing w:val="-6"/>
    </w:rPr>
  </w:style>
  <w:style w:type="paragraph" w:customStyle="1" w:styleId="Aftertable">
    <w:name w:val="After table"/>
    <w:next w:val="ABC-paragrahinNotes"/>
    <w:rsid w:val="00166F1A"/>
    <w:rPr>
      <w:rFonts w:ascii="Arial" w:hAnsi="Arial"/>
      <w:noProof/>
      <w:sz w:val="18"/>
    </w:rPr>
  </w:style>
  <w:style w:type="paragraph" w:customStyle="1" w:styleId="Disclaimer">
    <w:name w:val="Disclaimer"/>
    <w:rsid w:val="00166F1A"/>
    <w:pPr>
      <w:spacing w:after="60"/>
    </w:pPr>
    <w:rPr>
      <w:rFonts w:ascii="Arial" w:hAnsi="Arial"/>
      <w:noProof/>
      <w:sz w:val="12"/>
    </w:rPr>
  </w:style>
  <w:style w:type="paragraph" w:customStyle="1" w:styleId="ABC-r-paragraphinNotes">
    <w:name w:val="ABC-r - paragraph in Notes"/>
    <w:uiPriority w:val="99"/>
    <w:rsid w:val="00166F1A"/>
    <w:pPr>
      <w:spacing w:after="240"/>
      <w:jc w:val="both"/>
    </w:pPr>
    <w:rPr>
      <w:rFonts w:ascii="Arial" w:hAnsi="Arial"/>
      <w:sz w:val="18"/>
    </w:rPr>
  </w:style>
  <w:style w:type="paragraph" w:customStyle="1" w:styleId="bullet">
    <w:name w:val="bullet"/>
    <w:basedOn w:val="a0"/>
    <w:uiPriority w:val="99"/>
    <w:rsid w:val="00166F1A"/>
    <w:pPr>
      <w:numPr>
        <w:numId w:val="7"/>
      </w:numPr>
      <w:spacing w:before="40" w:line="200" w:lineRule="exact"/>
    </w:pPr>
    <w:rPr>
      <w:sz w:val="17"/>
    </w:rPr>
  </w:style>
  <w:style w:type="paragraph" w:customStyle="1" w:styleId="wfxRecipient">
    <w:name w:val="wfxRecipient"/>
    <w:basedOn w:val="a0"/>
    <w:rsid w:val="00166F1A"/>
    <w:pPr>
      <w:widowControl w:val="0"/>
    </w:pPr>
    <w:rPr>
      <w:lang w:val="en-US"/>
    </w:rPr>
  </w:style>
  <w:style w:type="paragraph" w:styleId="af0">
    <w:name w:val="Balloon Text"/>
    <w:basedOn w:val="a0"/>
    <w:semiHidden/>
    <w:rsid w:val="00166F1A"/>
    <w:rPr>
      <w:rFonts w:ascii="Times New Roman" w:hAnsi="Times New Roman"/>
      <w:sz w:val="16"/>
      <w:szCs w:val="16"/>
    </w:rPr>
  </w:style>
  <w:style w:type="paragraph" w:customStyle="1" w:styleId="StyleSymbolTimesNewRomanBold9ptBoldLeft0cmHangi">
    <w:name w:val="Style (Symbol) Times New Roman Bold 9 pt Bold Left:  0 cm Hangi..."/>
    <w:basedOn w:val="a0"/>
    <w:rsid w:val="00166F1A"/>
    <w:pPr>
      <w:spacing w:line="228" w:lineRule="auto"/>
      <w:ind w:left="228" w:hanging="228"/>
    </w:pPr>
    <w:rPr>
      <w:b/>
      <w:bCs/>
      <w:spacing w:val="-6"/>
    </w:rPr>
  </w:style>
  <w:style w:type="paragraph" w:customStyle="1" w:styleId="StyleSymbolTimesNewRomanBold9ptBoldLeft0cmHangi1">
    <w:name w:val="Style (Symbol) Times New Roman Bold 9 pt Bold Left:  0 cm Hangi...1"/>
    <w:basedOn w:val="a0"/>
    <w:rsid w:val="00166F1A"/>
    <w:pPr>
      <w:spacing w:line="228" w:lineRule="auto"/>
      <w:ind w:left="228" w:hanging="228"/>
    </w:pPr>
    <w:rPr>
      <w:b/>
      <w:bCs/>
      <w:spacing w:val="-6"/>
    </w:rPr>
  </w:style>
  <w:style w:type="paragraph" w:customStyle="1" w:styleId="StyleSymbolTimesNewRomanBold9ptBoldLeft0cmHangi2">
    <w:name w:val="Style (Symbol) Times New Roman Bold 9 pt Bold Left:  0 cm Hangi...2"/>
    <w:basedOn w:val="a0"/>
    <w:rsid w:val="00166F1A"/>
    <w:pPr>
      <w:spacing w:line="228" w:lineRule="auto"/>
      <w:ind w:left="228" w:hanging="228"/>
    </w:pPr>
    <w:rPr>
      <w:b/>
      <w:bCs/>
      <w:spacing w:val="-6"/>
    </w:rPr>
  </w:style>
  <w:style w:type="paragraph" w:customStyle="1" w:styleId="StyleSymbolTimesNewRomanBold9ptBoldLeft0cmHangi3">
    <w:name w:val="Style (Symbol) Times New Roman Bold 9 pt Bold Left:  0 cm Hangi...3"/>
    <w:basedOn w:val="a0"/>
    <w:rsid w:val="00166F1A"/>
    <w:pPr>
      <w:spacing w:line="228" w:lineRule="auto"/>
      <w:ind w:left="228" w:hanging="228"/>
    </w:pPr>
    <w:rPr>
      <w:b/>
      <w:bCs/>
      <w:spacing w:val="-6"/>
    </w:rPr>
  </w:style>
  <w:style w:type="character" w:customStyle="1" w:styleId="Style9pt">
    <w:name w:val="Style 9 pt"/>
    <w:basedOn w:val="a1"/>
    <w:rsid w:val="00166F1A"/>
    <w:rPr>
      <w:rFonts w:ascii="Arial" w:hAnsi="Arial" w:cs="Times New Roman"/>
      <w:sz w:val="18"/>
    </w:rPr>
  </w:style>
  <w:style w:type="paragraph" w:customStyle="1" w:styleId="Style9ptBoldCentered">
    <w:name w:val="Style 9 pt Bold Centered"/>
    <w:basedOn w:val="a0"/>
    <w:rsid w:val="00166F1A"/>
    <w:pPr>
      <w:jc w:val="center"/>
    </w:pPr>
    <w:rPr>
      <w:b/>
      <w:bCs/>
    </w:rPr>
  </w:style>
  <w:style w:type="paragraph" w:customStyle="1" w:styleId="StyleSymbolTimesNewRomanBold9ptBoldLeft0cmHangi4">
    <w:name w:val="Style (Symbol) Times New Roman Bold 9 pt Bold Left:  0 cm Hangi...4"/>
    <w:basedOn w:val="a0"/>
    <w:rsid w:val="00166F1A"/>
    <w:pPr>
      <w:spacing w:line="228" w:lineRule="auto"/>
      <w:ind w:left="228" w:hanging="228"/>
    </w:pPr>
    <w:rPr>
      <w:b/>
      <w:bCs/>
      <w:spacing w:val="-6"/>
    </w:rPr>
  </w:style>
  <w:style w:type="character" w:customStyle="1" w:styleId="Style14ptItalicBlueSmallcaps">
    <w:name w:val="Style 14 pt Italic Blue Small caps"/>
    <w:basedOn w:val="a1"/>
    <w:rsid w:val="00166F1A"/>
    <w:rPr>
      <w:rFonts w:ascii="Arial" w:hAnsi="Arial" w:cs="Times New Roman"/>
      <w:i/>
      <w:iCs/>
      <w:smallCaps/>
      <w:color w:val="0000FF"/>
      <w:sz w:val="28"/>
    </w:rPr>
  </w:style>
  <w:style w:type="paragraph" w:customStyle="1" w:styleId="StyleSymbolTimesNewRomanBold9ptBoldLeft0cmHangi5">
    <w:name w:val="Style (Symbol) Times New Roman Bold 9 pt Bold Left:  0 cm Hangi...5"/>
    <w:basedOn w:val="a0"/>
    <w:rsid w:val="00166F1A"/>
    <w:pPr>
      <w:spacing w:line="228" w:lineRule="auto"/>
      <w:ind w:left="228" w:hanging="228"/>
    </w:pPr>
    <w:rPr>
      <w:b/>
      <w:bCs/>
      <w:spacing w:val="-6"/>
    </w:rPr>
  </w:style>
  <w:style w:type="character" w:customStyle="1" w:styleId="Style14ptItalicRedSmallcaps">
    <w:name w:val="Style 14 pt Italic Red Small caps"/>
    <w:basedOn w:val="a1"/>
    <w:rsid w:val="00166F1A"/>
    <w:rPr>
      <w:rFonts w:ascii="Arial" w:hAnsi="Arial" w:cs="Times New Roman"/>
      <w:i/>
      <w:iCs/>
      <w:smallCaps/>
      <w:color w:val="FF0000"/>
      <w:sz w:val="28"/>
    </w:rPr>
  </w:style>
  <w:style w:type="paragraph" w:customStyle="1" w:styleId="StyleTablenumbers1BoldAllcapsCentered">
    <w:name w:val="Style Table numbers1 + Bold All caps Centered"/>
    <w:basedOn w:val="Tablenumbers1"/>
    <w:rsid w:val="00166F1A"/>
    <w:pPr>
      <w:jc w:val="center"/>
    </w:pPr>
    <w:rPr>
      <w:b/>
      <w:bCs/>
      <w:caps/>
    </w:rPr>
  </w:style>
  <w:style w:type="paragraph" w:customStyle="1" w:styleId="StyleSymbolTimesNewRomanBold9ptBoldLeft0cmHangi6">
    <w:name w:val="Style (Symbol) Times New Roman Bold 9 pt Bold Left:  0 cm Hangi...6"/>
    <w:basedOn w:val="a0"/>
    <w:rsid w:val="00166F1A"/>
    <w:pPr>
      <w:spacing w:line="228" w:lineRule="auto"/>
      <w:ind w:left="228" w:hanging="228"/>
    </w:pPr>
    <w:rPr>
      <w:b/>
      <w:bCs/>
      <w:spacing w:val="-6"/>
    </w:rPr>
  </w:style>
  <w:style w:type="paragraph" w:customStyle="1" w:styleId="Style9ptBoldCentered1">
    <w:name w:val="Style 9 pt Bold Centered1"/>
    <w:basedOn w:val="a0"/>
    <w:rsid w:val="00166F1A"/>
    <w:pPr>
      <w:jc w:val="center"/>
    </w:pPr>
    <w:rPr>
      <w:b/>
      <w:bCs/>
    </w:rPr>
  </w:style>
  <w:style w:type="paragraph" w:customStyle="1" w:styleId="Style9ptBoldCentered2">
    <w:name w:val="Style 9 pt Bold Centered2"/>
    <w:basedOn w:val="a0"/>
    <w:rsid w:val="00166F1A"/>
    <w:pPr>
      <w:jc w:val="center"/>
    </w:pPr>
    <w:rPr>
      <w:b/>
      <w:bCs/>
      <w:spacing w:val="-2"/>
    </w:rPr>
  </w:style>
  <w:style w:type="paragraph" w:customStyle="1" w:styleId="xl50">
    <w:name w:val="xl50"/>
    <w:basedOn w:val="a0"/>
    <w:rsid w:val="00166F1A"/>
    <w:pPr>
      <w:spacing w:before="100" w:beforeAutospacing="1" w:after="100" w:afterAutospacing="1"/>
    </w:pPr>
    <w:rPr>
      <w:rFonts w:ascii="Times New Roman" w:hAnsi="Times New Roman"/>
      <w:b/>
      <w:bCs/>
      <w:szCs w:val="18"/>
    </w:rPr>
  </w:style>
  <w:style w:type="paragraph" w:customStyle="1" w:styleId="StyleABC-paragrahinNotesBold">
    <w:name w:val="Style ABC - paragrah in Notes + Bold"/>
    <w:basedOn w:val="a0"/>
    <w:rsid w:val="00166F1A"/>
    <w:pPr>
      <w:spacing w:after="240"/>
      <w:jc w:val="both"/>
    </w:pPr>
    <w:rPr>
      <w:b/>
      <w:bCs/>
      <w:sz w:val="20"/>
    </w:rPr>
  </w:style>
  <w:style w:type="character" w:customStyle="1" w:styleId="StyleABC-paragrahinNotesBoldChar">
    <w:name w:val="Style ABC - paragrah in Notes + Bold Char"/>
    <w:basedOn w:val="a1"/>
    <w:locked/>
    <w:rsid w:val="00166F1A"/>
    <w:rPr>
      <w:rFonts w:ascii="Arial" w:hAnsi="Arial" w:cs="Times New Roman"/>
      <w:b/>
      <w:bCs/>
      <w:lang w:val="en-GB" w:bidi="ar-SA"/>
    </w:rPr>
  </w:style>
  <w:style w:type="paragraph" w:styleId="af1">
    <w:name w:val="Block Text"/>
    <w:basedOn w:val="a0"/>
    <w:rsid w:val="00166F1A"/>
    <w:pPr>
      <w:spacing w:after="120"/>
      <w:ind w:left="1440" w:right="1440"/>
    </w:pPr>
  </w:style>
  <w:style w:type="paragraph" w:styleId="af2">
    <w:name w:val="Body Text First Indent"/>
    <w:basedOn w:val="ad"/>
    <w:rsid w:val="00166F1A"/>
    <w:pPr>
      <w:widowControl/>
      <w:suppressLineNumbers w:val="0"/>
      <w:spacing w:after="120"/>
      <w:ind w:right="0" w:firstLine="210"/>
      <w:jc w:val="left"/>
    </w:pPr>
  </w:style>
  <w:style w:type="paragraph" w:customStyle="1" w:styleId="ABC-Comments">
    <w:name w:val="ABC - Comments"/>
    <w:basedOn w:val="ABC-paragrahinNotes"/>
    <w:rsid w:val="00166F1A"/>
    <w:rPr>
      <w:i/>
      <w:color w:val="FF0000"/>
    </w:rPr>
  </w:style>
  <w:style w:type="character" w:customStyle="1" w:styleId="ABC-paragrahinNotesChar">
    <w:name w:val="ABC - paragrah in Notes Char"/>
    <w:basedOn w:val="a1"/>
    <w:rsid w:val="00166F1A"/>
    <w:rPr>
      <w:rFonts w:ascii="Arial" w:hAnsi="Arial" w:cs="Times New Roman"/>
      <w:lang w:val="en-GB" w:bidi="ar-SA"/>
    </w:rPr>
  </w:style>
  <w:style w:type="character" w:customStyle="1" w:styleId="ABC-CommentsChar">
    <w:name w:val="ABC - Comments Char"/>
    <w:basedOn w:val="ABC-paragrahinNotesChar"/>
    <w:rsid w:val="00166F1A"/>
    <w:rPr>
      <w:rFonts w:ascii="Arial" w:hAnsi="Arial" w:cs="Times New Roman"/>
      <w:i/>
      <w:color w:val="FF0000"/>
      <w:lang w:val="en-GB" w:bidi="ar-SA"/>
    </w:rPr>
  </w:style>
  <w:style w:type="paragraph" w:customStyle="1" w:styleId="RowHeader0">
    <w:name w:val="Row Header +"/>
    <w:basedOn w:val="Rowheader"/>
    <w:rsid w:val="00166F1A"/>
    <w:pPr>
      <w:spacing w:before="60" w:after="60"/>
    </w:pPr>
    <w:rPr>
      <w:rFonts w:cs="Arial"/>
    </w:rPr>
  </w:style>
  <w:style w:type="paragraph" w:customStyle="1" w:styleId="RRthousands">
    <w:name w:val="RR thousands"/>
    <w:basedOn w:val="a0"/>
    <w:link w:val="RRthousandsChar1"/>
    <w:rsid w:val="00166F1A"/>
    <w:pPr>
      <w:ind w:left="86" w:hanging="86"/>
    </w:pPr>
    <w:rPr>
      <w:rFonts w:cs="Arial"/>
      <w:i/>
      <w:sz w:val="16"/>
    </w:rPr>
  </w:style>
  <w:style w:type="paragraph" w:customStyle="1" w:styleId="StyleRowheaderLinespacingMultiple095li">
    <w:name w:val="Style Row header + Line spacing:  Multiple 0.95 li"/>
    <w:basedOn w:val="Rowheader"/>
    <w:rsid w:val="00166F1A"/>
    <w:pPr>
      <w:spacing w:before="20" w:line="228" w:lineRule="auto"/>
    </w:pPr>
    <w:rPr>
      <w:bCs/>
    </w:rPr>
  </w:style>
  <w:style w:type="paragraph" w:customStyle="1" w:styleId="StyleTabletextLinespacingMultiple095li">
    <w:name w:val="Style Table text + Line spacing:  Multiple 0.95 li"/>
    <w:basedOn w:val="Tabletext"/>
    <w:rsid w:val="00166F1A"/>
    <w:pPr>
      <w:spacing w:before="20" w:line="228" w:lineRule="auto"/>
    </w:pPr>
  </w:style>
  <w:style w:type="paragraph" w:customStyle="1" w:styleId="text">
    <w:name w:val="text"/>
    <w:basedOn w:val="a0"/>
    <w:rsid w:val="00166F1A"/>
    <w:pPr>
      <w:spacing w:after="100" w:line="300" w:lineRule="atLeast"/>
      <w:jc w:val="both"/>
    </w:pPr>
    <w:rPr>
      <w:rFonts w:ascii="Times New Roman" w:hAnsi="Times New Roman"/>
      <w:sz w:val="22"/>
      <w:lang w:val="en-US"/>
    </w:rPr>
  </w:style>
  <w:style w:type="paragraph" w:customStyle="1" w:styleId="StyleABC-paragrahinNotesAfter10pt">
    <w:name w:val="Style ABC - paragrah in Notes + After:  10 pt"/>
    <w:basedOn w:val="ABC-paragrahinNotes"/>
    <w:rsid w:val="00166F1A"/>
    <w:pPr>
      <w:spacing w:after="200"/>
    </w:pPr>
    <w:rPr>
      <w:sz w:val="18"/>
    </w:rPr>
  </w:style>
  <w:style w:type="paragraph" w:customStyle="1" w:styleId="StyleABC-paragrahinNotesAfter0pt">
    <w:name w:val="Style ABC - paragrah in Notes + After:  0 pt"/>
    <w:basedOn w:val="ABC-paragrahinNotes"/>
    <w:rsid w:val="00166F1A"/>
    <w:pPr>
      <w:spacing w:after="0"/>
    </w:pPr>
    <w:rPr>
      <w:sz w:val="18"/>
    </w:rPr>
  </w:style>
  <w:style w:type="character" w:styleId="af3">
    <w:name w:val="annotation reference"/>
    <w:basedOn w:val="a1"/>
    <w:uiPriority w:val="99"/>
    <w:semiHidden/>
    <w:rsid w:val="00166F1A"/>
    <w:rPr>
      <w:rFonts w:cs="Times New Roman"/>
      <w:sz w:val="16"/>
      <w:szCs w:val="16"/>
    </w:rPr>
  </w:style>
  <w:style w:type="paragraph" w:styleId="af4">
    <w:name w:val="annotation text"/>
    <w:basedOn w:val="a0"/>
    <w:link w:val="af5"/>
    <w:uiPriority w:val="99"/>
    <w:semiHidden/>
    <w:rsid w:val="00166F1A"/>
  </w:style>
  <w:style w:type="paragraph" w:styleId="af6">
    <w:name w:val="annotation subject"/>
    <w:basedOn w:val="af4"/>
    <w:next w:val="af4"/>
    <w:semiHidden/>
    <w:rsid w:val="00166F1A"/>
    <w:rPr>
      <w:b/>
      <w:bCs/>
    </w:rPr>
  </w:style>
  <w:style w:type="paragraph" w:customStyle="1" w:styleId="Iauiue">
    <w:name w:val="Iau?iue"/>
    <w:rsid w:val="00166F1A"/>
  </w:style>
  <w:style w:type="paragraph" w:customStyle="1" w:styleId="StyleContinued9pt">
    <w:name w:val="Style Continued + 9 pt"/>
    <w:basedOn w:val="Continued"/>
    <w:rsid w:val="00166F1A"/>
    <w:rPr>
      <w:bCs/>
    </w:rPr>
  </w:style>
  <w:style w:type="character" w:customStyle="1" w:styleId="ContinuedChar">
    <w:name w:val="Continued Char"/>
    <w:basedOn w:val="a1"/>
    <w:rsid w:val="00166F1A"/>
    <w:rPr>
      <w:rFonts w:ascii="Arial" w:hAnsi="Arial" w:cs="Times New Roman"/>
      <w:b/>
      <w:lang w:val="en-US" w:bidi="ar-SA"/>
    </w:rPr>
  </w:style>
  <w:style w:type="character" w:customStyle="1" w:styleId="StyleContinued9ptChar">
    <w:name w:val="Style Continued + 9 pt Char"/>
    <w:basedOn w:val="ContinuedChar"/>
    <w:rsid w:val="00166F1A"/>
    <w:rPr>
      <w:rFonts w:ascii="Arial" w:hAnsi="Arial" w:cs="Times New Roman"/>
      <w:b/>
      <w:bCs/>
      <w:lang w:val="en-US" w:bidi="ar-SA"/>
    </w:rPr>
  </w:style>
  <w:style w:type="character" w:customStyle="1" w:styleId="ABC-r-paragraphinNotesChar">
    <w:name w:val="ABC-r - paragraph in Notes Char"/>
    <w:basedOn w:val="a1"/>
    <w:rsid w:val="00166F1A"/>
    <w:rPr>
      <w:rFonts w:ascii="Arial" w:hAnsi="Arial" w:cs="Times New Roman"/>
      <w:sz w:val="18"/>
      <w:lang w:val="ru-RU" w:bidi="ar-SA"/>
    </w:rPr>
  </w:style>
  <w:style w:type="character" w:customStyle="1" w:styleId="Heading1Char">
    <w:name w:val="Heading 1 Char"/>
    <w:basedOn w:val="a1"/>
    <w:rsid w:val="00166F1A"/>
    <w:rPr>
      <w:rFonts w:ascii="Arial" w:hAnsi="Arial" w:cs="Times New Roman"/>
      <w:b/>
      <w:kern w:val="28"/>
      <w:lang w:val="en-GB" w:bidi="ar-SA"/>
    </w:rPr>
  </w:style>
  <w:style w:type="paragraph" w:customStyle="1" w:styleId="ABCLatinnumbering">
    <w:name w:val="ABC Latin numbering"/>
    <w:basedOn w:val="ABC-paragrahinNotes"/>
    <w:rsid w:val="00166F1A"/>
    <w:rPr>
      <w:rFonts w:cs="Arial"/>
      <w:snapToGrid w:val="0"/>
      <w:spacing w:val="-4"/>
    </w:rPr>
  </w:style>
  <w:style w:type="character" w:customStyle="1" w:styleId="Heading1Char1">
    <w:name w:val="Heading 1 Char1"/>
    <w:basedOn w:val="a1"/>
    <w:locked/>
    <w:rsid w:val="00166F1A"/>
    <w:rPr>
      <w:rFonts w:ascii="Arial" w:hAnsi="Arial" w:cs="Times New Roman"/>
      <w:b/>
      <w:kern w:val="28"/>
      <w:lang w:val="en-GB" w:bidi="ar-SA"/>
    </w:rPr>
  </w:style>
  <w:style w:type="paragraph" w:customStyle="1" w:styleId="ABC-paragrahinNotes0">
    <w:name w:val="ABC - paragrah in Notes Знак"/>
    <w:rsid w:val="00166F1A"/>
    <w:pPr>
      <w:spacing w:after="240"/>
      <w:jc w:val="both"/>
    </w:pPr>
    <w:rPr>
      <w:rFonts w:ascii="Arial" w:hAnsi="Arial"/>
      <w:sz w:val="18"/>
      <w:lang w:val="en-GB"/>
    </w:rPr>
  </w:style>
  <w:style w:type="character" w:customStyle="1" w:styleId="ABC-paragrahinNotes1">
    <w:name w:val="ABC - paragrah in Notes Знак Знак"/>
    <w:basedOn w:val="a1"/>
    <w:locked/>
    <w:rsid w:val="00166F1A"/>
    <w:rPr>
      <w:rFonts w:ascii="Arial" w:hAnsi="Arial" w:cs="Times New Roman"/>
      <w:sz w:val="18"/>
      <w:lang w:val="en-GB" w:bidi="ar-SA"/>
    </w:rPr>
  </w:style>
  <w:style w:type="character" w:customStyle="1" w:styleId="RRthousandsChar">
    <w:name w:val="RR thousands Char"/>
    <w:basedOn w:val="a1"/>
    <w:locked/>
    <w:rsid w:val="00166F1A"/>
    <w:rPr>
      <w:rFonts w:ascii="Arial" w:hAnsi="Arial" w:cs="Arial"/>
      <w:i/>
      <w:sz w:val="16"/>
      <w:lang w:val="en-GB" w:bidi="ar-SA"/>
    </w:rPr>
  </w:style>
  <w:style w:type="character" w:customStyle="1" w:styleId="ABC-paragrahinNotesChar1">
    <w:name w:val="ABC - paragrah in Notes Char1"/>
    <w:basedOn w:val="a1"/>
    <w:locked/>
    <w:rsid w:val="00166F1A"/>
    <w:rPr>
      <w:rFonts w:ascii="Arial" w:hAnsi="Arial" w:cs="Times New Roman"/>
      <w:lang w:val="en-GB" w:bidi="ar-SA"/>
    </w:rPr>
  </w:style>
  <w:style w:type="character" w:customStyle="1" w:styleId="tw4winMark">
    <w:name w:val="tw4winMark"/>
    <w:rsid w:val="00166F1A"/>
    <w:rPr>
      <w:rFonts w:ascii="Courier New" w:hAnsi="Courier New"/>
      <w:vanish/>
      <w:color w:val="800080"/>
      <w:sz w:val="24"/>
      <w:vertAlign w:val="subscript"/>
    </w:rPr>
  </w:style>
  <w:style w:type="character" w:customStyle="1" w:styleId="tw4winError">
    <w:name w:val="tw4winError"/>
    <w:rsid w:val="00166F1A"/>
    <w:rPr>
      <w:rFonts w:ascii="Courier New" w:hAnsi="Courier New"/>
      <w:color w:val="00FF00"/>
      <w:sz w:val="40"/>
    </w:rPr>
  </w:style>
  <w:style w:type="character" w:customStyle="1" w:styleId="tw4winTerm">
    <w:name w:val="tw4winTerm"/>
    <w:rsid w:val="00166F1A"/>
    <w:rPr>
      <w:color w:val="0000FF"/>
    </w:rPr>
  </w:style>
  <w:style w:type="character" w:customStyle="1" w:styleId="tw4winPopup">
    <w:name w:val="tw4winPopup"/>
    <w:rsid w:val="00166F1A"/>
    <w:rPr>
      <w:rFonts w:ascii="Courier New" w:hAnsi="Courier New"/>
      <w:noProof/>
      <w:color w:val="008000"/>
    </w:rPr>
  </w:style>
  <w:style w:type="character" w:customStyle="1" w:styleId="tw4winJump">
    <w:name w:val="tw4winJump"/>
    <w:rsid w:val="00166F1A"/>
    <w:rPr>
      <w:rFonts w:ascii="Courier New" w:hAnsi="Courier New"/>
      <w:noProof/>
      <w:color w:val="008080"/>
    </w:rPr>
  </w:style>
  <w:style w:type="character" w:customStyle="1" w:styleId="tw4winExternal">
    <w:name w:val="tw4winExternal"/>
    <w:rsid w:val="00166F1A"/>
    <w:rPr>
      <w:rFonts w:ascii="Courier New" w:hAnsi="Courier New"/>
      <w:noProof/>
      <w:color w:val="808080"/>
    </w:rPr>
  </w:style>
  <w:style w:type="character" w:customStyle="1" w:styleId="tw4winInternal">
    <w:name w:val="tw4winInternal"/>
    <w:rsid w:val="00166F1A"/>
    <w:rPr>
      <w:rFonts w:ascii="Courier New" w:hAnsi="Courier New"/>
      <w:noProof/>
      <w:color w:val="FF0000"/>
    </w:rPr>
  </w:style>
  <w:style w:type="character" w:customStyle="1" w:styleId="DONOTTRANSLATE">
    <w:name w:val="DO_NOT_TRANSLATE"/>
    <w:rsid w:val="00166F1A"/>
    <w:rPr>
      <w:rFonts w:ascii="Courier New" w:hAnsi="Courier New"/>
      <w:noProof/>
      <w:color w:val="800000"/>
    </w:rPr>
  </w:style>
  <w:style w:type="character" w:customStyle="1" w:styleId="ABC-subheadinNotes">
    <w:name w:val="ABC - subhead in Notes"/>
    <w:rsid w:val="00166F1A"/>
    <w:rPr>
      <w:b/>
      <w:i/>
    </w:rPr>
  </w:style>
  <w:style w:type="table" w:styleId="af7">
    <w:name w:val="Table Grid"/>
    <w:basedOn w:val="a2"/>
    <w:rsid w:val="00451F05"/>
    <w:rPr>
      <w:rFonts w:ascii="Arial" w:eastAsia="SimSun" w:hAnsi="Arial"/>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umbersCharChar">
    <w:name w:val="Table numbers Char Char"/>
    <w:basedOn w:val="a0"/>
    <w:rsid w:val="00BA5558"/>
    <w:pPr>
      <w:spacing w:after="100" w:line="300" w:lineRule="atLeast"/>
      <w:jc w:val="both"/>
    </w:pPr>
    <w:rPr>
      <w:rFonts w:ascii="Times New Roman" w:hAnsi="Times New Roman"/>
      <w:sz w:val="22"/>
      <w:lang w:val="en-US"/>
    </w:rPr>
  </w:style>
  <w:style w:type="character" w:customStyle="1" w:styleId="DeltaViewInsertion">
    <w:name w:val="DeltaView Insertion"/>
    <w:rsid w:val="00FC0D28"/>
    <w:rPr>
      <w:color w:val="0000FF"/>
      <w:spacing w:val="0"/>
      <w:u w:val="double"/>
    </w:rPr>
  </w:style>
  <w:style w:type="paragraph" w:customStyle="1" w:styleId="consplusnormal">
    <w:name w:val="consplusnormal"/>
    <w:basedOn w:val="a0"/>
    <w:rsid w:val="006123C5"/>
    <w:pPr>
      <w:autoSpaceDE w:val="0"/>
      <w:autoSpaceDN w:val="0"/>
      <w:ind w:firstLine="720"/>
    </w:pPr>
    <w:rPr>
      <w:rFonts w:cs="Arial"/>
      <w:sz w:val="20"/>
      <w:lang w:val="ru-RU"/>
    </w:rPr>
  </w:style>
  <w:style w:type="character" w:styleId="af8">
    <w:name w:val="Strong"/>
    <w:basedOn w:val="a1"/>
    <w:qFormat/>
    <w:rsid w:val="00E965A9"/>
    <w:rPr>
      <w:b/>
      <w:bCs/>
    </w:rPr>
  </w:style>
  <w:style w:type="character" w:customStyle="1" w:styleId="a5">
    <w:name w:val="Верхний колонтитул Знак"/>
    <w:basedOn w:val="a1"/>
    <w:link w:val="a4"/>
    <w:uiPriority w:val="99"/>
    <w:rsid w:val="00886C83"/>
    <w:rPr>
      <w:rFonts w:ascii="Arial" w:hAnsi="Arial"/>
      <w:sz w:val="16"/>
      <w:lang w:val="en-GB" w:eastAsia="ru-RU" w:bidi="ar-SA"/>
    </w:rPr>
  </w:style>
  <w:style w:type="paragraph" w:customStyle="1" w:styleId="Style96">
    <w:name w:val="Style96"/>
    <w:basedOn w:val="a0"/>
    <w:uiPriority w:val="99"/>
    <w:rsid w:val="001A3CA4"/>
    <w:pPr>
      <w:widowControl w:val="0"/>
      <w:autoSpaceDE w:val="0"/>
      <w:autoSpaceDN w:val="0"/>
      <w:adjustRightInd w:val="0"/>
      <w:spacing w:line="244" w:lineRule="exact"/>
      <w:jc w:val="both"/>
    </w:pPr>
    <w:rPr>
      <w:rFonts w:ascii="Calibri" w:eastAsiaTheme="minorEastAsia" w:hAnsi="Calibri" w:cstheme="minorBidi"/>
      <w:sz w:val="24"/>
      <w:szCs w:val="24"/>
      <w:lang w:val="ru-RU"/>
    </w:rPr>
  </w:style>
  <w:style w:type="character" w:customStyle="1" w:styleId="FontStyle170">
    <w:name w:val="Font Style170"/>
    <w:basedOn w:val="a1"/>
    <w:uiPriority w:val="99"/>
    <w:rsid w:val="001A3CA4"/>
    <w:rPr>
      <w:rFonts w:ascii="Calibri" w:hAnsi="Calibri" w:cs="Calibri"/>
      <w:color w:val="000000"/>
      <w:sz w:val="18"/>
      <w:szCs w:val="18"/>
    </w:rPr>
  </w:style>
  <w:style w:type="paragraph" w:customStyle="1" w:styleId="PwCAddress">
    <w:name w:val="PwC Address"/>
    <w:basedOn w:val="a0"/>
    <w:link w:val="PwCAddressChar"/>
    <w:qFormat/>
    <w:rsid w:val="00334E7D"/>
    <w:pPr>
      <w:spacing w:line="200" w:lineRule="atLeast"/>
    </w:pPr>
    <w:rPr>
      <w:rFonts w:ascii="Georgia" w:eastAsia="Arial" w:hAnsi="Georgia"/>
      <w:i/>
      <w:noProof/>
      <w:szCs w:val="22"/>
      <w:lang w:eastAsia="en-GB"/>
    </w:rPr>
  </w:style>
  <w:style w:type="character" w:customStyle="1" w:styleId="PwCAddressChar">
    <w:name w:val="PwC Address Char"/>
    <w:basedOn w:val="a1"/>
    <w:link w:val="PwCAddress"/>
    <w:rsid w:val="00334E7D"/>
    <w:rPr>
      <w:rFonts w:ascii="Georgia" w:eastAsia="Arial" w:hAnsi="Georgia"/>
      <w:i/>
      <w:noProof/>
      <w:sz w:val="18"/>
      <w:szCs w:val="22"/>
      <w:lang w:val="en-GB" w:eastAsia="en-GB"/>
    </w:rPr>
  </w:style>
  <w:style w:type="character" w:customStyle="1" w:styleId="aa">
    <w:name w:val="Текст сноски Знак"/>
    <w:basedOn w:val="a1"/>
    <w:link w:val="a9"/>
    <w:uiPriority w:val="99"/>
    <w:semiHidden/>
    <w:rsid w:val="0027623E"/>
    <w:rPr>
      <w:rFonts w:ascii="Arial" w:hAnsi="Arial"/>
      <w:sz w:val="18"/>
      <w:lang w:val="en-GB"/>
    </w:rPr>
  </w:style>
  <w:style w:type="paragraph" w:styleId="af9">
    <w:name w:val="Revision"/>
    <w:hidden/>
    <w:uiPriority w:val="99"/>
    <w:semiHidden/>
    <w:rsid w:val="00B35BFD"/>
    <w:rPr>
      <w:rFonts w:ascii="Arial" w:hAnsi="Arial"/>
      <w:sz w:val="18"/>
      <w:lang w:val="en-GB"/>
    </w:rPr>
  </w:style>
  <w:style w:type="character" w:customStyle="1" w:styleId="a8">
    <w:name w:val="Нижний колонтитул Знак"/>
    <w:basedOn w:val="a1"/>
    <w:link w:val="a7"/>
    <w:uiPriority w:val="99"/>
    <w:rsid w:val="00E16BFD"/>
    <w:rPr>
      <w:rFonts w:ascii="Arial" w:hAnsi="Arial"/>
      <w:sz w:val="18"/>
      <w:lang w:val="en-GB"/>
    </w:rPr>
  </w:style>
  <w:style w:type="paragraph" w:customStyle="1" w:styleId="RRthousand">
    <w:name w:val="RR thousand"/>
    <w:basedOn w:val="RRthousands"/>
    <w:qFormat/>
    <w:rsid w:val="008E0055"/>
    <w:rPr>
      <w:sz w:val="18"/>
      <w:szCs w:val="18"/>
      <w:lang w:val="ru-RU"/>
    </w:rPr>
  </w:style>
  <w:style w:type="character" w:customStyle="1" w:styleId="RRthousandsChar1">
    <w:name w:val="RR thousands Char1"/>
    <w:basedOn w:val="a1"/>
    <w:link w:val="RRthousands"/>
    <w:rsid w:val="00607BE6"/>
    <w:rPr>
      <w:rFonts w:ascii="Arial" w:hAnsi="Arial" w:cs="Arial"/>
      <w:i/>
      <w:sz w:val="16"/>
      <w:lang w:val="en-GB"/>
    </w:rPr>
  </w:style>
  <w:style w:type="paragraph" w:styleId="afa">
    <w:name w:val="List Paragraph"/>
    <w:basedOn w:val="a0"/>
    <w:uiPriority w:val="99"/>
    <w:qFormat/>
    <w:rsid w:val="00994892"/>
    <w:pPr>
      <w:ind w:left="720"/>
      <w:contextualSpacing/>
    </w:pPr>
  </w:style>
  <w:style w:type="paragraph" w:styleId="afb">
    <w:name w:val="Plain Text"/>
    <w:basedOn w:val="a0"/>
    <w:link w:val="afc"/>
    <w:uiPriority w:val="99"/>
    <w:unhideWhenUsed/>
    <w:rsid w:val="007421B1"/>
    <w:rPr>
      <w:rFonts w:ascii="Courier New" w:eastAsiaTheme="minorHAnsi" w:hAnsi="Courier New" w:cs="Courier New"/>
      <w:sz w:val="20"/>
      <w:lang w:val="ru-RU"/>
    </w:rPr>
  </w:style>
  <w:style w:type="character" w:customStyle="1" w:styleId="afc">
    <w:name w:val="Текст Знак"/>
    <w:basedOn w:val="a1"/>
    <w:link w:val="afb"/>
    <w:uiPriority w:val="99"/>
    <w:rsid w:val="007421B1"/>
    <w:rPr>
      <w:rFonts w:ascii="Courier New" w:eastAsiaTheme="minorHAnsi" w:hAnsi="Courier New" w:cs="Courier New"/>
    </w:rPr>
  </w:style>
  <w:style w:type="character" w:styleId="afd">
    <w:name w:val="Hyperlink"/>
    <w:basedOn w:val="a1"/>
    <w:uiPriority w:val="99"/>
    <w:rsid w:val="00522239"/>
    <w:rPr>
      <w:color w:val="0000FF" w:themeColor="hyperlink"/>
      <w:u w:val="single"/>
    </w:rPr>
  </w:style>
  <w:style w:type="character" w:customStyle="1" w:styleId="10">
    <w:name w:val="Заголовок 1 Знак"/>
    <w:basedOn w:val="a1"/>
    <w:link w:val="1"/>
    <w:uiPriority w:val="9"/>
    <w:locked/>
    <w:rsid w:val="00364760"/>
    <w:rPr>
      <w:rFonts w:ascii="Arial" w:hAnsi="Arial"/>
      <w:b/>
      <w:kern w:val="28"/>
      <w:lang w:val="en-GB"/>
    </w:rPr>
  </w:style>
  <w:style w:type="character" w:customStyle="1" w:styleId="af5">
    <w:name w:val="Текст примечания Знак"/>
    <w:basedOn w:val="a1"/>
    <w:link w:val="af4"/>
    <w:uiPriority w:val="99"/>
    <w:semiHidden/>
    <w:locked/>
    <w:rsid w:val="00603F0B"/>
    <w:rPr>
      <w:rFonts w:ascii="Arial" w:hAnsi="Arial"/>
      <w:sz w:val="18"/>
      <w:lang w:val="en-GB"/>
    </w:rPr>
  </w:style>
  <w:style w:type="numbering" w:customStyle="1" w:styleId="PwCListNumbers1">
    <w:name w:val="PwC List Numbers 1"/>
    <w:uiPriority w:val="99"/>
    <w:rsid w:val="009C4246"/>
    <w:pPr>
      <w:numPr>
        <w:numId w:val="12"/>
      </w:numPr>
    </w:pPr>
  </w:style>
  <w:style w:type="paragraph" w:styleId="a">
    <w:name w:val="List Number"/>
    <w:basedOn w:val="a0"/>
    <w:unhideWhenUsed/>
    <w:qFormat/>
    <w:rsid w:val="009C4246"/>
    <w:pPr>
      <w:numPr>
        <w:numId w:val="13"/>
      </w:numPr>
      <w:spacing w:line="240" w:lineRule="atLeast"/>
      <w:contextualSpacing/>
    </w:pPr>
    <w:rPr>
      <w:rFonts w:ascii="Georgia" w:eastAsiaTheme="minorHAnsi" w:hAnsi="Georgia" w:cstheme="minorBidi"/>
      <w:sz w:val="20"/>
      <w:szCs w:val="22"/>
      <w:lang w:eastAsia="en-US"/>
    </w:rPr>
  </w:style>
  <w:style w:type="paragraph" w:styleId="2">
    <w:name w:val="List Number 2"/>
    <w:basedOn w:val="a0"/>
    <w:unhideWhenUsed/>
    <w:qFormat/>
    <w:rsid w:val="009C4246"/>
    <w:pPr>
      <w:numPr>
        <w:ilvl w:val="1"/>
        <w:numId w:val="13"/>
      </w:numPr>
      <w:spacing w:line="240" w:lineRule="atLeast"/>
      <w:contextualSpacing/>
    </w:pPr>
    <w:rPr>
      <w:rFonts w:ascii="Georgia" w:eastAsiaTheme="minorHAnsi" w:hAnsi="Georgia" w:cstheme="minorBidi"/>
      <w:sz w:val="20"/>
      <w:szCs w:val="22"/>
      <w:lang w:eastAsia="en-US"/>
    </w:rPr>
  </w:style>
  <w:style w:type="paragraph" w:styleId="3">
    <w:name w:val="List Number 3"/>
    <w:basedOn w:val="a0"/>
    <w:unhideWhenUsed/>
    <w:qFormat/>
    <w:rsid w:val="009C4246"/>
    <w:pPr>
      <w:numPr>
        <w:ilvl w:val="2"/>
        <w:numId w:val="13"/>
      </w:numPr>
      <w:spacing w:line="240" w:lineRule="atLeast"/>
      <w:contextualSpacing/>
    </w:pPr>
    <w:rPr>
      <w:rFonts w:ascii="Georgia" w:eastAsiaTheme="minorHAnsi" w:hAnsi="Georgia" w:cstheme="minorBidi"/>
      <w:sz w:val="20"/>
      <w:szCs w:val="22"/>
      <w:lang w:eastAsia="en-US"/>
    </w:rPr>
  </w:style>
  <w:style w:type="paragraph" w:styleId="4">
    <w:name w:val="List Number 4"/>
    <w:basedOn w:val="a0"/>
    <w:uiPriority w:val="13"/>
    <w:unhideWhenUsed/>
    <w:rsid w:val="009C4246"/>
    <w:pPr>
      <w:numPr>
        <w:ilvl w:val="3"/>
        <w:numId w:val="13"/>
      </w:numPr>
      <w:spacing w:line="240" w:lineRule="atLeast"/>
      <w:contextualSpacing/>
    </w:pPr>
    <w:rPr>
      <w:rFonts w:ascii="Georgia" w:eastAsiaTheme="minorHAnsi" w:hAnsi="Georgia" w:cstheme="minorBidi"/>
      <w:sz w:val="20"/>
      <w:szCs w:val="22"/>
      <w:lang w:eastAsia="en-US"/>
    </w:rPr>
  </w:style>
  <w:style w:type="paragraph" w:styleId="5">
    <w:name w:val="List Number 5"/>
    <w:basedOn w:val="a0"/>
    <w:unhideWhenUsed/>
    <w:rsid w:val="009C4246"/>
    <w:pPr>
      <w:numPr>
        <w:ilvl w:val="4"/>
        <w:numId w:val="13"/>
      </w:numPr>
      <w:spacing w:line="240" w:lineRule="atLeast"/>
      <w:contextualSpacing/>
    </w:pPr>
    <w:rPr>
      <w:rFonts w:ascii="Georgia" w:eastAsiaTheme="minorHAnsi" w:hAnsi="Georgia" w:cstheme="minorBidi"/>
      <w:sz w:val="20"/>
      <w:szCs w:val="22"/>
      <w:lang w:eastAsia="en-US"/>
    </w:rPr>
  </w:style>
  <w:style w:type="character" w:customStyle="1" w:styleId="31">
    <w:name w:val="Заголовок 3 Знак"/>
    <w:basedOn w:val="a1"/>
    <w:link w:val="30"/>
    <w:rsid w:val="005C7342"/>
    <w:rPr>
      <w:rFonts w:ascii="Arial" w:hAnsi="Arial"/>
      <w:b/>
      <w:sz w:val="18"/>
      <w:lang w:val="en-GB"/>
    </w:rPr>
  </w:style>
  <w:style w:type="paragraph" w:styleId="afe">
    <w:name w:val="Normal (Web)"/>
    <w:basedOn w:val="a0"/>
    <w:uiPriority w:val="99"/>
    <w:rsid w:val="00B27FBF"/>
    <w:rPr>
      <w:rFonts w:ascii="Times New Roman" w:hAnsi="Times New Roman"/>
      <w:sz w:val="24"/>
      <w:szCs w:val="24"/>
      <w:lang w:val="ru-RU"/>
    </w:rPr>
  </w:style>
  <w:style w:type="character" w:styleId="aff">
    <w:name w:val="Emphasis"/>
    <w:basedOn w:val="a1"/>
    <w:uiPriority w:val="20"/>
    <w:qFormat/>
    <w:rsid w:val="00AC7644"/>
    <w:rPr>
      <w:i/>
      <w:iCs/>
    </w:rPr>
  </w:style>
  <w:style w:type="paragraph" w:styleId="HTML">
    <w:name w:val="HTML Preformatted"/>
    <w:basedOn w:val="a0"/>
    <w:link w:val="HTML0"/>
    <w:uiPriority w:val="99"/>
    <w:unhideWhenUsed/>
    <w:rsid w:val="0018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lang w:val="ru-RU"/>
    </w:rPr>
  </w:style>
  <w:style w:type="character" w:customStyle="1" w:styleId="HTML0">
    <w:name w:val="Стандартный HTML Знак"/>
    <w:basedOn w:val="a1"/>
    <w:link w:val="HTML"/>
    <w:uiPriority w:val="99"/>
    <w:rsid w:val="0018114E"/>
    <w:rPr>
      <w:rFonts w:ascii="Courier New" w:eastAsiaTheme="minorHAnsi" w:hAnsi="Courier New" w:cs="Courier New"/>
    </w:rPr>
  </w:style>
  <w:style w:type="paragraph" w:styleId="aff0">
    <w:name w:val="Title"/>
    <w:basedOn w:val="a0"/>
    <w:link w:val="aff1"/>
    <w:uiPriority w:val="10"/>
    <w:qFormat/>
    <w:rsid w:val="006030AA"/>
    <w:pPr>
      <w:jc w:val="center"/>
    </w:pPr>
    <w:rPr>
      <w:rFonts w:ascii="Times New Roman" w:eastAsiaTheme="minorHAnsi" w:hAnsi="Times New Roman"/>
      <w:b/>
      <w:bCs/>
      <w:sz w:val="24"/>
      <w:szCs w:val="24"/>
      <w:lang w:val="ru-RU"/>
    </w:rPr>
  </w:style>
  <w:style w:type="character" w:customStyle="1" w:styleId="aff1">
    <w:name w:val="Название Знак"/>
    <w:basedOn w:val="a1"/>
    <w:link w:val="aff0"/>
    <w:uiPriority w:val="10"/>
    <w:rsid w:val="006030AA"/>
    <w:rPr>
      <w:rFonts w:eastAsiaTheme="minorHAnsi"/>
      <w:b/>
      <w:bCs/>
      <w:sz w:val="24"/>
      <w:szCs w:val="24"/>
    </w:rPr>
  </w:style>
  <w:style w:type="character" w:customStyle="1" w:styleId="23">
    <w:name w:val="Оглавление 2 Знак"/>
    <w:basedOn w:val="a1"/>
    <w:link w:val="22"/>
    <w:locked/>
    <w:rsid w:val="001F426D"/>
    <w:rPr>
      <w:rFonts w:ascii="Arial" w:hAnsi="Arial"/>
      <w:smallCaps/>
      <w:sz w:val="18"/>
      <w:lang w:val="en-GB"/>
    </w:rPr>
  </w:style>
  <w:style w:type="character" w:customStyle="1" w:styleId="25">
    <w:name w:val="Основной текст (2)_"/>
    <w:basedOn w:val="a1"/>
    <w:link w:val="210"/>
    <w:uiPriority w:val="99"/>
    <w:locked/>
    <w:rsid w:val="001F426D"/>
    <w:rPr>
      <w:rFonts w:ascii="Arial" w:hAnsi="Arial" w:cs="Arial"/>
      <w:b/>
      <w:bCs/>
      <w:sz w:val="18"/>
      <w:szCs w:val="18"/>
      <w:shd w:val="clear" w:color="auto" w:fill="FFFFFF"/>
    </w:rPr>
  </w:style>
  <w:style w:type="paragraph" w:customStyle="1" w:styleId="210">
    <w:name w:val="Основной текст (2)1"/>
    <w:basedOn w:val="a0"/>
    <w:link w:val="25"/>
    <w:uiPriority w:val="99"/>
    <w:rsid w:val="001F426D"/>
    <w:pPr>
      <w:widowControl w:val="0"/>
      <w:shd w:val="clear" w:color="auto" w:fill="FFFFFF"/>
      <w:spacing w:line="226" w:lineRule="exact"/>
      <w:ind w:hanging="920"/>
    </w:pPr>
    <w:rPr>
      <w:rFonts w:cs="Arial"/>
      <w:b/>
      <w:bCs/>
      <w:szCs w:val="18"/>
      <w:lang w:val="ru-RU"/>
    </w:rPr>
  </w:style>
  <w:style w:type="paragraph" w:customStyle="1" w:styleId="ConsPlusNormal0">
    <w:name w:val="ConsPlusNormal"/>
    <w:rsid w:val="00323BC0"/>
    <w:pPr>
      <w:autoSpaceDE w:val="0"/>
      <w:autoSpaceDN w:val="0"/>
      <w:adjustRightInd w:val="0"/>
    </w:pPr>
    <w:rPr>
      <w:rFonts w:ascii="Arial" w:hAnsi="Arial" w:cs="Arial"/>
    </w:rPr>
  </w:style>
  <w:style w:type="character" w:customStyle="1" w:styleId="aff2">
    <w:name w:val="Подпись к таблице_"/>
    <w:basedOn w:val="a1"/>
    <w:link w:val="aff3"/>
    <w:uiPriority w:val="99"/>
    <w:locked/>
    <w:rsid w:val="00D71B06"/>
    <w:rPr>
      <w:rFonts w:ascii="Arial" w:hAnsi="Arial" w:cs="Arial"/>
      <w:i/>
      <w:iCs/>
      <w:sz w:val="18"/>
      <w:szCs w:val="18"/>
      <w:shd w:val="clear" w:color="auto" w:fill="FFFFFF"/>
    </w:rPr>
  </w:style>
  <w:style w:type="paragraph" w:customStyle="1" w:styleId="aff3">
    <w:name w:val="Подпись к таблице"/>
    <w:basedOn w:val="a0"/>
    <w:link w:val="aff2"/>
    <w:uiPriority w:val="99"/>
    <w:rsid w:val="00D71B06"/>
    <w:pPr>
      <w:widowControl w:val="0"/>
      <w:shd w:val="clear" w:color="auto" w:fill="FFFFFF"/>
      <w:spacing w:line="240" w:lineRule="atLeast"/>
    </w:pPr>
    <w:rPr>
      <w:rFonts w:cs="Arial"/>
      <w:i/>
      <w:iCs/>
      <w:szCs w:val="18"/>
      <w:lang w:val="ru-RU"/>
    </w:rPr>
  </w:style>
  <w:style w:type="character" w:customStyle="1" w:styleId="26">
    <w:name w:val="Заголовок №2_"/>
    <w:basedOn w:val="a1"/>
    <w:link w:val="211"/>
    <w:uiPriority w:val="99"/>
    <w:locked/>
    <w:rsid w:val="00ED600A"/>
    <w:rPr>
      <w:rFonts w:ascii="Arial" w:hAnsi="Arial" w:cs="Arial"/>
      <w:b/>
      <w:bCs/>
      <w:sz w:val="18"/>
      <w:szCs w:val="18"/>
      <w:shd w:val="clear" w:color="auto" w:fill="FFFFFF"/>
    </w:rPr>
  </w:style>
  <w:style w:type="paragraph" w:customStyle="1" w:styleId="211">
    <w:name w:val="Заголовок №21"/>
    <w:basedOn w:val="a0"/>
    <w:link w:val="26"/>
    <w:uiPriority w:val="99"/>
    <w:rsid w:val="00ED600A"/>
    <w:pPr>
      <w:widowControl w:val="0"/>
      <w:shd w:val="clear" w:color="auto" w:fill="FFFFFF"/>
      <w:spacing w:line="437" w:lineRule="exact"/>
      <w:ind w:hanging="440"/>
      <w:jc w:val="both"/>
      <w:outlineLvl w:val="1"/>
    </w:pPr>
    <w:rPr>
      <w:rFonts w:cs="Arial"/>
      <w:b/>
      <w:bCs/>
      <w:szCs w:val="18"/>
      <w:lang w:val="ru-RU"/>
    </w:rPr>
  </w:style>
  <w:style w:type="character" w:customStyle="1" w:styleId="34">
    <w:name w:val="Основной текст (3)_"/>
    <w:basedOn w:val="a1"/>
    <w:link w:val="310"/>
    <w:uiPriority w:val="99"/>
    <w:locked/>
    <w:rsid w:val="00E01D35"/>
    <w:rPr>
      <w:rFonts w:ascii="Arial" w:hAnsi="Arial" w:cs="Arial"/>
      <w:b/>
      <w:bCs/>
      <w:i/>
      <w:iCs/>
      <w:shd w:val="clear" w:color="auto" w:fill="FFFFFF"/>
    </w:rPr>
  </w:style>
  <w:style w:type="paragraph" w:customStyle="1" w:styleId="310">
    <w:name w:val="Основной текст (3)1"/>
    <w:basedOn w:val="a0"/>
    <w:link w:val="34"/>
    <w:uiPriority w:val="99"/>
    <w:rsid w:val="00E01D35"/>
    <w:pPr>
      <w:widowControl w:val="0"/>
      <w:shd w:val="clear" w:color="auto" w:fill="FFFFFF"/>
      <w:spacing w:line="230" w:lineRule="exact"/>
      <w:ind w:hanging="440"/>
      <w:jc w:val="right"/>
    </w:pPr>
    <w:rPr>
      <w:rFonts w:cs="Arial"/>
      <w:b/>
      <w:bCs/>
      <w:i/>
      <w:iCs/>
      <w:sz w:val="20"/>
      <w:lang w:val="ru-RU"/>
    </w:rPr>
  </w:style>
  <w:style w:type="character" w:customStyle="1" w:styleId="71">
    <w:name w:val="Основной текст (7)_"/>
    <w:basedOn w:val="a1"/>
    <w:link w:val="710"/>
    <w:uiPriority w:val="99"/>
    <w:locked/>
    <w:rsid w:val="00794C6E"/>
    <w:rPr>
      <w:rFonts w:ascii="Arial" w:hAnsi="Arial" w:cs="Arial"/>
      <w:i/>
      <w:iCs/>
      <w:sz w:val="19"/>
      <w:szCs w:val="19"/>
      <w:shd w:val="clear" w:color="auto" w:fill="FFFFFF"/>
    </w:rPr>
  </w:style>
  <w:style w:type="character" w:customStyle="1" w:styleId="27">
    <w:name w:val="Подпись к таблице (2)_"/>
    <w:basedOn w:val="a1"/>
    <w:link w:val="212"/>
    <w:uiPriority w:val="99"/>
    <w:locked/>
    <w:rsid w:val="00794C6E"/>
    <w:rPr>
      <w:rFonts w:ascii="Arial" w:hAnsi="Arial" w:cs="Arial"/>
      <w:b/>
      <w:bCs/>
      <w:sz w:val="18"/>
      <w:szCs w:val="18"/>
      <w:shd w:val="clear" w:color="auto" w:fill="FFFFFF"/>
    </w:rPr>
  </w:style>
  <w:style w:type="paragraph" w:customStyle="1" w:styleId="710">
    <w:name w:val="Основной текст (7)1"/>
    <w:basedOn w:val="a0"/>
    <w:link w:val="71"/>
    <w:uiPriority w:val="99"/>
    <w:rsid w:val="00794C6E"/>
    <w:pPr>
      <w:widowControl w:val="0"/>
      <w:shd w:val="clear" w:color="auto" w:fill="FFFFFF"/>
      <w:spacing w:line="240" w:lineRule="atLeast"/>
    </w:pPr>
    <w:rPr>
      <w:rFonts w:cs="Arial"/>
      <w:i/>
      <w:iCs/>
      <w:sz w:val="19"/>
      <w:szCs w:val="19"/>
      <w:lang w:val="ru-RU"/>
    </w:rPr>
  </w:style>
  <w:style w:type="paragraph" w:customStyle="1" w:styleId="212">
    <w:name w:val="Подпись к таблице (2)1"/>
    <w:basedOn w:val="a0"/>
    <w:link w:val="27"/>
    <w:uiPriority w:val="99"/>
    <w:rsid w:val="00794C6E"/>
    <w:pPr>
      <w:widowControl w:val="0"/>
      <w:shd w:val="clear" w:color="auto" w:fill="FFFFFF"/>
      <w:spacing w:line="240" w:lineRule="atLeast"/>
    </w:pPr>
    <w:rPr>
      <w:rFonts w:cs="Arial"/>
      <w:b/>
      <w:bCs/>
      <w:szCs w:val="18"/>
      <w:lang w:val="ru-RU"/>
    </w:rPr>
  </w:style>
  <w:style w:type="paragraph" w:customStyle="1" w:styleId="TrebuchetMS">
    <w:name w:val="Обычный + Trebuchet MS"/>
    <w:aliases w:val="Перед:  6 пт"/>
    <w:basedOn w:val="a0"/>
    <w:rsid w:val="00DC2703"/>
    <w:pPr>
      <w:spacing w:before="120" w:after="120"/>
      <w:jc w:val="both"/>
    </w:pPr>
    <w:rPr>
      <w:rFonts w:ascii="Trebuchet MS" w:hAnsi="Trebuchet MS"/>
      <w:sz w:val="20"/>
      <w:szCs w:val="24"/>
      <w:lang w:val="ru-RU"/>
    </w:rPr>
  </w:style>
  <w:style w:type="character" w:customStyle="1" w:styleId="aff4">
    <w:name w:val="Колонтитул_"/>
    <w:basedOn w:val="a1"/>
    <w:link w:val="13"/>
    <w:uiPriority w:val="99"/>
    <w:locked/>
    <w:rsid w:val="00454FD2"/>
    <w:rPr>
      <w:rFonts w:ascii="Arial" w:hAnsi="Arial" w:cs="Arial"/>
      <w:b/>
      <w:bCs/>
      <w:i/>
      <w:iCs/>
      <w:shd w:val="clear" w:color="auto" w:fill="FFFFFF"/>
    </w:rPr>
  </w:style>
  <w:style w:type="character" w:customStyle="1" w:styleId="28">
    <w:name w:val="Колонтитул + Не полужирный2"/>
    <w:aliases w:val="Не курсив4"/>
    <w:basedOn w:val="aff4"/>
    <w:uiPriority w:val="99"/>
    <w:rsid w:val="00454FD2"/>
    <w:rPr>
      <w:rFonts w:ascii="Arial" w:hAnsi="Arial" w:cs="Arial"/>
      <w:b w:val="0"/>
      <w:bCs w:val="0"/>
      <w:i w:val="0"/>
      <w:iCs w:val="0"/>
      <w:shd w:val="clear" w:color="auto" w:fill="FFFFFF"/>
    </w:rPr>
  </w:style>
  <w:style w:type="character" w:customStyle="1" w:styleId="29">
    <w:name w:val="Колонтитул2"/>
    <w:basedOn w:val="aff4"/>
    <w:uiPriority w:val="99"/>
    <w:rsid w:val="00454FD2"/>
    <w:rPr>
      <w:rFonts w:ascii="Arial" w:hAnsi="Arial" w:cs="Arial"/>
      <w:b/>
      <w:bCs/>
      <w:i/>
      <w:iCs/>
      <w:u w:val="single"/>
      <w:shd w:val="clear" w:color="auto" w:fill="FFFFFF"/>
    </w:rPr>
  </w:style>
  <w:style w:type="character" w:customStyle="1" w:styleId="Sylfaen1">
    <w:name w:val="Колонтитул + Sylfaen1"/>
    <w:aliases w:val="Не курсив3"/>
    <w:basedOn w:val="aff4"/>
    <w:uiPriority w:val="99"/>
    <w:rsid w:val="00454FD2"/>
    <w:rPr>
      <w:rFonts w:ascii="Sylfaen" w:hAnsi="Sylfaen" w:cs="Sylfaen"/>
      <w:b/>
      <w:bCs/>
      <w:i w:val="0"/>
      <w:iCs w:val="0"/>
      <w:shd w:val="clear" w:color="auto" w:fill="FFFFFF"/>
    </w:rPr>
  </w:style>
  <w:style w:type="character" w:customStyle="1" w:styleId="15pt1">
    <w:name w:val="Колонтитул + 15 pt1"/>
    <w:aliases w:val="Не полужирный3,Не курсив2"/>
    <w:basedOn w:val="aff4"/>
    <w:uiPriority w:val="99"/>
    <w:rsid w:val="00454FD2"/>
    <w:rPr>
      <w:rFonts w:ascii="Arial" w:hAnsi="Arial" w:cs="Arial"/>
      <w:b w:val="0"/>
      <w:bCs w:val="0"/>
      <w:i w:val="0"/>
      <w:iCs w:val="0"/>
      <w:spacing w:val="0"/>
      <w:sz w:val="30"/>
      <w:szCs w:val="30"/>
      <w:shd w:val="clear" w:color="auto" w:fill="FFFFFF"/>
    </w:rPr>
  </w:style>
  <w:style w:type="character" w:customStyle="1" w:styleId="SegoeUI">
    <w:name w:val="Колонтитул + Segoe UI"/>
    <w:aliases w:val="4 pt,Не полужирный2,Не курсив1"/>
    <w:basedOn w:val="aff4"/>
    <w:uiPriority w:val="99"/>
    <w:rsid w:val="00454FD2"/>
    <w:rPr>
      <w:rFonts w:ascii="Segoe UI" w:hAnsi="Segoe UI" w:cs="Segoe UI"/>
      <w:b w:val="0"/>
      <w:bCs w:val="0"/>
      <w:i w:val="0"/>
      <w:iCs w:val="0"/>
      <w:sz w:val="8"/>
      <w:szCs w:val="8"/>
      <w:shd w:val="clear" w:color="auto" w:fill="FFFFFF"/>
    </w:rPr>
  </w:style>
  <w:style w:type="paragraph" w:customStyle="1" w:styleId="13">
    <w:name w:val="Колонтитул1"/>
    <w:basedOn w:val="a0"/>
    <w:link w:val="aff4"/>
    <w:uiPriority w:val="99"/>
    <w:rsid w:val="00454FD2"/>
    <w:pPr>
      <w:widowControl w:val="0"/>
      <w:shd w:val="clear" w:color="auto" w:fill="FFFFFF"/>
      <w:spacing w:line="230" w:lineRule="exact"/>
      <w:jc w:val="center"/>
    </w:pPr>
    <w:rPr>
      <w:rFonts w:cs="Arial"/>
      <w:b/>
      <w:bCs/>
      <w:i/>
      <w:iCs/>
      <w:sz w:val="20"/>
      <w:lang w:val="ru-RU"/>
    </w:rPr>
  </w:style>
  <w:style w:type="character" w:customStyle="1" w:styleId="14">
    <w:name w:val="Колонтитул + Не полужирный1"/>
    <w:basedOn w:val="aff4"/>
    <w:uiPriority w:val="99"/>
    <w:rsid w:val="00567162"/>
    <w:rPr>
      <w:rFonts w:ascii="Arial" w:hAnsi="Arial" w:cs="Arial"/>
      <w:b w:val="0"/>
      <w:bCs w:val="0"/>
      <w:i/>
      <w:iCs/>
      <w:sz w:val="20"/>
      <w:szCs w:val="20"/>
      <w:u w:val="none"/>
      <w:shd w:val="clear" w:color="auto" w:fill="FFFFFF"/>
    </w:rPr>
  </w:style>
  <w:style w:type="character" w:customStyle="1" w:styleId="220">
    <w:name w:val="Подпись к таблице (2)2"/>
    <w:basedOn w:val="a1"/>
    <w:uiPriority w:val="99"/>
    <w:rsid w:val="00AD0A76"/>
    <w:rPr>
      <w:rFonts w:ascii="Arial" w:hAnsi="Arial" w:cs="Arial"/>
      <w:b/>
      <w:bCs/>
      <w:sz w:val="18"/>
      <w:szCs w:val="18"/>
      <w:u w:val="none"/>
    </w:rPr>
  </w:style>
  <w:style w:type="character" w:customStyle="1" w:styleId="52">
    <w:name w:val="Подпись к таблице (5)_"/>
    <w:basedOn w:val="a1"/>
    <w:link w:val="53"/>
    <w:uiPriority w:val="99"/>
    <w:locked/>
    <w:rsid w:val="00B623F4"/>
    <w:rPr>
      <w:rFonts w:ascii="Arial" w:hAnsi="Arial" w:cs="Arial"/>
      <w:sz w:val="18"/>
      <w:szCs w:val="18"/>
      <w:shd w:val="clear" w:color="auto" w:fill="FFFFFF"/>
    </w:rPr>
  </w:style>
  <w:style w:type="paragraph" w:customStyle="1" w:styleId="53">
    <w:name w:val="Подпись к таблице (5)"/>
    <w:basedOn w:val="a0"/>
    <w:link w:val="52"/>
    <w:uiPriority w:val="99"/>
    <w:rsid w:val="00B623F4"/>
    <w:pPr>
      <w:widowControl w:val="0"/>
      <w:shd w:val="clear" w:color="auto" w:fill="FFFFFF"/>
      <w:spacing w:line="221" w:lineRule="exact"/>
      <w:jc w:val="both"/>
    </w:pPr>
    <w:rPr>
      <w:rFonts w:cs="Arial"/>
      <w:szCs w:val="18"/>
      <w:lang w:val="ru-RU"/>
    </w:rPr>
  </w:style>
  <w:style w:type="character" w:customStyle="1" w:styleId="79pt">
    <w:name w:val="Основной текст (7) + 9 pt"/>
    <w:aliases w:val="Полужирный,Не курсив5"/>
    <w:basedOn w:val="71"/>
    <w:uiPriority w:val="99"/>
    <w:rsid w:val="00763F88"/>
    <w:rPr>
      <w:rFonts w:ascii="Arial" w:hAnsi="Arial" w:cs="Arial"/>
      <w:b/>
      <w:bCs/>
      <w:i w:val="0"/>
      <w:iCs w:val="0"/>
      <w:sz w:val="18"/>
      <w:szCs w:val="18"/>
      <w:u w:val="none"/>
      <w:shd w:val="clear" w:color="auto" w:fill="FFFFFF"/>
    </w:rPr>
  </w:style>
  <w:style w:type="character" w:customStyle="1" w:styleId="42">
    <w:name w:val="Подпись к таблице (4)_"/>
    <w:basedOn w:val="a1"/>
    <w:link w:val="43"/>
    <w:uiPriority w:val="99"/>
    <w:locked/>
    <w:rsid w:val="0032464E"/>
    <w:rPr>
      <w:rFonts w:ascii="Arial" w:hAnsi="Arial" w:cs="Arial"/>
      <w:b/>
      <w:bCs/>
      <w:i/>
      <w:iCs/>
      <w:shd w:val="clear" w:color="auto" w:fill="FFFFFF"/>
    </w:rPr>
  </w:style>
  <w:style w:type="paragraph" w:customStyle="1" w:styleId="43">
    <w:name w:val="Подпись к таблице (4)"/>
    <w:basedOn w:val="a0"/>
    <w:link w:val="42"/>
    <w:uiPriority w:val="99"/>
    <w:rsid w:val="0032464E"/>
    <w:pPr>
      <w:widowControl w:val="0"/>
      <w:shd w:val="clear" w:color="auto" w:fill="FFFFFF"/>
      <w:spacing w:line="240" w:lineRule="atLeast"/>
    </w:pPr>
    <w:rPr>
      <w:rFonts w:cs="Arial"/>
      <w:b/>
      <w:bCs/>
      <w:i/>
      <w:iCs/>
      <w:sz w:val="20"/>
      <w:lang w:val="ru-RU"/>
    </w:rPr>
  </w:style>
  <w:style w:type="character" w:customStyle="1" w:styleId="230">
    <w:name w:val="Основной текст (2)3"/>
    <w:basedOn w:val="25"/>
    <w:uiPriority w:val="99"/>
    <w:rsid w:val="0032464E"/>
    <w:rPr>
      <w:rFonts w:ascii="Arial" w:hAnsi="Arial" w:cs="Arial"/>
      <w:b/>
      <w:bCs/>
      <w:sz w:val="18"/>
      <w:szCs w:val="18"/>
      <w:u w:val="none"/>
      <w:shd w:val="clear" w:color="auto" w:fill="FFFFFF"/>
    </w:rPr>
  </w:style>
  <w:style w:type="character" w:customStyle="1" w:styleId="ae">
    <w:name w:val="Основной текст Знак"/>
    <w:basedOn w:val="a1"/>
    <w:link w:val="ad"/>
    <w:rsid w:val="005B69B4"/>
    <w:rPr>
      <w:rFonts w:ascii="Arial" w:hAnsi="Arial"/>
      <w:sz w:val="18"/>
      <w:lang w:val="en-GB"/>
    </w:rPr>
  </w:style>
  <w:style w:type="character" w:styleId="aff5">
    <w:name w:val="line number"/>
    <w:basedOn w:val="a1"/>
    <w:rsid w:val="005431EE"/>
  </w:style>
</w:styles>
</file>

<file path=word/webSettings.xml><?xml version="1.0" encoding="utf-8"?>
<w:webSettings xmlns:r="http://schemas.openxmlformats.org/officeDocument/2006/relationships" xmlns:w="http://schemas.openxmlformats.org/wordprocessingml/2006/main">
  <w:divs>
    <w:div w:id="817617">
      <w:bodyDiv w:val="1"/>
      <w:marLeft w:val="0"/>
      <w:marRight w:val="0"/>
      <w:marTop w:val="0"/>
      <w:marBottom w:val="0"/>
      <w:divBdr>
        <w:top w:val="none" w:sz="0" w:space="0" w:color="auto"/>
        <w:left w:val="none" w:sz="0" w:space="0" w:color="auto"/>
        <w:bottom w:val="none" w:sz="0" w:space="0" w:color="auto"/>
        <w:right w:val="none" w:sz="0" w:space="0" w:color="auto"/>
      </w:divBdr>
    </w:div>
    <w:div w:id="1668090">
      <w:bodyDiv w:val="1"/>
      <w:marLeft w:val="0"/>
      <w:marRight w:val="0"/>
      <w:marTop w:val="0"/>
      <w:marBottom w:val="0"/>
      <w:divBdr>
        <w:top w:val="none" w:sz="0" w:space="0" w:color="auto"/>
        <w:left w:val="none" w:sz="0" w:space="0" w:color="auto"/>
        <w:bottom w:val="none" w:sz="0" w:space="0" w:color="auto"/>
        <w:right w:val="none" w:sz="0" w:space="0" w:color="auto"/>
      </w:divBdr>
    </w:div>
    <w:div w:id="1861424">
      <w:bodyDiv w:val="1"/>
      <w:marLeft w:val="0"/>
      <w:marRight w:val="0"/>
      <w:marTop w:val="0"/>
      <w:marBottom w:val="0"/>
      <w:divBdr>
        <w:top w:val="none" w:sz="0" w:space="0" w:color="auto"/>
        <w:left w:val="none" w:sz="0" w:space="0" w:color="auto"/>
        <w:bottom w:val="none" w:sz="0" w:space="0" w:color="auto"/>
        <w:right w:val="none" w:sz="0" w:space="0" w:color="auto"/>
      </w:divBdr>
    </w:div>
    <w:div w:id="1975071">
      <w:bodyDiv w:val="1"/>
      <w:marLeft w:val="0"/>
      <w:marRight w:val="0"/>
      <w:marTop w:val="0"/>
      <w:marBottom w:val="0"/>
      <w:divBdr>
        <w:top w:val="none" w:sz="0" w:space="0" w:color="auto"/>
        <w:left w:val="none" w:sz="0" w:space="0" w:color="auto"/>
        <w:bottom w:val="none" w:sz="0" w:space="0" w:color="auto"/>
        <w:right w:val="none" w:sz="0" w:space="0" w:color="auto"/>
      </w:divBdr>
    </w:div>
    <w:div w:id="3212057">
      <w:bodyDiv w:val="1"/>
      <w:marLeft w:val="0"/>
      <w:marRight w:val="0"/>
      <w:marTop w:val="0"/>
      <w:marBottom w:val="0"/>
      <w:divBdr>
        <w:top w:val="none" w:sz="0" w:space="0" w:color="auto"/>
        <w:left w:val="none" w:sz="0" w:space="0" w:color="auto"/>
        <w:bottom w:val="none" w:sz="0" w:space="0" w:color="auto"/>
        <w:right w:val="none" w:sz="0" w:space="0" w:color="auto"/>
      </w:divBdr>
    </w:div>
    <w:div w:id="3746245">
      <w:bodyDiv w:val="1"/>
      <w:marLeft w:val="0"/>
      <w:marRight w:val="0"/>
      <w:marTop w:val="0"/>
      <w:marBottom w:val="0"/>
      <w:divBdr>
        <w:top w:val="none" w:sz="0" w:space="0" w:color="auto"/>
        <w:left w:val="none" w:sz="0" w:space="0" w:color="auto"/>
        <w:bottom w:val="none" w:sz="0" w:space="0" w:color="auto"/>
        <w:right w:val="none" w:sz="0" w:space="0" w:color="auto"/>
      </w:divBdr>
    </w:div>
    <w:div w:id="4409082">
      <w:bodyDiv w:val="1"/>
      <w:marLeft w:val="0"/>
      <w:marRight w:val="0"/>
      <w:marTop w:val="0"/>
      <w:marBottom w:val="0"/>
      <w:divBdr>
        <w:top w:val="none" w:sz="0" w:space="0" w:color="auto"/>
        <w:left w:val="none" w:sz="0" w:space="0" w:color="auto"/>
        <w:bottom w:val="none" w:sz="0" w:space="0" w:color="auto"/>
        <w:right w:val="none" w:sz="0" w:space="0" w:color="auto"/>
      </w:divBdr>
    </w:div>
    <w:div w:id="6757423">
      <w:bodyDiv w:val="1"/>
      <w:marLeft w:val="0"/>
      <w:marRight w:val="0"/>
      <w:marTop w:val="0"/>
      <w:marBottom w:val="0"/>
      <w:divBdr>
        <w:top w:val="none" w:sz="0" w:space="0" w:color="auto"/>
        <w:left w:val="none" w:sz="0" w:space="0" w:color="auto"/>
        <w:bottom w:val="none" w:sz="0" w:space="0" w:color="auto"/>
        <w:right w:val="none" w:sz="0" w:space="0" w:color="auto"/>
      </w:divBdr>
    </w:div>
    <w:div w:id="6759551">
      <w:bodyDiv w:val="1"/>
      <w:marLeft w:val="0"/>
      <w:marRight w:val="0"/>
      <w:marTop w:val="0"/>
      <w:marBottom w:val="0"/>
      <w:divBdr>
        <w:top w:val="none" w:sz="0" w:space="0" w:color="auto"/>
        <w:left w:val="none" w:sz="0" w:space="0" w:color="auto"/>
        <w:bottom w:val="none" w:sz="0" w:space="0" w:color="auto"/>
        <w:right w:val="none" w:sz="0" w:space="0" w:color="auto"/>
      </w:divBdr>
    </w:div>
    <w:div w:id="7099016">
      <w:bodyDiv w:val="1"/>
      <w:marLeft w:val="0"/>
      <w:marRight w:val="0"/>
      <w:marTop w:val="0"/>
      <w:marBottom w:val="0"/>
      <w:divBdr>
        <w:top w:val="none" w:sz="0" w:space="0" w:color="auto"/>
        <w:left w:val="none" w:sz="0" w:space="0" w:color="auto"/>
        <w:bottom w:val="none" w:sz="0" w:space="0" w:color="auto"/>
        <w:right w:val="none" w:sz="0" w:space="0" w:color="auto"/>
      </w:divBdr>
    </w:div>
    <w:div w:id="8219328">
      <w:bodyDiv w:val="1"/>
      <w:marLeft w:val="0"/>
      <w:marRight w:val="0"/>
      <w:marTop w:val="0"/>
      <w:marBottom w:val="0"/>
      <w:divBdr>
        <w:top w:val="none" w:sz="0" w:space="0" w:color="auto"/>
        <w:left w:val="none" w:sz="0" w:space="0" w:color="auto"/>
        <w:bottom w:val="none" w:sz="0" w:space="0" w:color="auto"/>
        <w:right w:val="none" w:sz="0" w:space="0" w:color="auto"/>
      </w:divBdr>
    </w:div>
    <w:div w:id="8797129">
      <w:bodyDiv w:val="1"/>
      <w:marLeft w:val="0"/>
      <w:marRight w:val="0"/>
      <w:marTop w:val="0"/>
      <w:marBottom w:val="0"/>
      <w:divBdr>
        <w:top w:val="none" w:sz="0" w:space="0" w:color="auto"/>
        <w:left w:val="none" w:sz="0" w:space="0" w:color="auto"/>
        <w:bottom w:val="none" w:sz="0" w:space="0" w:color="auto"/>
        <w:right w:val="none" w:sz="0" w:space="0" w:color="auto"/>
      </w:divBdr>
    </w:div>
    <w:div w:id="9113779">
      <w:bodyDiv w:val="1"/>
      <w:marLeft w:val="0"/>
      <w:marRight w:val="0"/>
      <w:marTop w:val="0"/>
      <w:marBottom w:val="0"/>
      <w:divBdr>
        <w:top w:val="none" w:sz="0" w:space="0" w:color="auto"/>
        <w:left w:val="none" w:sz="0" w:space="0" w:color="auto"/>
        <w:bottom w:val="none" w:sz="0" w:space="0" w:color="auto"/>
        <w:right w:val="none" w:sz="0" w:space="0" w:color="auto"/>
      </w:divBdr>
    </w:div>
    <w:div w:id="9182989">
      <w:bodyDiv w:val="1"/>
      <w:marLeft w:val="0"/>
      <w:marRight w:val="0"/>
      <w:marTop w:val="0"/>
      <w:marBottom w:val="0"/>
      <w:divBdr>
        <w:top w:val="none" w:sz="0" w:space="0" w:color="auto"/>
        <w:left w:val="none" w:sz="0" w:space="0" w:color="auto"/>
        <w:bottom w:val="none" w:sz="0" w:space="0" w:color="auto"/>
        <w:right w:val="none" w:sz="0" w:space="0" w:color="auto"/>
      </w:divBdr>
    </w:div>
    <w:div w:id="11347276">
      <w:bodyDiv w:val="1"/>
      <w:marLeft w:val="0"/>
      <w:marRight w:val="0"/>
      <w:marTop w:val="0"/>
      <w:marBottom w:val="0"/>
      <w:divBdr>
        <w:top w:val="none" w:sz="0" w:space="0" w:color="auto"/>
        <w:left w:val="none" w:sz="0" w:space="0" w:color="auto"/>
        <w:bottom w:val="none" w:sz="0" w:space="0" w:color="auto"/>
        <w:right w:val="none" w:sz="0" w:space="0" w:color="auto"/>
      </w:divBdr>
    </w:div>
    <w:div w:id="13462999">
      <w:bodyDiv w:val="1"/>
      <w:marLeft w:val="0"/>
      <w:marRight w:val="0"/>
      <w:marTop w:val="0"/>
      <w:marBottom w:val="0"/>
      <w:divBdr>
        <w:top w:val="none" w:sz="0" w:space="0" w:color="auto"/>
        <w:left w:val="none" w:sz="0" w:space="0" w:color="auto"/>
        <w:bottom w:val="none" w:sz="0" w:space="0" w:color="auto"/>
        <w:right w:val="none" w:sz="0" w:space="0" w:color="auto"/>
      </w:divBdr>
    </w:div>
    <w:div w:id="13770606">
      <w:bodyDiv w:val="1"/>
      <w:marLeft w:val="0"/>
      <w:marRight w:val="0"/>
      <w:marTop w:val="0"/>
      <w:marBottom w:val="0"/>
      <w:divBdr>
        <w:top w:val="none" w:sz="0" w:space="0" w:color="auto"/>
        <w:left w:val="none" w:sz="0" w:space="0" w:color="auto"/>
        <w:bottom w:val="none" w:sz="0" w:space="0" w:color="auto"/>
        <w:right w:val="none" w:sz="0" w:space="0" w:color="auto"/>
      </w:divBdr>
    </w:div>
    <w:div w:id="13965627">
      <w:bodyDiv w:val="1"/>
      <w:marLeft w:val="0"/>
      <w:marRight w:val="0"/>
      <w:marTop w:val="0"/>
      <w:marBottom w:val="0"/>
      <w:divBdr>
        <w:top w:val="none" w:sz="0" w:space="0" w:color="auto"/>
        <w:left w:val="none" w:sz="0" w:space="0" w:color="auto"/>
        <w:bottom w:val="none" w:sz="0" w:space="0" w:color="auto"/>
        <w:right w:val="none" w:sz="0" w:space="0" w:color="auto"/>
      </w:divBdr>
    </w:div>
    <w:div w:id="14619832">
      <w:bodyDiv w:val="1"/>
      <w:marLeft w:val="0"/>
      <w:marRight w:val="0"/>
      <w:marTop w:val="0"/>
      <w:marBottom w:val="0"/>
      <w:divBdr>
        <w:top w:val="none" w:sz="0" w:space="0" w:color="auto"/>
        <w:left w:val="none" w:sz="0" w:space="0" w:color="auto"/>
        <w:bottom w:val="none" w:sz="0" w:space="0" w:color="auto"/>
        <w:right w:val="none" w:sz="0" w:space="0" w:color="auto"/>
      </w:divBdr>
    </w:div>
    <w:div w:id="14889877">
      <w:bodyDiv w:val="1"/>
      <w:marLeft w:val="0"/>
      <w:marRight w:val="0"/>
      <w:marTop w:val="0"/>
      <w:marBottom w:val="0"/>
      <w:divBdr>
        <w:top w:val="none" w:sz="0" w:space="0" w:color="auto"/>
        <w:left w:val="none" w:sz="0" w:space="0" w:color="auto"/>
        <w:bottom w:val="none" w:sz="0" w:space="0" w:color="auto"/>
        <w:right w:val="none" w:sz="0" w:space="0" w:color="auto"/>
      </w:divBdr>
    </w:div>
    <w:div w:id="16011216">
      <w:bodyDiv w:val="1"/>
      <w:marLeft w:val="0"/>
      <w:marRight w:val="0"/>
      <w:marTop w:val="0"/>
      <w:marBottom w:val="0"/>
      <w:divBdr>
        <w:top w:val="none" w:sz="0" w:space="0" w:color="auto"/>
        <w:left w:val="none" w:sz="0" w:space="0" w:color="auto"/>
        <w:bottom w:val="none" w:sz="0" w:space="0" w:color="auto"/>
        <w:right w:val="none" w:sz="0" w:space="0" w:color="auto"/>
      </w:divBdr>
    </w:div>
    <w:div w:id="16543334">
      <w:bodyDiv w:val="1"/>
      <w:marLeft w:val="0"/>
      <w:marRight w:val="0"/>
      <w:marTop w:val="0"/>
      <w:marBottom w:val="0"/>
      <w:divBdr>
        <w:top w:val="none" w:sz="0" w:space="0" w:color="auto"/>
        <w:left w:val="none" w:sz="0" w:space="0" w:color="auto"/>
        <w:bottom w:val="none" w:sz="0" w:space="0" w:color="auto"/>
        <w:right w:val="none" w:sz="0" w:space="0" w:color="auto"/>
      </w:divBdr>
    </w:div>
    <w:div w:id="20715874">
      <w:bodyDiv w:val="1"/>
      <w:marLeft w:val="0"/>
      <w:marRight w:val="0"/>
      <w:marTop w:val="0"/>
      <w:marBottom w:val="0"/>
      <w:divBdr>
        <w:top w:val="none" w:sz="0" w:space="0" w:color="auto"/>
        <w:left w:val="none" w:sz="0" w:space="0" w:color="auto"/>
        <w:bottom w:val="none" w:sz="0" w:space="0" w:color="auto"/>
        <w:right w:val="none" w:sz="0" w:space="0" w:color="auto"/>
      </w:divBdr>
    </w:div>
    <w:div w:id="20862087">
      <w:bodyDiv w:val="1"/>
      <w:marLeft w:val="0"/>
      <w:marRight w:val="0"/>
      <w:marTop w:val="0"/>
      <w:marBottom w:val="0"/>
      <w:divBdr>
        <w:top w:val="none" w:sz="0" w:space="0" w:color="auto"/>
        <w:left w:val="none" w:sz="0" w:space="0" w:color="auto"/>
        <w:bottom w:val="none" w:sz="0" w:space="0" w:color="auto"/>
        <w:right w:val="none" w:sz="0" w:space="0" w:color="auto"/>
      </w:divBdr>
    </w:div>
    <w:div w:id="24646278">
      <w:bodyDiv w:val="1"/>
      <w:marLeft w:val="0"/>
      <w:marRight w:val="0"/>
      <w:marTop w:val="0"/>
      <w:marBottom w:val="0"/>
      <w:divBdr>
        <w:top w:val="none" w:sz="0" w:space="0" w:color="auto"/>
        <w:left w:val="none" w:sz="0" w:space="0" w:color="auto"/>
        <w:bottom w:val="none" w:sz="0" w:space="0" w:color="auto"/>
        <w:right w:val="none" w:sz="0" w:space="0" w:color="auto"/>
      </w:divBdr>
    </w:div>
    <w:div w:id="25183508">
      <w:bodyDiv w:val="1"/>
      <w:marLeft w:val="0"/>
      <w:marRight w:val="0"/>
      <w:marTop w:val="0"/>
      <w:marBottom w:val="0"/>
      <w:divBdr>
        <w:top w:val="none" w:sz="0" w:space="0" w:color="auto"/>
        <w:left w:val="none" w:sz="0" w:space="0" w:color="auto"/>
        <w:bottom w:val="none" w:sz="0" w:space="0" w:color="auto"/>
        <w:right w:val="none" w:sz="0" w:space="0" w:color="auto"/>
      </w:divBdr>
    </w:div>
    <w:div w:id="25451052">
      <w:bodyDiv w:val="1"/>
      <w:marLeft w:val="0"/>
      <w:marRight w:val="0"/>
      <w:marTop w:val="0"/>
      <w:marBottom w:val="0"/>
      <w:divBdr>
        <w:top w:val="none" w:sz="0" w:space="0" w:color="auto"/>
        <w:left w:val="none" w:sz="0" w:space="0" w:color="auto"/>
        <w:bottom w:val="none" w:sz="0" w:space="0" w:color="auto"/>
        <w:right w:val="none" w:sz="0" w:space="0" w:color="auto"/>
      </w:divBdr>
    </w:div>
    <w:div w:id="27293320">
      <w:bodyDiv w:val="1"/>
      <w:marLeft w:val="0"/>
      <w:marRight w:val="0"/>
      <w:marTop w:val="0"/>
      <w:marBottom w:val="0"/>
      <w:divBdr>
        <w:top w:val="none" w:sz="0" w:space="0" w:color="auto"/>
        <w:left w:val="none" w:sz="0" w:space="0" w:color="auto"/>
        <w:bottom w:val="none" w:sz="0" w:space="0" w:color="auto"/>
        <w:right w:val="none" w:sz="0" w:space="0" w:color="auto"/>
      </w:divBdr>
    </w:div>
    <w:div w:id="29914363">
      <w:bodyDiv w:val="1"/>
      <w:marLeft w:val="0"/>
      <w:marRight w:val="0"/>
      <w:marTop w:val="0"/>
      <w:marBottom w:val="0"/>
      <w:divBdr>
        <w:top w:val="none" w:sz="0" w:space="0" w:color="auto"/>
        <w:left w:val="none" w:sz="0" w:space="0" w:color="auto"/>
        <w:bottom w:val="none" w:sz="0" w:space="0" w:color="auto"/>
        <w:right w:val="none" w:sz="0" w:space="0" w:color="auto"/>
      </w:divBdr>
    </w:div>
    <w:div w:id="31150062">
      <w:bodyDiv w:val="1"/>
      <w:marLeft w:val="0"/>
      <w:marRight w:val="0"/>
      <w:marTop w:val="0"/>
      <w:marBottom w:val="0"/>
      <w:divBdr>
        <w:top w:val="none" w:sz="0" w:space="0" w:color="auto"/>
        <w:left w:val="none" w:sz="0" w:space="0" w:color="auto"/>
        <w:bottom w:val="none" w:sz="0" w:space="0" w:color="auto"/>
        <w:right w:val="none" w:sz="0" w:space="0" w:color="auto"/>
      </w:divBdr>
    </w:div>
    <w:div w:id="31619672">
      <w:bodyDiv w:val="1"/>
      <w:marLeft w:val="0"/>
      <w:marRight w:val="0"/>
      <w:marTop w:val="0"/>
      <w:marBottom w:val="0"/>
      <w:divBdr>
        <w:top w:val="none" w:sz="0" w:space="0" w:color="auto"/>
        <w:left w:val="none" w:sz="0" w:space="0" w:color="auto"/>
        <w:bottom w:val="none" w:sz="0" w:space="0" w:color="auto"/>
        <w:right w:val="none" w:sz="0" w:space="0" w:color="auto"/>
      </w:divBdr>
    </w:div>
    <w:div w:id="31806079">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427304">
      <w:bodyDiv w:val="1"/>
      <w:marLeft w:val="0"/>
      <w:marRight w:val="0"/>
      <w:marTop w:val="0"/>
      <w:marBottom w:val="0"/>
      <w:divBdr>
        <w:top w:val="none" w:sz="0" w:space="0" w:color="auto"/>
        <w:left w:val="none" w:sz="0" w:space="0" w:color="auto"/>
        <w:bottom w:val="none" w:sz="0" w:space="0" w:color="auto"/>
        <w:right w:val="none" w:sz="0" w:space="0" w:color="auto"/>
      </w:divBdr>
    </w:div>
    <w:div w:id="34161585">
      <w:bodyDiv w:val="1"/>
      <w:marLeft w:val="0"/>
      <w:marRight w:val="0"/>
      <w:marTop w:val="0"/>
      <w:marBottom w:val="0"/>
      <w:divBdr>
        <w:top w:val="none" w:sz="0" w:space="0" w:color="auto"/>
        <w:left w:val="none" w:sz="0" w:space="0" w:color="auto"/>
        <w:bottom w:val="none" w:sz="0" w:space="0" w:color="auto"/>
        <w:right w:val="none" w:sz="0" w:space="0" w:color="auto"/>
      </w:divBdr>
    </w:div>
    <w:div w:id="34894346">
      <w:bodyDiv w:val="1"/>
      <w:marLeft w:val="0"/>
      <w:marRight w:val="0"/>
      <w:marTop w:val="0"/>
      <w:marBottom w:val="0"/>
      <w:divBdr>
        <w:top w:val="none" w:sz="0" w:space="0" w:color="auto"/>
        <w:left w:val="none" w:sz="0" w:space="0" w:color="auto"/>
        <w:bottom w:val="none" w:sz="0" w:space="0" w:color="auto"/>
        <w:right w:val="none" w:sz="0" w:space="0" w:color="auto"/>
      </w:divBdr>
    </w:div>
    <w:div w:id="36590879">
      <w:bodyDiv w:val="1"/>
      <w:marLeft w:val="0"/>
      <w:marRight w:val="0"/>
      <w:marTop w:val="0"/>
      <w:marBottom w:val="0"/>
      <w:divBdr>
        <w:top w:val="none" w:sz="0" w:space="0" w:color="auto"/>
        <w:left w:val="none" w:sz="0" w:space="0" w:color="auto"/>
        <w:bottom w:val="none" w:sz="0" w:space="0" w:color="auto"/>
        <w:right w:val="none" w:sz="0" w:space="0" w:color="auto"/>
      </w:divBdr>
    </w:div>
    <w:div w:id="38357460">
      <w:bodyDiv w:val="1"/>
      <w:marLeft w:val="0"/>
      <w:marRight w:val="0"/>
      <w:marTop w:val="0"/>
      <w:marBottom w:val="0"/>
      <w:divBdr>
        <w:top w:val="none" w:sz="0" w:space="0" w:color="auto"/>
        <w:left w:val="none" w:sz="0" w:space="0" w:color="auto"/>
        <w:bottom w:val="none" w:sz="0" w:space="0" w:color="auto"/>
        <w:right w:val="none" w:sz="0" w:space="0" w:color="auto"/>
      </w:divBdr>
    </w:div>
    <w:div w:id="38945900">
      <w:bodyDiv w:val="1"/>
      <w:marLeft w:val="0"/>
      <w:marRight w:val="0"/>
      <w:marTop w:val="0"/>
      <w:marBottom w:val="0"/>
      <w:divBdr>
        <w:top w:val="none" w:sz="0" w:space="0" w:color="auto"/>
        <w:left w:val="none" w:sz="0" w:space="0" w:color="auto"/>
        <w:bottom w:val="none" w:sz="0" w:space="0" w:color="auto"/>
        <w:right w:val="none" w:sz="0" w:space="0" w:color="auto"/>
      </w:divBdr>
    </w:div>
    <w:div w:id="40136705">
      <w:bodyDiv w:val="1"/>
      <w:marLeft w:val="0"/>
      <w:marRight w:val="0"/>
      <w:marTop w:val="0"/>
      <w:marBottom w:val="0"/>
      <w:divBdr>
        <w:top w:val="none" w:sz="0" w:space="0" w:color="auto"/>
        <w:left w:val="none" w:sz="0" w:space="0" w:color="auto"/>
        <w:bottom w:val="none" w:sz="0" w:space="0" w:color="auto"/>
        <w:right w:val="none" w:sz="0" w:space="0" w:color="auto"/>
      </w:divBdr>
    </w:div>
    <w:div w:id="40247831">
      <w:bodyDiv w:val="1"/>
      <w:marLeft w:val="0"/>
      <w:marRight w:val="0"/>
      <w:marTop w:val="0"/>
      <w:marBottom w:val="0"/>
      <w:divBdr>
        <w:top w:val="none" w:sz="0" w:space="0" w:color="auto"/>
        <w:left w:val="none" w:sz="0" w:space="0" w:color="auto"/>
        <w:bottom w:val="none" w:sz="0" w:space="0" w:color="auto"/>
        <w:right w:val="none" w:sz="0" w:space="0" w:color="auto"/>
      </w:divBdr>
    </w:div>
    <w:div w:id="40710231">
      <w:bodyDiv w:val="1"/>
      <w:marLeft w:val="0"/>
      <w:marRight w:val="0"/>
      <w:marTop w:val="0"/>
      <w:marBottom w:val="0"/>
      <w:divBdr>
        <w:top w:val="none" w:sz="0" w:space="0" w:color="auto"/>
        <w:left w:val="none" w:sz="0" w:space="0" w:color="auto"/>
        <w:bottom w:val="none" w:sz="0" w:space="0" w:color="auto"/>
        <w:right w:val="none" w:sz="0" w:space="0" w:color="auto"/>
      </w:divBdr>
    </w:div>
    <w:div w:id="42104464">
      <w:bodyDiv w:val="1"/>
      <w:marLeft w:val="0"/>
      <w:marRight w:val="0"/>
      <w:marTop w:val="0"/>
      <w:marBottom w:val="0"/>
      <w:divBdr>
        <w:top w:val="none" w:sz="0" w:space="0" w:color="auto"/>
        <w:left w:val="none" w:sz="0" w:space="0" w:color="auto"/>
        <w:bottom w:val="none" w:sz="0" w:space="0" w:color="auto"/>
        <w:right w:val="none" w:sz="0" w:space="0" w:color="auto"/>
      </w:divBdr>
    </w:div>
    <w:div w:id="44261025">
      <w:bodyDiv w:val="1"/>
      <w:marLeft w:val="0"/>
      <w:marRight w:val="0"/>
      <w:marTop w:val="0"/>
      <w:marBottom w:val="0"/>
      <w:divBdr>
        <w:top w:val="none" w:sz="0" w:space="0" w:color="auto"/>
        <w:left w:val="none" w:sz="0" w:space="0" w:color="auto"/>
        <w:bottom w:val="none" w:sz="0" w:space="0" w:color="auto"/>
        <w:right w:val="none" w:sz="0" w:space="0" w:color="auto"/>
      </w:divBdr>
    </w:div>
    <w:div w:id="44304657">
      <w:bodyDiv w:val="1"/>
      <w:marLeft w:val="0"/>
      <w:marRight w:val="0"/>
      <w:marTop w:val="0"/>
      <w:marBottom w:val="0"/>
      <w:divBdr>
        <w:top w:val="none" w:sz="0" w:space="0" w:color="auto"/>
        <w:left w:val="none" w:sz="0" w:space="0" w:color="auto"/>
        <w:bottom w:val="none" w:sz="0" w:space="0" w:color="auto"/>
        <w:right w:val="none" w:sz="0" w:space="0" w:color="auto"/>
      </w:divBdr>
    </w:div>
    <w:div w:id="44455494">
      <w:bodyDiv w:val="1"/>
      <w:marLeft w:val="0"/>
      <w:marRight w:val="0"/>
      <w:marTop w:val="0"/>
      <w:marBottom w:val="0"/>
      <w:divBdr>
        <w:top w:val="none" w:sz="0" w:space="0" w:color="auto"/>
        <w:left w:val="none" w:sz="0" w:space="0" w:color="auto"/>
        <w:bottom w:val="none" w:sz="0" w:space="0" w:color="auto"/>
        <w:right w:val="none" w:sz="0" w:space="0" w:color="auto"/>
      </w:divBdr>
    </w:div>
    <w:div w:id="46956365">
      <w:bodyDiv w:val="1"/>
      <w:marLeft w:val="0"/>
      <w:marRight w:val="0"/>
      <w:marTop w:val="0"/>
      <w:marBottom w:val="0"/>
      <w:divBdr>
        <w:top w:val="none" w:sz="0" w:space="0" w:color="auto"/>
        <w:left w:val="none" w:sz="0" w:space="0" w:color="auto"/>
        <w:bottom w:val="none" w:sz="0" w:space="0" w:color="auto"/>
        <w:right w:val="none" w:sz="0" w:space="0" w:color="auto"/>
      </w:divBdr>
    </w:div>
    <w:div w:id="47074989">
      <w:bodyDiv w:val="1"/>
      <w:marLeft w:val="0"/>
      <w:marRight w:val="0"/>
      <w:marTop w:val="0"/>
      <w:marBottom w:val="0"/>
      <w:divBdr>
        <w:top w:val="none" w:sz="0" w:space="0" w:color="auto"/>
        <w:left w:val="none" w:sz="0" w:space="0" w:color="auto"/>
        <w:bottom w:val="none" w:sz="0" w:space="0" w:color="auto"/>
        <w:right w:val="none" w:sz="0" w:space="0" w:color="auto"/>
      </w:divBdr>
    </w:div>
    <w:div w:id="47607996">
      <w:bodyDiv w:val="1"/>
      <w:marLeft w:val="0"/>
      <w:marRight w:val="0"/>
      <w:marTop w:val="0"/>
      <w:marBottom w:val="0"/>
      <w:divBdr>
        <w:top w:val="none" w:sz="0" w:space="0" w:color="auto"/>
        <w:left w:val="none" w:sz="0" w:space="0" w:color="auto"/>
        <w:bottom w:val="none" w:sz="0" w:space="0" w:color="auto"/>
        <w:right w:val="none" w:sz="0" w:space="0" w:color="auto"/>
      </w:divBdr>
    </w:div>
    <w:div w:id="47725969">
      <w:bodyDiv w:val="1"/>
      <w:marLeft w:val="0"/>
      <w:marRight w:val="0"/>
      <w:marTop w:val="0"/>
      <w:marBottom w:val="0"/>
      <w:divBdr>
        <w:top w:val="none" w:sz="0" w:space="0" w:color="auto"/>
        <w:left w:val="none" w:sz="0" w:space="0" w:color="auto"/>
        <w:bottom w:val="none" w:sz="0" w:space="0" w:color="auto"/>
        <w:right w:val="none" w:sz="0" w:space="0" w:color="auto"/>
      </w:divBdr>
    </w:div>
    <w:div w:id="48190925">
      <w:bodyDiv w:val="1"/>
      <w:marLeft w:val="0"/>
      <w:marRight w:val="0"/>
      <w:marTop w:val="0"/>
      <w:marBottom w:val="0"/>
      <w:divBdr>
        <w:top w:val="none" w:sz="0" w:space="0" w:color="auto"/>
        <w:left w:val="none" w:sz="0" w:space="0" w:color="auto"/>
        <w:bottom w:val="none" w:sz="0" w:space="0" w:color="auto"/>
        <w:right w:val="none" w:sz="0" w:space="0" w:color="auto"/>
      </w:divBdr>
    </w:div>
    <w:div w:id="48918202">
      <w:bodyDiv w:val="1"/>
      <w:marLeft w:val="0"/>
      <w:marRight w:val="0"/>
      <w:marTop w:val="0"/>
      <w:marBottom w:val="0"/>
      <w:divBdr>
        <w:top w:val="none" w:sz="0" w:space="0" w:color="auto"/>
        <w:left w:val="none" w:sz="0" w:space="0" w:color="auto"/>
        <w:bottom w:val="none" w:sz="0" w:space="0" w:color="auto"/>
        <w:right w:val="none" w:sz="0" w:space="0" w:color="auto"/>
      </w:divBdr>
    </w:div>
    <w:div w:id="50539788">
      <w:bodyDiv w:val="1"/>
      <w:marLeft w:val="0"/>
      <w:marRight w:val="0"/>
      <w:marTop w:val="0"/>
      <w:marBottom w:val="0"/>
      <w:divBdr>
        <w:top w:val="none" w:sz="0" w:space="0" w:color="auto"/>
        <w:left w:val="none" w:sz="0" w:space="0" w:color="auto"/>
        <w:bottom w:val="none" w:sz="0" w:space="0" w:color="auto"/>
        <w:right w:val="none" w:sz="0" w:space="0" w:color="auto"/>
      </w:divBdr>
    </w:div>
    <w:div w:id="50735027">
      <w:bodyDiv w:val="1"/>
      <w:marLeft w:val="0"/>
      <w:marRight w:val="0"/>
      <w:marTop w:val="0"/>
      <w:marBottom w:val="0"/>
      <w:divBdr>
        <w:top w:val="none" w:sz="0" w:space="0" w:color="auto"/>
        <w:left w:val="none" w:sz="0" w:space="0" w:color="auto"/>
        <w:bottom w:val="none" w:sz="0" w:space="0" w:color="auto"/>
        <w:right w:val="none" w:sz="0" w:space="0" w:color="auto"/>
      </w:divBdr>
    </w:div>
    <w:div w:id="51931132">
      <w:bodyDiv w:val="1"/>
      <w:marLeft w:val="0"/>
      <w:marRight w:val="0"/>
      <w:marTop w:val="0"/>
      <w:marBottom w:val="0"/>
      <w:divBdr>
        <w:top w:val="none" w:sz="0" w:space="0" w:color="auto"/>
        <w:left w:val="none" w:sz="0" w:space="0" w:color="auto"/>
        <w:bottom w:val="none" w:sz="0" w:space="0" w:color="auto"/>
        <w:right w:val="none" w:sz="0" w:space="0" w:color="auto"/>
      </w:divBdr>
    </w:div>
    <w:div w:id="52434775">
      <w:bodyDiv w:val="1"/>
      <w:marLeft w:val="0"/>
      <w:marRight w:val="0"/>
      <w:marTop w:val="0"/>
      <w:marBottom w:val="0"/>
      <w:divBdr>
        <w:top w:val="none" w:sz="0" w:space="0" w:color="auto"/>
        <w:left w:val="none" w:sz="0" w:space="0" w:color="auto"/>
        <w:bottom w:val="none" w:sz="0" w:space="0" w:color="auto"/>
        <w:right w:val="none" w:sz="0" w:space="0" w:color="auto"/>
      </w:divBdr>
    </w:div>
    <w:div w:id="52506229">
      <w:bodyDiv w:val="1"/>
      <w:marLeft w:val="0"/>
      <w:marRight w:val="0"/>
      <w:marTop w:val="0"/>
      <w:marBottom w:val="0"/>
      <w:divBdr>
        <w:top w:val="none" w:sz="0" w:space="0" w:color="auto"/>
        <w:left w:val="none" w:sz="0" w:space="0" w:color="auto"/>
        <w:bottom w:val="none" w:sz="0" w:space="0" w:color="auto"/>
        <w:right w:val="none" w:sz="0" w:space="0" w:color="auto"/>
      </w:divBdr>
    </w:div>
    <w:div w:id="53089213">
      <w:bodyDiv w:val="1"/>
      <w:marLeft w:val="0"/>
      <w:marRight w:val="0"/>
      <w:marTop w:val="0"/>
      <w:marBottom w:val="0"/>
      <w:divBdr>
        <w:top w:val="none" w:sz="0" w:space="0" w:color="auto"/>
        <w:left w:val="none" w:sz="0" w:space="0" w:color="auto"/>
        <w:bottom w:val="none" w:sz="0" w:space="0" w:color="auto"/>
        <w:right w:val="none" w:sz="0" w:space="0" w:color="auto"/>
      </w:divBdr>
    </w:div>
    <w:div w:id="53621340">
      <w:bodyDiv w:val="1"/>
      <w:marLeft w:val="0"/>
      <w:marRight w:val="0"/>
      <w:marTop w:val="0"/>
      <w:marBottom w:val="0"/>
      <w:divBdr>
        <w:top w:val="none" w:sz="0" w:space="0" w:color="auto"/>
        <w:left w:val="none" w:sz="0" w:space="0" w:color="auto"/>
        <w:bottom w:val="none" w:sz="0" w:space="0" w:color="auto"/>
        <w:right w:val="none" w:sz="0" w:space="0" w:color="auto"/>
      </w:divBdr>
    </w:div>
    <w:div w:id="54160324">
      <w:bodyDiv w:val="1"/>
      <w:marLeft w:val="0"/>
      <w:marRight w:val="0"/>
      <w:marTop w:val="0"/>
      <w:marBottom w:val="0"/>
      <w:divBdr>
        <w:top w:val="none" w:sz="0" w:space="0" w:color="auto"/>
        <w:left w:val="none" w:sz="0" w:space="0" w:color="auto"/>
        <w:bottom w:val="none" w:sz="0" w:space="0" w:color="auto"/>
        <w:right w:val="none" w:sz="0" w:space="0" w:color="auto"/>
      </w:divBdr>
    </w:div>
    <w:div w:id="57824439">
      <w:bodyDiv w:val="1"/>
      <w:marLeft w:val="0"/>
      <w:marRight w:val="0"/>
      <w:marTop w:val="0"/>
      <w:marBottom w:val="0"/>
      <w:divBdr>
        <w:top w:val="none" w:sz="0" w:space="0" w:color="auto"/>
        <w:left w:val="none" w:sz="0" w:space="0" w:color="auto"/>
        <w:bottom w:val="none" w:sz="0" w:space="0" w:color="auto"/>
        <w:right w:val="none" w:sz="0" w:space="0" w:color="auto"/>
      </w:divBdr>
    </w:div>
    <w:div w:id="58289615">
      <w:bodyDiv w:val="1"/>
      <w:marLeft w:val="0"/>
      <w:marRight w:val="0"/>
      <w:marTop w:val="0"/>
      <w:marBottom w:val="0"/>
      <w:divBdr>
        <w:top w:val="none" w:sz="0" w:space="0" w:color="auto"/>
        <w:left w:val="none" w:sz="0" w:space="0" w:color="auto"/>
        <w:bottom w:val="none" w:sz="0" w:space="0" w:color="auto"/>
        <w:right w:val="none" w:sz="0" w:space="0" w:color="auto"/>
      </w:divBdr>
    </w:div>
    <w:div w:id="61100043">
      <w:bodyDiv w:val="1"/>
      <w:marLeft w:val="0"/>
      <w:marRight w:val="0"/>
      <w:marTop w:val="0"/>
      <w:marBottom w:val="0"/>
      <w:divBdr>
        <w:top w:val="none" w:sz="0" w:space="0" w:color="auto"/>
        <w:left w:val="none" w:sz="0" w:space="0" w:color="auto"/>
        <w:bottom w:val="none" w:sz="0" w:space="0" w:color="auto"/>
        <w:right w:val="none" w:sz="0" w:space="0" w:color="auto"/>
      </w:divBdr>
    </w:div>
    <w:div w:id="61145278">
      <w:bodyDiv w:val="1"/>
      <w:marLeft w:val="0"/>
      <w:marRight w:val="0"/>
      <w:marTop w:val="0"/>
      <w:marBottom w:val="0"/>
      <w:divBdr>
        <w:top w:val="none" w:sz="0" w:space="0" w:color="auto"/>
        <w:left w:val="none" w:sz="0" w:space="0" w:color="auto"/>
        <w:bottom w:val="none" w:sz="0" w:space="0" w:color="auto"/>
        <w:right w:val="none" w:sz="0" w:space="0" w:color="auto"/>
      </w:divBdr>
    </w:div>
    <w:div w:id="63572816">
      <w:bodyDiv w:val="1"/>
      <w:marLeft w:val="0"/>
      <w:marRight w:val="0"/>
      <w:marTop w:val="0"/>
      <w:marBottom w:val="0"/>
      <w:divBdr>
        <w:top w:val="none" w:sz="0" w:space="0" w:color="auto"/>
        <w:left w:val="none" w:sz="0" w:space="0" w:color="auto"/>
        <w:bottom w:val="none" w:sz="0" w:space="0" w:color="auto"/>
        <w:right w:val="none" w:sz="0" w:space="0" w:color="auto"/>
      </w:divBdr>
    </w:div>
    <w:div w:id="65491725">
      <w:bodyDiv w:val="1"/>
      <w:marLeft w:val="0"/>
      <w:marRight w:val="0"/>
      <w:marTop w:val="0"/>
      <w:marBottom w:val="0"/>
      <w:divBdr>
        <w:top w:val="none" w:sz="0" w:space="0" w:color="auto"/>
        <w:left w:val="none" w:sz="0" w:space="0" w:color="auto"/>
        <w:bottom w:val="none" w:sz="0" w:space="0" w:color="auto"/>
        <w:right w:val="none" w:sz="0" w:space="0" w:color="auto"/>
      </w:divBdr>
    </w:div>
    <w:div w:id="67194457">
      <w:bodyDiv w:val="1"/>
      <w:marLeft w:val="0"/>
      <w:marRight w:val="0"/>
      <w:marTop w:val="0"/>
      <w:marBottom w:val="0"/>
      <w:divBdr>
        <w:top w:val="none" w:sz="0" w:space="0" w:color="auto"/>
        <w:left w:val="none" w:sz="0" w:space="0" w:color="auto"/>
        <w:bottom w:val="none" w:sz="0" w:space="0" w:color="auto"/>
        <w:right w:val="none" w:sz="0" w:space="0" w:color="auto"/>
      </w:divBdr>
    </w:div>
    <w:div w:id="70275725">
      <w:bodyDiv w:val="1"/>
      <w:marLeft w:val="0"/>
      <w:marRight w:val="0"/>
      <w:marTop w:val="0"/>
      <w:marBottom w:val="0"/>
      <w:divBdr>
        <w:top w:val="none" w:sz="0" w:space="0" w:color="auto"/>
        <w:left w:val="none" w:sz="0" w:space="0" w:color="auto"/>
        <w:bottom w:val="none" w:sz="0" w:space="0" w:color="auto"/>
        <w:right w:val="none" w:sz="0" w:space="0" w:color="auto"/>
      </w:divBdr>
    </w:div>
    <w:div w:id="70666084">
      <w:bodyDiv w:val="1"/>
      <w:marLeft w:val="0"/>
      <w:marRight w:val="0"/>
      <w:marTop w:val="0"/>
      <w:marBottom w:val="0"/>
      <w:divBdr>
        <w:top w:val="none" w:sz="0" w:space="0" w:color="auto"/>
        <w:left w:val="none" w:sz="0" w:space="0" w:color="auto"/>
        <w:bottom w:val="none" w:sz="0" w:space="0" w:color="auto"/>
        <w:right w:val="none" w:sz="0" w:space="0" w:color="auto"/>
      </w:divBdr>
    </w:div>
    <w:div w:id="71124740">
      <w:bodyDiv w:val="1"/>
      <w:marLeft w:val="0"/>
      <w:marRight w:val="0"/>
      <w:marTop w:val="0"/>
      <w:marBottom w:val="0"/>
      <w:divBdr>
        <w:top w:val="none" w:sz="0" w:space="0" w:color="auto"/>
        <w:left w:val="none" w:sz="0" w:space="0" w:color="auto"/>
        <w:bottom w:val="none" w:sz="0" w:space="0" w:color="auto"/>
        <w:right w:val="none" w:sz="0" w:space="0" w:color="auto"/>
      </w:divBdr>
    </w:div>
    <w:div w:id="71659427">
      <w:bodyDiv w:val="1"/>
      <w:marLeft w:val="0"/>
      <w:marRight w:val="0"/>
      <w:marTop w:val="0"/>
      <w:marBottom w:val="0"/>
      <w:divBdr>
        <w:top w:val="none" w:sz="0" w:space="0" w:color="auto"/>
        <w:left w:val="none" w:sz="0" w:space="0" w:color="auto"/>
        <w:bottom w:val="none" w:sz="0" w:space="0" w:color="auto"/>
        <w:right w:val="none" w:sz="0" w:space="0" w:color="auto"/>
      </w:divBdr>
    </w:div>
    <w:div w:id="72314082">
      <w:bodyDiv w:val="1"/>
      <w:marLeft w:val="0"/>
      <w:marRight w:val="0"/>
      <w:marTop w:val="0"/>
      <w:marBottom w:val="0"/>
      <w:divBdr>
        <w:top w:val="none" w:sz="0" w:space="0" w:color="auto"/>
        <w:left w:val="none" w:sz="0" w:space="0" w:color="auto"/>
        <w:bottom w:val="none" w:sz="0" w:space="0" w:color="auto"/>
        <w:right w:val="none" w:sz="0" w:space="0" w:color="auto"/>
      </w:divBdr>
    </w:div>
    <w:div w:id="72825906">
      <w:bodyDiv w:val="1"/>
      <w:marLeft w:val="0"/>
      <w:marRight w:val="0"/>
      <w:marTop w:val="0"/>
      <w:marBottom w:val="0"/>
      <w:divBdr>
        <w:top w:val="none" w:sz="0" w:space="0" w:color="auto"/>
        <w:left w:val="none" w:sz="0" w:space="0" w:color="auto"/>
        <w:bottom w:val="none" w:sz="0" w:space="0" w:color="auto"/>
        <w:right w:val="none" w:sz="0" w:space="0" w:color="auto"/>
      </w:divBdr>
    </w:div>
    <w:div w:id="73282956">
      <w:bodyDiv w:val="1"/>
      <w:marLeft w:val="0"/>
      <w:marRight w:val="0"/>
      <w:marTop w:val="0"/>
      <w:marBottom w:val="0"/>
      <w:divBdr>
        <w:top w:val="none" w:sz="0" w:space="0" w:color="auto"/>
        <w:left w:val="none" w:sz="0" w:space="0" w:color="auto"/>
        <w:bottom w:val="none" w:sz="0" w:space="0" w:color="auto"/>
        <w:right w:val="none" w:sz="0" w:space="0" w:color="auto"/>
      </w:divBdr>
    </w:div>
    <w:div w:id="73597123">
      <w:bodyDiv w:val="1"/>
      <w:marLeft w:val="0"/>
      <w:marRight w:val="0"/>
      <w:marTop w:val="0"/>
      <w:marBottom w:val="0"/>
      <w:divBdr>
        <w:top w:val="none" w:sz="0" w:space="0" w:color="auto"/>
        <w:left w:val="none" w:sz="0" w:space="0" w:color="auto"/>
        <w:bottom w:val="none" w:sz="0" w:space="0" w:color="auto"/>
        <w:right w:val="none" w:sz="0" w:space="0" w:color="auto"/>
      </w:divBdr>
    </w:div>
    <w:div w:id="74131743">
      <w:bodyDiv w:val="1"/>
      <w:marLeft w:val="0"/>
      <w:marRight w:val="0"/>
      <w:marTop w:val="0"/>
      <w:marBottom w:val="0"/>
      <w:divBdr>
        <w:top w:val="none" w:sz="0" w:space="0" w:color="auto"/>
        <w:left w:val="none" w:sz="0" w:space="0" w:color="auto"/>
        <w:bottom w:val="none" w:sz="0" w:space="0" w:color="auto"/>
        <w:right w:val="none" w:sz="0" w:space="0" w:color="auto"/>
      </w:divBdr>
    </w:div>
    <w:div w:id="74278971">
      <w:bodyDiv w:val="1"/>
      <w:marLeft w:val="0"/>
      <w:marRight w:val="0"/>
      <w:marTop w:val="0"/>
      <w:marBottom w:val="0"/>
      <w:divBdr>
        <w:top w:val="none" w:sz="0" w:space="0" w:color="auto"/>
        <w:left w:val="none" w:sz="0" w:space="0" w:color="auto"/>
        <w:bottom w:val="none" w:sz="0" w:space="0" w:color="auto"/>
        <w:right w:val="none" w:sz="0" w:space="0" w:color="auto"/>
      </w:divBdr>
    </w:div>
    <w:div w:id="74400436">
      <w:bodyDiv w:val="1"/>
      <w:marLeft w:val="0"/>
      <w:marRight w:val="0"/>
      <w:marTop w:val="0"/>
      <w:marBottom w:val="0"/>
      <w:divBdr>
        <w:top w:val="none" w:sz="0" w:space="0" w:color="auto"/>
        <w:left w:val="none" w:sz="0" w:space="0" w:color="auto"/>
        <w:bottom w:val="none" w:sz="0" w:space="0" w:color="auto"/>
        <w:right w:val="none" w:sz="0" w:space="0" w:color="auto"/>
      </w:divBdr>
    </w:div>
    <w:div w:id="76220690">
      <w:bodyDiv w:val="1"/>
      <w:marLeft w:val="0"/>
      <w:marRight w:val="0"/>
      <w:marTop w:val="0"/>
      <w:marBottom w:val="0"/>
      <w:divBdr>
        <w:top w:val="none" w:sz="0" w:space="0" w:color="auto"/>
        <w:left w:val="none" w:sz="0" w:space="0" w:color="auto"/>
        <w:bottom w:val="none" w:sz="0" w:space="0" w:color="auto"/>
        <w:right w:val="none" w:sz="0" w:space="0" w:color="auto"/>
      </w:divBdr>
    </w:div>
    <w:div w:id="77605486">
      <w:bodyDiv w:val="1"/>
      <w:marLeft w:val="0"/>
      <w:marRight w:val="0"/>
      <w:marTop w:val="0"/>
      <w:marBottom w:val="0"/>
      <w:divBdr>
        <w:top w:val="none" w:sz="0" w:space="0" w:color="auto"/>
        <w:left w:val="none" w:sz="0" w:space="0" w:color="auto"/>
        <w:bottom w:val="none" w:sz="0" w:space="0" w:color="auto"/>
        <w:right w:val="none" w:sz="0" w:space="0" w:color="auto"/>
      </w:divBdr>
    </w:div>
    <w:div w:id="78453500">
      <w:bodyDiv w:val="1"/>
      <w:marLeft w:val="0"/>
      <w:marRight w:val="0"/>
      <w:marTop w:val="0"/>
      <w:marBottom w:val="0"/>
      <w:divBdr>
        <w:top w:val="none" w:sz="0" w:space="0" w:color="auto"/>
        <w:left w:val="none" w:sz="0" w:space="0" w:color="auto"/>
        <w:bottom w:val="none" w:sz="0" w:space="0" w:color="auto"/>
        <w:right w:val="none" w:sz="0" w:space="0" w:color="auto"/>
      </w:divBdr>
    </w:div>
    <w:div w:id="82190550">
      <w:bodyDiv w:val="1"/>
      <w:marLeft w:val="0"/>
      <w:marRight w:val="0"/>
      <w:marTop w:val="0"/>
      <w:marBottom w:val="0"/>
      <w:divBdr>
        <w:top w:val="none" w:sz="0" w:space="0" w:color="auto"/>
        <w:left w:val="none" w:sz="0" w:space="0" w:color="auto"/>
        <w:bottom w:val="none" w:sz="0" w:space="0" w:color="auto"/>
        <w:right w:val="none" w:sz="0" w:space="0" w:color="auto"/>
      </w:divBdr>
    </w:div>
    <w:div w:id="82535028">
      <w:bodyDiv w:val="1"/>
      <w:marLeft w:val="0"/>
      <w:marRight w:val="0"/>
      <w:marTop w:val="0"/>
      <w:marBottom w:val="0"/>
      <w:divBdr>
        <w:top w:val="none" w:sz="0" w:space="0" w:color="auto"/>
        <w:left w:val="none" w:sz="0" w:space="0" w:color="auto"/>
        <w:bottom w:val="none" w:sz="0" w:space="0" w:color="auto"/>
        <w:right w:val="none" w:sz="0" w:space="0" w:color="auto"/>
      </w:divBdr>
    </w:div>
    <w:div w:id="83691472">
      <w:bodyDiv w:val="1"/>
      <w:marLeft w:val="0"/>
      <w:marRight w:val="0"/>
      <w:marTop w:val="0"/>
      <w:marBottom w:val="0"/>
      <w:divBdr>
        <w:top w:val="none" w:sz="0" w:space="0" w:color="auto"/>
        <w:left w:val="none" w:sz="0" w:space="0" w:color="auto"/>
        <w:bottom w:val="none" w:sz="0" w:space="0" w:color="auto"/>
        <w:right w:val="none" w:sz="0" w:space="0" w:color="auto"/>
      </w:divBdr>
    </w:div>
    <w:div w:id="84301399">
      <w:bodyDiv w:val="1"/>
      <w:marLeft w:val="0"/>
      <w:marRight w:val="0"/>
      <w:marTop w:val="0"/>
      <w:marBottom w:val="0"/>
      <w:divBdr>
        <w:top w:val="none" w:sz="0" w:space="0" w:color="auto"/>
        <w:left w:val="none" w:sz="0" w:space="0" w:color="auto"/>
        <w:bottom w:val="none" w:sz="0" w:space="0" w:color="auto"/>
        <w:right w:val="none" w:sz="0" w:space="0" w:color="auto"/>
      </w:divBdr>
    </w:div>
    <w:div w:id="85083582">
      <w:bodyDiv w:val="1"/>
      <w:marLeft w:val="0"/>
      <w:marRight w:val="0"/>
      <w:marTop w:val="0"/>
      <w:marBottom w:val="0"/>
      <w:divBdr>
        <w:top w:val="none" w:sz="0" w:space="0" w:color="auto"/>
        <w:left w:val="none" w:sz="0" w:space="0" w:color="auto"/>
        <w:bottom w:val="none" w:sz="0" w:space="0" w:color="auto"/>
        <w:right w:val="none" w:sz="0" w:space="0" w:color="auto"/>
      </w:divBdr>
    </w:div>
    <w:div w:id="85271415">
      <w:bodyDiv w:val="1"/>
      <w:marLeft w:val="0"/>
      <w:marRight w:val="0"/>
      <w:marTop w:val="0"/>
      <w:marBottom w:val="0"/>
      <w:divBdr>
        <w:top w:val="none" w:sz="0" w:space="0" w:color="auto"/>
        <w:left w:val="none" w:sz="0" w:space="0" w:color="auto"/>
        <w:bottom w:val="none" w:sz="0" w:space="0" w:color="auto"/>
        <w:right w:val="none" w:sz="0" w:space="0" w:color="auto"/>
      </w:divBdr>
    </w:div>
    <w:div w:id="86779050">
      <w:bodyDiv w:val="1"/>
      <w:marLeft w:val="0"/>
      <w:marRight w:val="0"/>
      <w:marTop w:val="0"/>
      <w:marBottom w:val="0"/>
      <w:divBdr>
        <w:top w:val="none" w:sz="0" w:space="0" w:color="auto"/>
        <w:left w:val="none" w:sz="0" w:space="0" w:color="auto"/>
        <w:bottom w:val="none" w:sz="0" w:space="0" w:color="auto"/>
        <w:right w:val="none" w:sz="0" w:space="0" w:color="auto"/>
      </w:divBdr>
    </w:div>
    <w:div w:id="87891856">
      <w:bodyDiv w:val="1"/>
      <w:marLeft w:val="0"/>
      <w:marRight w:val="0"/>
      <w:marTop w:val="0"/>
      <w:marBottom w:val="0"/>
      <w:divBdr>
        <w:top w:val="none" w:sz="0" w:space="0" w:color="auto"/>
        <w:left w:val="none" w:sz="0" w:space="0" w:color="auto"/>
        <w:bottom w:val="none" w:sz="0" w:space="0" w:color="auto"/>
        <w:right w:val="none" w:sz="0" w:space="0" w:color="auto"/>
      </w:divBdr>
    </w:div>
    <w:div w:id="88280420">
      <w:bodyDiv w:val="1"/>
      <w:marLeft w:val="0"/>
      <w:marRight w:val="0"/>
      <w:marTop w:val="0"/>
      <w:marBottom w:val="0"/>
      <w:divBdr>
        <w:top w:val="none" w:sz="0" w:space="0" w:color="auto"/>
        <w:left w:val="none" w:sz="0" w:space="0" w:color="auto"/>
        <w:bottom w:val="none" w:sz="0" w:space="0" w:color="auto"/>
        <w:right w:val="none" w:sz="0" w:space="0" w:color="auto"/>
      </w:divBdr>
    </w:div>
    <w:div w:id="89133079">
      <w:bodyDiv w:val="1"/>
      <w:marLeft w:val="0"/>
      <w:marRight w:val="0"/>
      <w:marTop w:val="0"/>
      <w:marBottom w:val="0"/>
      <w:divBdr>
        <w:top w:val="none" w:sz="0" w:space="0" w:color="auto"/>
        <w:left w:val="none" w:sz="0" w:space="0" w:color="auto"/>
        <w:bottom w:val="none" w:sz="0" w:space="0" w:color="auto"/>
        <w:right w:val="none" w:sz="0" w:space="0" w:color="auto"/>
      </w:divBdr>
    </w:div>
    <w:div w:id="91242346">
      <w:bodyDiv w:val="1"/>
      <w:marLeft w:val="0"/>
      <w:marRight w:val="0"/>
      <w:marTop w:val="0"/>
      <w:marBottom w:val="0"/>
      <w:divBdr>
        <w:top w:val="none" w:sz="0" w:space="0" w:color="auto"/>
        <w:left w:val="none" w:sz="0" w:space="0" w:color="auto"/>
        <w:bottom w:val="none" w:sz="0" w:space="0" w:color="auto"/>
        <w:right w:val="none" w:sz="0" w:space="0" w:color="auto"/>
      </w:divBdr>
    </w:div>
    <w:div w:id="92635089">
      <w:bodyDiv w:val="1"/>
      <w:marLeft w:val="0"/>
      <w:marRight w:val="0"/>
      <w:marTop w:val="0"/>
      <w:marBottom w:val="0"/>
      <w:divBdr>
        <w:top w:val="none" w:sz="0" w:space="0" w:color="auto"/>
        <w:left w:val="none" w:sz="0" w:space="0" w:color="auto"/>
        <w:bottom w:val="none" w:sz="0" w:space="0" w:color="auto"/>
        <w:right w:val="none" w:sz="0" w:space="0" w:color="auto"/>
      </w:divBdr>
    </w:div>
    <w:div w:id="94862140">
      <w:bodyDiv w:val="1"/>
      <w:marLeft w:val="0"/>
      <w:marRight w:val="0"/>
      <w:marTop w:val="0"/>
      <w:marBottom w:val="0"/>
      <w:divBdr>
        <w:top w:val="none" w:sz="0" w:space="0" w:color="auto"/>
        <w:left w:val="none" w:sz="0" w:space="0" w:color="auto"/>
        <w:bottom w:val="none" w:sz="0" w:space="0" w:color="auto"/>
        <w:right w:val="none" w:sz="0" w:space="0" w:color="auto"/>
      </w:divBdr>
    </w:div>
    <w:div w:id="95909638">
      <w:bodyDiv w:val="1"/>
      <w:marLeft w:val="0"/>
      <w:marRight w:val="0"/>
      <w:marTop w:val="0"/>
      <w:marBottom w:val="0"/>
      <w:divBdr>
        <w:top w:val="none" w:sz="0" w:space="0" w:color="auto"/>
        <w:left w:val="none" w:sz="0" w:space="0" w:color="auto"/>
        <w:bottom w:val="none" w:sz="0" w:space="0" w:color="auto"/>
        <w:right w:val="none" w:sz="0" w:space="0" w:color="auto"/>
      </w:divBdr>
    </w:div>
    <w:div w:id="96142851">
      <w:bodyDiv w:val="1"/>
      <w:marLeft w:val="0"/>
      <w:marRight w:val="0"/>
      <w:marTop w:val="0"/>
      <w:marBottom w:val="0"/>
      <w:divBdr>
        <w:top w:val="none" w:sz="0" w:space="0" w:color="auto"/>
        <w:left w:val="none" w:sz="0" w:space="0" w:color="auto"/>
        <w:bottom w:val="none" w:sz="0" w:space="0" w:color="auto"/>
        <w:right w:val="none" w:sz="0" w:space="0" w:color="auto"/>
      </w:divBdr>
    </w:div>
    <w:div w:id="97600416">
      <w:bodyDiv w:val="1"/>
      <w:marLeft w:val="0"/>
      <w:marRight w:val="0"/>
      <w:marTop w:val="0"/>
      <w:marBottom w:val="0"/>
      <w:divBdr>
        <w:top w:val="none" w:sz="0" w:space="0" w:color="auto"/>
        <w:left w:val="none" w:sz="0" w:space="0" w:color="auto"/>
        <w:bottom w:val="none" w:sz="0" w:space="0" w:color="auto"/>
        <w:right w:val="none" w:sz="0" w:space="0" w:color="auto"/>
      </w:divBdr>
    </w:div>
    <w:div w:id="97605947">
      <w:bodyDiv w:val="1"/>
      <w:marLeft w:val="0"/>
      <w:marRight w:val="0"/>
      <w:marTop w:val="0"/>
      <w:marBottom w:val="0"/>
      <w:divBdr>
        <w:top w:val="none" w:sz="0" w:space="0" w:color="auto"/>
        <w:left w:val="none" w:sz="0" w:space="0" w:color="auto"/>
        <w:bottom w:val="none" w:sz="0" w:space="0" w:color="auto"/>
        <w:right w:val="none" w:sz="0" w:space="0" w:color="auto"/>
      </w:divBdr>
    </w:div>
    <w:div w:id="98839554">
      <w:bodyDiv w:val="1"/>
      <w:marLeft w:val="0"/>
      <w:marRight w:val="0"/>
      <w:marTop w:val="0"/>
      <w:marBottom w:val="0"/>
      <w:divBdr>
        <w:top w:val="none" w:sz="0" w:space="0" w:color="auto"/>
        <w:left w:val="none" w:sz="0" w:space="0" w:color="auto"/>
        <w:bottom w:val="none" w:sz="0" w:space="0" w:color="auto"/>
        <w:right w:val="none" w:sz="0" w:space="0" w:color="auto"/>
      </w:divBdr>
    </w:div>
    <w:div w:id="99841811">
      <w:bodyDiv w:val="1"/>
      <w:marLeft w:val="0"/>
      <w:marRight w:val="0"/>
      <w:marTop w:val="0"/>
      <w:marBottom w:val="0"/>
      <w:divBdr>
        <w:top w:val="none" w:sz="0" w:space="0" w:color="auto"/>
        <w:left w:val="none" w:sz="0" w:space="0" w:color="auto"/>
        <w:bottom w:val="none" w:sz="0" w:space="0" w:color="auto"/>
        <w:right w:val="none" w:sz="0" w:space="0" w:color="auto"/>
      </w:divBdr>
    </w:div>
    <w:div w:id="99961059">
      <w:bodyDiv w:val="1"/>
      <w:marLeft w:val="0"/>
      <w:marRight w:val="0"/>
      <w:marTop w:val="0"/>
      <w:marBottom w:val="0"/>
      <w:divBdr>
        <w:top w:val="none" w:sz="0" w:space="0" w:color="auto"/>
        <w:left w:val="none" w:sz="0" w:space="0" w:color="auto"/>
        <w:bottom w:val="none" w:sz="0" w:space="0" w:color="auto"/>
        <w:right w:val="none" w:sz="0" w:space="0" w:color="auto"/>
      </w:divBdr>
    </w:div>
    <w:div w:id="100028882">
      <w:bodyDiv w:val="1"/>
      <w:marLeft w:val="0"/>
      <w:marRight w:val="0"/>
      <w:marTop w:val="0"/>
      <w:marBottom w:val="0"/>
      <w:divBdr>
        <w:top w:val="none" w:sz="0" w:space="0" w:color="auto"/>
        <w:left w:val="none" w:sz="0" w:space="0" w:color="auto"/>
        <w:bottom w:val="none" w:sz="0" w:space="0" w:color="auto"/>
        <w:right w:val="none" w:sz="0" w:space="0" w:color="auto"/>
      </w:divBdr>
    </w:div>
    <w:div w:id="101149677">
      <w:bodyDiv w:val="1"/>
      <w:marLeft w:val="0"/>
      <w:marRight w:val="0"/>
      <w:marTop w:val="0"/>
      <w:marBottom w:val="0"/>
      <w:divBdr>
        <w:top w:val="none" w:sz="0" w:space="0" w:color="auto"/>
        <w:left w:val="none" w:sz="0" w:space="0" w:color="auto"/>
        <w:bottom w:val="none" w:sz="0" w:space="0" w:color="auto"/>
        <w:right w:val="none" w:sz="0" w:space="0" w:color="auto"/>
      </w:divBdr>
    </w:div>
    <w:div w:id="101613310">
      <w:bodyDiv w:val="1"/>
      <w:marLeft w:val="0"/>
      <w:marRight w:val="0"/>
      <w:marTop w:val="0"/>
      <w:marBottom w:val="0"/>
      <w:divBdr>
        <w:top w:val="none" w:sz="0" w:space="0" w:color="auto"/>
        <w:left w:val="none" w:sz="0" w:space="0" w:color="auto"/>
        <w:bottom w:val="none" w:sz="0" w:space="0" w:color="auto"/>
        <w:right w:val="none" w:sz="0" w:space="0" w:color="auto"/>
      </w:divBdr>
    </w:div>
    <w:div w:id="102002169">
      <w:bodyDiv w:val="1"/>
      <w:marLeft w:val="0"/>
      <w:marRight w:val="0"/>
      <w:marTop w:val="0"/>
      <w:marBottom w:val="0"/>
      <w:divBdr>
        <w:top w:val="none" w:sz="0" w:space="0" w:color="auto"/>
        <w:left w:val="none" w:sz="0" w:space="0" w:color="auto"/>
        <w:bottom w:val="none" w:sz="0" w:space="0" w:color="auto"/>
        <w:right w:val="none" w:sz="0" w:space="0" w:color="auto"/>
      </w:divBdr>
    </w:div>
    <w:div w:id="103235338">
      <w:bodyDiv w:val="1"/>
      <w:marLeft w:val="0"/>
      <w:marRight w:val="0"/>
      <w:marTop w:val="0"/>
      <w:marBottom w:val="0"/>
      <w:divBdr>
        <w:top w:val="none" w:sz="0" w:space="0" w:color="auto"/>
        <w:left w:val="none" w:sz="0" w:space="0" w:color="auto"/>
        <w:bottom w:val="none" w:sz="0" w:space="0" w:color="auto"/>
        <w:right w:val="none" w:sz="0" w:space="0" w:color="auto"/>
      </w:divBdr>
    </w:div>
    <w:div w:id="104615416">
      <w:bodyDiv w:val="1"/>
      <w:marLeft w:val="0"/>
      <w:marRight w:val="0"/>
      <w:marTop w:val="0"/>
      <w:marBottom w:val="0"/>
      <w:divBdr>
        <w:top w:val="none" w:sz="0" w:space="0" w:color="auto"/>
        <w:left w:val="none" w:sz="0" w:space="0" w:color="auto"/>
        <w:bottom w:val="none" w:sz="0" w:space="0" w:color="auto"/>
        <w:right w:val="none" w:sz="0" w:space="0" w:color="auto"/>
      </w:divBdr>
    </w:div>
    <w:div w:id="105273817">
      <w:bodyDiv w:val="1"/>
      <w:marLeft w:val="0"/>
      <w:marRight w:val="0"/>
      <w:marTop w:val="0"/>
      <w:marBottom w:val="0"/>
      <w:divBdr>
        <w:top w:val="none" w:sz="0" w:space="0" w:color="auto"/>
        <w:left w:val="none" w:sz="0" w:space="0" w:color="auto"/>
        <w:bottom w:val="none" w:sz="0" w:space="0" w:color="auto"/>
        <w:right w:val="none" w:sz="0" w:space="0" w:color="auto"/>
      </w:divBdr>
    </w:div>
    <w:div w:id="108546476">
      <w:bodyDiv w:val="1"/>
      <w:marLeft w:val="0"/>
      <w:marRight w:val="0"/>
      <w:marTop w:val="0"/>
      <w:marBottom w:val="0"/>
      <w:divBdr>
        <w:top w:val="none" w:sz="0" w:space="0" w:color="auto"/>
        <w:left w:val="none" w:sz="0" w:space="0" w:color="auto"/>
        <w:bottom w:val="none" w:sz="0" w:space="0" w:color="auto"/>
        <w:right w:val="none" w:sz="0" w:space="0" w:color="auto"/>
      </w:divBdr>
    </w:div>
    <w:div w:id="108934100">
      <w:bodyDiv w:val="1"/>
      <w:marLeft w:val="0"/>
      <w:marRight w:val="0"/>
      <w:marTop w:val="0"/>
      <w:marBottom w:val="0"/>
      <w:divBdr>
        <w:top w:val="none" w:sz="0" w:space="0" w:color="auto"/>
        <w:left w:val="none" w:sz="0" w:space="0" w:color="auto"/>
        <w:bottom w:val="none" w:sz="0" w:space="0" w:color="auto"/>
        <w:right w:val="none" w:sz="0" w:space="0" w:color="auto"/>
      </w:divBdr>
    </w:div>
    <w:div w:id="110173430">
      <w:bodyDiv w:val="1"/>
      <w:marLeft w:val="0"/>
      <w:marRight w:val="0"/>
      <w:marTop w:val="0"/>
      <w:marBottom w:val="0"/>
      <w:divBdr>
        <w:top w:val="none" w:sz="0" w:space="0" w:color="auto"/>
        <w:left w:val="none" w:sz="0" w:space="0" w:color="auto"/>
        <w:bottom w:val="none" w:sz="0" w:space="0" w:color="auto"/>
        <w:right w:val="none" w:sz="0" w:space="0" w:color="auto"/>
      </w:divBdr>
    </w:div>
    <w:div w:id="110828585">
      <w:bodyDiv w:val="1"/>
      <w:marLeft w:val="0"/>
      <w:marRight w:val="0"/>
      <w:marTop w:val="0"/>
      <w:marBottom w:val="0"/>
      <w:divBdr>
        <w:top w:val="none" w:sz="0" w:space="0" w:color="auto"/>
        <w:left w:val="none" w:sz="0" w:space="0" w:color="auto"/>
        <w:bottom w:val="none" w:sz="0" w:space="0" w:color="auto"/>
        <w:right w:val="none" w:sz="0" w:space="0" w:color="auto"/>
      </w:divBdr>
    </w:div>
    <w:div w:id="110898488">
      <w:bodyDiv w:val="1"/>
      <w:marLeft w:val="0"/>
      <w:marRight w:val="0"/>
      <w:marTop w:val="0"/>
      <w:marBottom w:val="0"/>
      <w:divBdr>
        <w:top w:val="none" w:sz="0" w:space="0" w:color="auto"/>
        <w:left w:val="none" w:sz="0" w:space="0" w:color="auto"/>
        <w:bottom w:val="none" w:sz="0" w:space="0" w:color="auto"/>
        <w:right w:val="none" w:sz="0" w:space="0" w:color="auto"/>
      </w:divBdr>
    </w:div>
    <w:div w:id="111216470">
      <w:bodyDiv w:val="1"/>
      <w:marLeft w:val="0"/>
      <w:marRight w:val="0"/>
      <w:marTop w:val="0"/>
      <w:marBottom w:val="0"/>
      <w:divBdr>
        <w:top w:val="none" w:sz="0" w:space="0" w:color="auto"/>
        <w:left w:val="none" w:sz="0" w:space="0" w:color="auto"/>
        <w:bottom w:val="none" w:sz="0" w:space="0" w:color="auto"/>
        <w:right w:val="none" w:sz="0" w:space="0" w:color="auto"/>
      </w:divBdr>
    </w:div>
    <w:div w:id="112019944">
      <w:bodyDiv w:val="1"/>
      <w:marLeft w:val="0"/>
      <w:marRight w:val="0"/>
      <w:marTop w:val="0"/>
      <w:marBottom w:val="0"/>
      <w:divBdr>
        <w:top w:val="none" w:sz="0" w:space="0" w:color="auto"/>
        <w:left w:val="none" w:sz="0" w:space="0" w:color="auto"/>
        <w:bottom w:val="none" w:sz="0" w:space="0" w:color="auto"/>
        <w:right w:val="none" w:sz="0" w:space="0" w:color="auto"/>
      </w:divBdr>
    </w:div>
    <w:div w:id="112947309">
      <w:bodyDiv w:val="1"/>
      <w:marLeft w:val="0"/>
      <w:marRight w:val="0"/>
      <w:marTop w:val="0"/>
      <w:marBottom w:val="0"/>
      <w:divBdr>
        <w:top w:val="none" w:sz="0" w:space="0" w:color="auto"/>
        <w:left w:val="none" w:sz="0" w:space="0" w:color="auto"/>
        <w:bottom w:val="none" w:sz="0" w:space="0" w:color="auto"/>
        <w:right w:val="none" w:sz="0" w:space="0" w:color="auto"/>
      </w:divBdr>
    </w:div>
    <w:div w:id="114298731">
      <w:bodyDiv w:val="1"/>
      <w:marLeft w:val="0"/>
      <w:marRight w:val="0"/>
      <w:marTop w:val="0"/>
      <w:marBottom w:val="0"/>
      <w:divBdr>
        <w:top w:val="none" w:sz="0" w:space="0" w:color="auto"/>
        <w:left w:val="none" w:sz="0" w:space="0" w:color="auto"/>
        <w:bottom w:val="none" w:sz="0" w:space="0" w:color="auto"/>
        <w:right w:val="none" w:sz="0" w:space="0" w:color="auto"/>
      </w:divBdr>
    </w:div>
    <w:div w:id="114567507">
      <w:bodyDiv w:val="1"/>
      <w:marLeft w:val="0"/>
      <w:marRight w:val="0"/>
      <w:marTop w:val="0"/>
      <w:marBottom w:val="0"/>
      <w:divBdr>
        <w:top w:val="none" w:sz="0" w:space="0" w:color="auto"/>
        <w:left w:val="none" w:sz="0" w:space="0" w:color="auto"/>
        <w:bottom w:val="none" w:sz="0" w:space="0" w:color="auto"/>
        <w:right w:val="none" w:sz="0" w:space="0" w:color="auto"/>
      </w:divBdr>
    </w:div>
    <w:div w:id="114688007">
      <w:bodyDiv w:val="1"/>
      <w:marLeft w:val="0"/>
      <w:marRight w:val="0"/>
      <w:marTop w:val="0"/>
      <w:marBottom w:val="0"/>
      <w:divBdr>
        <w:top w:val="none" w:sz="0" w:space="0" w:color="auto"/>
        <w:left w:val="none" w:sz="0" w:space="0" w:color="auto"/>
        <w:bottom w:val="none" w:sz="0" w:space="0" w:color="auto"/>
        <w:right w:val="none" w:sz="0" w:space="0" w:color="auto"/>
      </w:divBdr>
    </w:div>
    <w:div w:id="114906599">
      <w:bodyDiv w:val="1"/>
      <w:marLeft w:val="0"/>
      <w:marRight w:val="0"/>
      <w:marTop w:val="0"/>
      <w:marBottom w:val="0"/>
      <w:divBdr>
        <w:top w:val="none" w:sz="0" w:space="0" w:color="auto"/>
        <w:left w:val="none" w:sz="0" w:space="0" w:color="auto"/>
        <w:bottom w:val="none" w:sz="0" w:space="0" w:color="auto"/>
        <w:right w:val="none" w:sz="0" w:space="0" w:color="auto"/>
      </w:divBdr>
    </w:div>
    <w:div w:id="114981035">
      <w:bodyDiv w:val="1"/>
      <w:marLeft w:val="0"/>
      <w:marRight w:val="0"/>
      <w:marTop w:val="0"/>
      <w:marBottom w:val="0"/>
      <w:divBdr>
        <w:top w:val="none" w:sz="0" w:space="0" w:color="auto"/>
        <w:left w:val="none" w:sz="0" w:space="0" w:color="auto"/>
        <w:bottom w:val="none" w:sz="0" w:space="0" w:color="auto"/>
        <w:right w:val="none" w:sz="0" w:space="0" w:color="auto"/>
      </w:divBdr>
    </w:div>
    <w:div w:id="116341475">
      <w:bodyDiv w:val="1"/>
      <w:marLeft w:val="0"/>
      <w:marRight w:val="0"/>
      <w:marTop w:val="0"/>
      <w:marBottom w:val="0"/>
      <w:divBdr>
        <w:top w:val="none" w:sz="0" w:space="0" w:color="auto"/>
        <w:left w:val="none" w:sz="0" w:space="0" w:color="auto"/>
        <w:bottom w:val="none" w:sz="0" w:space="0" w:color="auto"/>
        <w:right w:val="none" w:sz="0" w:space="0" w:color="auto"/>
      </w:divBdr>
    </w:div>
    <w:div w:id="116459446">
      <w:bodyDiv w:val="1"/>
      <w:marLeft w:val="0"/>
      <w:marRight w:val="0"/>
      <w:marTop w:val="0"/>
      <w:marBottom w:val="0"/>
      <w:divBdr>
        <w:top w:val="none" w:sz="0" w:space="0" w:color="auto"/>
        <w:left w:val="none" w:sz="0" w:space="0" w:color="auto"/>
        <w:bottom w:val="none" w:sz="0" w:space="0" w:color="auto"/>
        <w:right w:val="none" w:sz="0" w:space="0" w:color="auto"/>
      </w:divBdr>
    </w:div>
    <w:div w:id="117073717">
      <w:bodyDiv w:val="1"/>
      <w:marLeft w:val="0"/>
      <w:marRight w:val="0"/>
      <w:marTop w:val="0"/>
      <w:marBottom w:val="0"/>
      <w:divBdr>
        <w:top w:val="none" w:sz="0" w:space="0" w:color="auto"/>
        <w:left w:val="none" w:sz="0" w:space="0" w:color="auto"/>
        <w:bottom w:val="none" w:sz="0" w:space="0" w:color="auto"/>
        <w:right w:val="none" w:sz="0" w:space="0" w:color="auto"/>
      </w:divBdr>
    </w:div>
    <w:div w:id="118689420">
      <w:bodyDiv w:val="1"/>
      <w:marLeft w:val="0"/>
      <w:marRight w:val="0"/>
      <w:marTop w:val="0"/>
      <w:marBottom w:val="0"/>
      <w:divBdr>
        <w:top w:val="none" w:sz="0" w:space="0" w:color="auto"/>
        <w:left w:val="none" w:sz="0" w:space="0" w:color="auto"/>
        <w:bottom w:val="none" w:sz="0" w:space="0" w:color="auto"/>
        <w:right w:val="none" w:sz="0" w:space="0" w:color="auto"/>
      </w:divBdr>
    </w:div>
    <w:div w:id="119151128">
      <w:bodyDiv w:val="1"/>
      <w:marLeft w:val="0"/>
      <w:marRight w:val="0"/>
      <w:marTop w:val="0"/>
      <w:marBottom w:val="0"/>
      <w:divBdr>
        <w:top w:val="none" w:sz="0" w:space="0" w:color="auto"/>
        <w:left w:val="none" w:sz="0" w:space="0" w:color="auto"/>
        <w:bottom w:val="none" w:sz="0" w:space="0" w:color="auto"/>
        <w:right w:val="none" w:sz="0" w:space="0" w:color="auto"/>
      </w:divBdr>
    </w:div>
    <w:div w:id="119689280">
      <w:bodyDiv w:val="1"/>
      <w:marLeft w:val="0"/>
      <w:marRight w:val="0"/>
      <w:marTop w:val="0"/>
      <w:marBottom w:val="0"/>
      <w:divBdr>
        <w:top w:val="none" w:sz="0" w:space="0" w:color="auto"/>
        <w:left w:val="none" w:sz="0" w:space="0" w:color="auto"/>
        <w:bottom w:val="none" w:sz="0" w:space="0" w:color="auto"/>
        <w:right w:val="none" w:sz="0" w:space="0" w:color="auto"/>
      </w:divBdr>
    </w:div>
    <w:div w:id="120224766">
      <w:bodyDiv w:val="1"/>
      <w:marLeft w:val="0"/>
      <w:marRight w:val="0"/>
      <w:marTop w:val="0"/>
      <w:marBottom w:val="0"/>
      <w:divBdr>
        <w:top w:val="none" w:sz="0" w:space="0" w:color="auto"/>
        <w:left w:val="none" w:sz="0" w:space="0" w:color="auto"/>
        <w:bottom w:val="none" w:sz="0" w:space="0" w:color="auto"/>
        <w:right w:val="none" w:sz="0" w:space="0" w:color="auto"/>
      </w:divBdr>
    </w:div>
    <w:div w:id="120348021">
      <w:bodyDiv w:val="1"/>
      <w:marLeft w:val="0"/>
      <w:marRight w:val="0"/>
      <w:marTop w:val="0"/>
      <w:marBottom w:val="0"/>
      <w:divBdr>
        <w:top w:val="none" w:sz="0" w:space="0" w:color="auto"/>
        <w:left w:val="none" w:sz="0" w:space="0" w:color="auto"/>
        <w:bottom w:val="none" w:sz="0" w:space="0" w:color="auto"/>
        <w:right w:val="none" w:sz="0" w:space="0" w:color="auto"/>
      </w:divBdr>
    </w:div>
    <w:div w:id="120735799">
      <w:bodyDiv w:val="1"/>
      <w:marLeft w:val="0"/>
      <w:marRight w:val="0"/>
      <w:marTop w:val="0"/>
      <w:marBottom w:val="0"/>
      <w:divBdr>
        <w:top w:val="none" w:sz="0" w:space="0" w:color="auto"/>
        <w:left w:val="none" w:sz="0" w:space="0" w:color="auto"/>
        <w:bottom w:val="none" w:sz="0" w:space="0" w:color="auto"/>
        <w:right w:val="none" w:sz="0" w:space="0" w:color="auto"/>
      </w:divBdr>
    </w:div>
    <w:div w:id="121769508">
      <w:bodyDiv w:val="1"/>
      <w:marLeft w:val="0"/>
      <w:marRight w:val="0"/>
      <w:marTop w:val="0"/>
      <w:marBottom w:val="0"/>
      <w:divBdr>
        <w:top w:val="none" w:sz="0" w:space="0" w:color="auto"/>
        <w:left w:val="none" w:sz="0" w:space="0" w:color="auto"/>
        <w:bottom w:val="none" w:sz="0" w:space="0" w:color="auto"/>
        <w:right w:val="none" w:sz="0" w:space="0" w:color="auto"/>
      </w:divBdr>
    </w:div>
    <w:div w:id="123433183">
      <w:bodyDiv w:val="1"/>
      <w:marLeft w:val="0"/>
      <w:marRight w:val="0"/>
      <w:marTop w:val="0"/>
      <w:marBottom w:val="0"/>
      <w:divBdr>
        <w:top w:val="none" w:sz="0" w:space="0" w:color="auto"/>
        <w:left w:val="none" w:sz="0" w:space="0" w:color="auto"/>
        <w:bottom w:val="none" w:sz="0" w:space="0" w:color="auto"/>
        <w:right w:val="none" w:sz="0" w:space="0" w:color="auto"/>
      </w:divBdr>
    </w:div>
    <w:div w:id="123738619">
      <w:bodyDiv w:val="1"/>
      <w:marLeft w:val="0"/>
      <w:marRight w:val="0"/>
      <w:marTop w:val="0"/>
      <w:marBottom w:val="0"/>
      <w:divBdr>
        <w:top w:val="none" w:sz="0" w:space="0" w:color="auto"/>
        <w:left w:val="none" w:sz="0" w:space="0" w:color="auto"/>
        <w:bottom w:val="none" w:sz="0" w:space="0" w:color="auto"/>
        <w:right w:val="none" w:sz="0" w:space="0" w:color="auto"/>
      </w:divBdr>
    </w:div>
    <w:div w:id="124736381">
      <w:bodyDiv w:val="1"/>
      <w:marLeft w:val="0"/>
      <w:marRight w:val="0"/>
      <w:marTop w:val="0"/>
      <w:marBottom w:val="0"/>
      <w:divBdr>
        <w:top w:val="none" w:sz="0" w:space="0" w:color="auto"/>
        <w:left w:val="none" w:sz="0" w:space="0" w:color="auto"/>
        <w:bottom w:val="none" w:sz="0" w:space="0" w:color="auto"/>
        <w:right w:val="none" w:sz="0" w:space="0" w:color="auto"/>
      </w:divBdr>
    </w:div>
    <w:div w:id="125241274">
      <w:bodyDiv w:val="1"/>
      <w:marLeft w:val="0"/>
      <w:marRight w:val="0"/>
      <w:marTop w:val="0"/>
      <w:marBottom w:val="0"/>
      <w:divBdr>
        <w:top w:val="none" w:sz="0" w:space="0" w:color="auto"/>
        <w:left w:val="none" w:sz="0" w:space="0" w:color="auto"/>
        <w:bottom w:val="none" w:sz="0" w:space="0" w:color="auto"/>
        <w:right w:val="none" w:sz="0" w:space="0" w:color="auto"/>
      </w:divBdr>
    </w:div>
    <w:div w:id="127821854">
      <w:bodyDiv w:val="1"/>
      <w:marLeft w:val="0"/>
      <w:marRight w:val="0"/>
      <w:marTop w:val="0"/>
      <w:marBottom w:val="0"/>
      <w:divBdr>
        <w:top w:val="none" w:sz="0" w:space="0" w:color="auto"/>
        <w:left w:val="none" w:sz="0" w:space="0" w:color="auto"/>
        <w:bottom w:val="none" w:sz="0" w:space="0" w:color="auto"/>
        <w:right w:val="none" w:sz="0" w:space="0" w:color="auto"/>
      </w:divBdr>
    </w:div>
    <w:div w:id="128134844">
      <w:bodyDiv w:val="1"/>
      <w:marLeft w:val="0"/>
      <w:marRight w:val="0"/>
      <w:marTop w:val="0"/>
      <w:marBottom w:val="0"/>
      <w:divBdr>
        <w:top w:val="none" w:sz="0" w:space="0" w:color="auto"/>
        <w:left w:val="none" w:sz="0" w:space="0" w:color="auto"/>
        <w:bottom w:val="none" w:sz="0" w:space="0" w:color="auto"/>
        <w:right w:val="none" w:sz="0" w:space="0" w:color="auto"/>
      </w:divBdr>
    </w:div>
    <w:div w:id="128518053">
      <w:bodyDiv w:val="1"/>
      <w:marLeft w:val="0"/>
      <w:marRight w:val="0"/>
      <w:marTop w:val="0"/>
      <w:marBottom w:val="0"/>
      <w:divBdr>
        <w:top w:val="none" w:sz="0" w:space="0" w:color="auto"/>
        <w:left w:val="none" w:sz="0" w:space="0" w:color="auto"/>
        <w:bottom w:val="none" w:sz="0" w:space="0" w:color="auto"/>
        <w:right w:val="none" w:sz="0" w:space="0" w:color="auto"/>
      </w:divBdr>
    </w:div>
    <w:div w:id="129906699">
      <w:bodyDiv w:val="1"/>
      <w:marLeft w:val="0"/>
      <w:marRight w:val="0"/>
      <w:marTop w:val="0"/>
      <w:marBottom w:val="0"/>
      <w:divBdr>
        <w:top w:val="none" w:sz="0" w:space="0" w:color="auto"/>
        <w:left w:val="none" w:sz="0" w:space="0" w:color="auto"/>
        <w:bottom w:val="none" w:sz="0" w:space="0" w:color="auto"/>
        <w:right w:val="none" w:sz="0" w:space="0" w:color="auto"/>
      </w:divBdr>
    </w:div>
    <w:div w:id="130483546">
      <w:bodyDiv w:val="1"/>
      <w:marLeft w:val="0"/>
      <w:marRight w:val="0"/>
      <w:marTop w:val="0"/>
      <w:marBottom w:val="0"/>
      <w:divBdr>
        <w:top w:val="none" w:sz="0" w:space="0" w:color="auto"/>
        <w:left w:val="none" w:sz="0" w:space="0" w:color="auto"/>
        <w:bottom w:val="none" w:sz="0" w:space="0" w:color="auto"/>
        <w:right w:val="none" w:sz="0" w:space="0" w:color="auto"/>
      </w:divBdr>
    </w:div>
    <w:div w:id="133524306">
      <w:bodyDiv w:val="1"/>
      <w:marLeft w:val="0"/>
      <w:marRight w:val="0"/>
      <w:marTop w:val="0"/>
      <w:marBottom w:val="0"/>
      <w:divBdr>
        <w:top w:val="none" w:sz="0" w:space="0" w:color="auto"/>
        <w:left w:val="none" w:sz="0" w:space="0" w:color="auto"/>
        <w:bottom w:val="none" w:sz="0" w:space="0" w:color="auto"/>
        <w:right w:val="none" w:sz="0" w:space="0" w:color="auto"/>
      </w:divBdr>
    </w:div>
    <w:div w:id="133766698">
      <w:bodyDiv w:val="1"/>
      <w:marLeft w:val="0"/>
      <w:marRight w:val="0"/>
      <w:marTop w:val="0"/>
      <w:marBottom w:val="0"/>
      <w:divBdr>
        <w:top w:val="none" w:sz="0" w:space="0" w:color="auto"/>
        <w:left w:val="none" w:sz="0" w:space="0" w:color="auto"/>
        <w:bottom w:val="none" w:sz="0" w:space="0" w:color="auto"/>
        <w:right w:val="none" w:sz="0" w:space="0" w:color="auto"/>
      </w:divBdr>
    </w:div>
    <w:div w:id="134761812">
      <w:bodyDiv w:val="1"/>
      <w:marLeft w:val="0"/>
      <w:marRight w:val="0"/>
      <w:marTop w:val="0"/>
      <w:marBottom w:val="0"/>
      <w:divBdr>
        <w:top w:val="none" w:sz="0" w:space="0" w:color="auto"/>
        <w:left w:val="none" w:sz="0" w:space="0" w:color="auto"/>
        <w:bottom w:val="none" w:sz="0" w:space="0" w:color="auto"/>
        <w:right w:val="none" w:sz="0" w:space="0" w:color="auto"/>
      </w:divBdr>
    </w:div>
    <w:div w:id="136191797">
      <w:bodyDiv w:val="1"/>
      <w:marLeft w:val="0"/>
      <w:marRight w:val="0"/>
      <w:marTop w:val="0"/>
      <w:marBottom w:val="0"/>
      <w:divBdr>
        <w:top w:val="none" w:sz="0" w:space="0" w:color="auto"/>
        <w:left w:val="none" w:sz="0" w:space="0" w:color="auto"/>
        <w:bottom w:val="none" w:sz="0" w:space="0" w:color="auto"/>
        <w:right w:val="none" w:sz="0" w:space="0" w:color="auto"/>
      </w:divBdr>
    </w:div>
    <w:div w:id="137037674">
      <w:bodyDiv w:val="1"/>
      <w:marLeft w:val="0"/>
      <w:marRight w:val="0"/>
      <w:marTop w:val="0"/>
      <w:marBottom w:val="0"/>
      <w:divBdr>
        <w:top w:val="none" w:sz="0" w:space="0" w:color="auto"/>
        <w:left w:val="none" w:sz="0" w:space="0" w:color="auto"/>
        <w:bottom w:val="none" w:sz="0" w:space="0" w:color="auto"/>
        <w:right w:val="none" w:sz="0" w:space="0" w:color="auto"/>
      </w:divBdr>
    </w:div>
    <w:div w:id="137116912">
      <w:bodyDiv w:val="1"/>
      <w:marLeft w:val="0"/>
      <w:marRight w:val="0"/>
      <w:marTop w:val="0"/>
      <w:marBottom w:val="0"/>
      <w:divBdr>
        <w:top w:val="none" w:sz="0" w:space="0" w:color="auto"/>
        <w:left w:val="none" w:sz="0" w:space="0" w:color="auto"/>
        <w:bottom w:val="none" w:sz="0" w:space="0" w:color="auto"/>
        <w:right w:val="none" w:sz="0" w:space="0" w:color="auto"/>
      </w:divBdr>
    </w:div>
    <w:div w:id="138545829">
      <w:bodyDiv w:val="1"/>
      <w:marLeft w:val="0"/>
      <w:marRight w:val="0"/>
      <w:marTop w:val="0"/>
      <w:marBottom w:val="0"/>
      <w:divBdr>
        <w:top w:val="none" w:sz="0" w:space="0" w:color="auto"/>
        <w:left w:val="none" w:sz="0" w:space="0" w:color="auto"/>
        <w:bottom w:val="none" w:sz="0" w:space="0" w:color="auto"/>
        <w:right w:val="none" w:sz="0" w:space="0" w:color="auto"/>
      </w:divBdr>
    </w:div>
    <w:div w:id="139008925">
      <w:bodyDiv w:val="1"/>
      <w:marLeft w:val="0"/>
      <w:marRight w:val="0"/>
      <w:marTop w:val="0"/>
      <w:marBottom w:val="0"/>
      <w:divBdr>
        <w:top w:val="none" w:sz="0" w:space="0" w:color="auto"/>
        <w:left w:val="none" w:sz="0" w:space="0" w:color="auto"/>
        <w:bottom w:val="none" w:sz="0" w:space="0" w:color="auto"/>
        <w:right w:val="none" w:sz="0" w:space="0" w:color="auto"/>
      </w:divBdr>
    </w:div>
    <w:div w:id="139155148">
      <w:bodyDiv w:val="1"/>
      <w:marLeft w:val="0"/>
      <w:marRight w:val="0"/>
      <w:marTop w:val="0"/>
      <w:marBottom w:val="0"/>
      <w:divBdr>
        <w:top w:val="none" w:sz="0" w:space="0" w:color="auto"/>
        <w:left w:val="none" w:sz="0" w:space="0" w:color="auto"/>
        <w:bottom w:val="none" w:sz="0" w:space="0" w:color="auto"/>
        <w:right w:val="none" w:sz="0" w:space="0" w:color="auto"/>
      </w:divBdr>
    </w:div>
    <w:div w:id="139425778">
      <w:bodyDiv w:val="1"/>
      <w:marLeft w:val="0"/>
      <w:marRight w:val="0"/>
      <w:marTop w:val="0"/>
      <w:marBottom w:val="0"/>
      <w:divBdr>
        <w:top w:val="none" w:sz="0" w:space="0" w:color="auto"/>
        <w:left w:val="none" w:sz="0" w:space="0" w:color="auto"/>
        <w:bottom w:val="none" w:sz="0" w:space="0" w:color="auto"/>
        <w:right w:val="none" w:sz="0" w:space="0" w:color="auto"/>
      </w:divBdr>
    </w:div>
    <w:div w:id="140539401">
      <w:bodyDiv w:val="1"/>
      <w:marLeft w:val="0"/>
      <w:marRight w:val="0"/>
      <w:marTop w:val="0"/>
      <w:marBottom w:val="0"/>
      <w:divBdr>
        <w:top w:val="none" w:sz="0" w:space="0" w:color="auto"/>
        <w:left w:val="none" w:sz="0" w:space="0" w:color="auto"/>
        <w:bottom w:val="none" w:sz="0" w:space="0" w:color="auto"/>
        <w:right w:val="none" w:sz="0" w:space="0" w:color="auto"/>
      </w:divBdr>
    </w:div>
    <w:div w:id="141429139">
      <w:bodyDiv w:val="1"/>
      <w:marLeft w:val="0"/>
      <w:marRight w:val="0"/>
      <w:marTop w:val="0"/>
      <w:marBottom w:val="0"/>
      <w:divBdr>
        <w:top w:val="none" w:sz="0" w:space="0" w:color="auto"/>
        <w:left w:val="none" w:sz="0" w:space="0" w:color="auto"/>
        <w:bottom w:val="none" w:sz="0" w:space="0" w:color="auto"/>
        <w:right w:val="none" w:sz="0" w:space="0" w:color="auto"/>
      </w:divBdr>
    </w:div>
    <w:div w:id="144208485">
      <w:bodyDiv w:val="1"/>
      <w:marLeft w:val="0"/>
      <w:marRight w:val="0"/>
      <w:marTop w:val="0"/>
      <w:marBottom w:val="0"/>
      <w:divBdr>
        <w:top w:val="none" w:sz="0" w:space="0" w:color="auto"/>
        <w:left w:val="none" w:sz="0" w:space="0" w:color="auto"/>
        <w:bottom w:val="none" w:sz="0" w:space="0" w:color="auto"/>
        <w:right w:val="none" w:sz="0" w:space="0" w:color="auto"/>
      </w:divBdr>
    </w:div>
    <w:div w:id="145821337">
      <w:bodyDiv w:val="1"/>
      <w:marLeft w:val="0"/>
      <w:marRight w:val="0"/>
      <w:marTop w:val="0"/>
      <w:marBottom w:val="0"/>
      <w:divBdr>
        <w:top w:val="none" w:sz="0" w:space="0" w:color="auto"/>
        <w:left w:val="none" w:sz="0" w:space="0" w:color="auto"/>
        <w:bottom w:val="none" w:sz="0" w:space="0" w:color="auto"/>
        <w:right w:val="none" w:sz="0" w:space="0" w:color="auto"/>
      </w:divBdr>
    </w:div>
    <w:div w:id="146752397">
      <w:bodyDiv w:val="1"/>
      <w:marLeft w:val="0"/>
      <w:marRight w:val="0"/>
      <w:marTop w:val="0"/>
      <w:marBottom w:val="0"/>
      <w:divBdr>
        <w:top w:val="none" w:sz="0" w:space="0" w:color="auto"/>
        <w:left w:val="none" w:sz="0" w:space="0" w:color="auto"/>
        <w:bottom w:val="none" w:sz="0" w:space="0" w:color="auto"/>
        <w:right w:val="none" w:sz="0" w:space="0" w:color="auto"/>
      </w:divBdr>
    </w:div>
    <w:div w:id="151146384">
      <w:bodyDiv w:val="1"/>
      <w:marLeft w:val="0"/>
      <w:marRight w:val="0"/>
      <w:marTop w:val="0"/>
      <w:marBottom w:val="0"/>
      <w:divBdr>
        <w:top w:val="none" w:sz="0" w:space="0" w:color="auto"/>
        <w:left w:val="none" w:sz="0" w:space="0" w:color="auto"/>
        <w:bottom w:val="none" w:sz="0" w:space="0" w:color="auto"/>
        <w:right w:val="none" w:sz="0" w:space="0" w:color="auto"/>
      </w:divBdr>
    </w:div>
    <w:div w:id="152333634">
      <w:bodyDiv w:val="1"/>
      <w:marLeft w:val="0"/>
      <w:marRight w:val="0"/>
      <w:marTop w:val="0"/>
      <w:marBottom w:val="0"/>
      <w:divBdr>
        <w:top w:val="none" w:sz="0" w:space="0" w:color="auto"/>
        <w:left w:val="none" w:sz="0" w:space="0" w:color="auto"/>
        <w:bottom w:val="none" w:sz="0" w:space="0" w:color="auto"/>
        <w:right w:val="none" w:sz="0" w:space="0" w:color="auto"/>
      </w:divBdr>
    </w:div>
    <w:div w:id="154342605">
      <w:bodyDiv w:val="1"/>
      <w:marLeft w:val="0"/>
      <w:marRight w:val="0"/>
      <w:marTop w:val="0"/>
      <w:marBottom w:val="0"/>
      <w:divBdr>
        <w:top w:val="none" w:sz="0" w:space="0" w:color="auto"/>
        <w:left w:val="none" w:sz="0" w:space="0" w:color="auto"/>
        <w:bottom w:val="none" w:sz="0" w:space="0" w:color="auto"/>
        <w:right w:val="none" w:sz="0" w:space="0" w:color="auto"/>
      </w:divBdr>
    </w:div>
    <w:div w:id="156121143">
      <w:bodyDiv w:val="1"/>
      <w:marLeft w:val="0"/>
      <w:marRight w:val="0"/>
      <w:marTop w:val="0"/>
      <w:marBottom w:val="0"/>
      <w:divBdr>
        <w:top w:val="none" w:sz="0" w:space="0" w:color="auto"/>
        <w:left w:val="none" w:sz="0" w:space="0" w:color="auto"/>
        <w:bottom w:val="none" w:sz="0" w:space="0" w:color="auto"/>
        <w:right w:val="none" w:sz="0" w:space="0" w:color="auto"/>
      </w:divBdr>
    </w:div>
    <w:div w:id="156582981">
      <w:bodyDiv w:val="1"/>
      <w:marLeft w:val="0"/>
      <w:marRight w:val="0"/>
      <w:marTop w:val="0"/>
      <w:marBottom w:val="0"/>
      <w:divBdr>
        <w:top w:val="none" w:sz="0" w:space="0" w:color="auto"/>
        <w:left w:val="none" w:sz="0" w:space="0" w:color="auto"/>
        <w:bottom w:val="none" w:sz="0" w:space="0" w:color="auto"/>
        <w:right w:val="none" w:sz="0" w:space="0" w:color="auto"/>
      </w:divBdr>
    </w:div>
    <w:div w:id="156727892">
      <w:bodyDiv w:val="1"/>
      <w:marLeft w:val="0"/>
      <w:marRight w:val="0"/>
      <w:marTop w:val="0"/>
      <w:marBottom w:val="0"/>
      <w:divBdr>
        <w:top w:val="none" w:sz="0" w:space="0" w:color="auto"/>
        <w:left w:val="none" w:sz="0" w:space="0" w:color="auto"/>
        <w:bottom w:val="none" w:sz="0" w:space="0" w:color="auto"/>
        <w:right w:val="none" w:sz="0" w:space="0" w:color="auto"/>
      </w:divBdr>
    </w:div>
    <w:div w:id="157037105">
      <w:bodyDiv w:val="1"/>
      <w:marLeft w:val="0"/>
      <w:marRight w:val="0"/>
      <w:marTop w:val="0"/>
      <w:marBottom w:val="0"/>
      <w:divBdr>
        <w:top w:val="none" w:sz="0" w:space="0" w:color="auto"/>
        <w:left w:val="none" w:sz="0" w:space="0" w:color="auto"/>
        <w:bottom w:val="none" w:sz="0" w:space="0" w:color="auto"/>
        <w:right w:val="none" w:sz="0" w:space="0" w:color="auto"/>
      </w:divBdr>
    </w:div>
    <w:div w:id="157111932">
      <w:bodyDiv w:val="1"/>
      <w:marLeft w:val="0"/>
      <w:marRight w:val="0"/>
      <w:marTop w:val="0"/>
      <w:marBottom w:val="0"/>
      <w:divBdr>
        <w:top w:val="none" w:sz="0" w:space="0" w:color="auto"/>
        <w:left w:val="none" w:sz="0" w:space="0" w:color="auto"/>
        <w:bottom w:val="none" w:sz="0" w:space="0" w:color="auto"/>
        <w:right w:val="none" w:sz="0" w:space="0" w:color="auto"/>
      </w:divBdr>
    </w:div>
    <w:div w:id="158273285">
      <w:bodyDiv w:val="1"/>
      <w:marLeft w:val="0"/>
      <w:marRight w:val="0"/>
      <w:marTop w:val="0"/>
      <w:marBottom w:val="0"/>
      <w:divBdr>
        <w:top w:val="none" w:sz="0" w:space="0" w:color="auto"/>
        <w:left w:val="none" w:sz="0" w:space="0" w:color="auto"/>
        <w:bottom w:val="none" w:sz="0" w:space="0" w:color="auto"/>
        <w:right w:val="none" w:sz="0" w:space="0" w:color="auto"/>
      </w:divBdr>
    </w:div>
    <w:div w:id="159852058">
      <w:bodyDiv w:val="1"/>
      <w:marLeft w:val="0"/>
      <w:marRight w:val="0"/>
      <w:marTop w:val="0"/>
      <w:marBottom w:val="0"/>
      <w:divBdr>
        <w:top w:val="none" w:sz="0" w:space="0" w:color="auto"/>
        <w:left w:val="none" w:sz="0" w:space="0" w:color="auto"/>
        <w:bottom w:val="none" w:sz="0" w:space="0" w:color="auto"/>
        <w:right w:val="none" w:sz="0" w:space="0" w:color="auto"/>
      </w:divBdr>
    </w:div>
    <w:div w:id="161510999">
      <w:bodyDiv w:val="1"/>
      <w:marLeft w:val="0"/>
      <w:marRight w:val="0"/>
      <w:marTop w:val="0"/>
      <w:marBottom w:val="0"/>
      <w:divBdr>
        <w:top w:val="none" w:sz="0" w:space="0" w:color="auto"/>
        <w:left w:val="none" w:sz="0" w:space="0" w:color="auto"/>
        <w:bottom w:val="none" w:sz="0" w:space="0" w:color="auto"/>
        <w:right w:val="none" w:sz="0" w:space="0" w:color="auto"/>
      </w:divBdr>
    </w:div>
    <w:div w:id="161551167">
      <w:bodyDiv w:val="1"/>
      <w:marLeft w:val="0"/>
      <w:marRight w:val="0"/>
      <w:marTop w:val="0"/>
      <w:marBottom w:val="0"/>
      <w:divBdr>
        <w:top w:val="none" w:sz="0" w:space="0" w:color="auto"/>
        <w:left w:val="none" w:sz="0" w:space="0" w:color="auto"/>
        <w:bottom w:val="none" w:sz="0" w:space="0" w:color="auto"/>
        <w:right w:val="none" w:sz="0" w:space="0" w:color="auto"/>
      </w:divBdr>
    </w:div>
    <w:div w:id="162354351">
      <w:bodyDiv w:val="1"/>
      <w:marLeft w:val="0"/>
      <w:marRight w:val="0"/>
      <w:marTop w:val="0"/>
      <w:marBottom w:val="0"/>
      <w:divBdr>
        <w:top w:val="none" w:sz="0" w:space="0" w:color="auto"/>
        <w:left w:val="none" w:sz="0" w:space="0" w:color="auto"/>
        <w:bottom w:val="none" w:sz="0" w:space="0" w:color="auto"/>
        <w:right w:val="none" w:sz="0" w:space="0" w:color="auto"/>
      </w:divBdr>
    </w:div>
    <w:div w:id="163789283">
      <w:bodyDiv w:val="1"/>
      <w:marLeft w:val="0"/>
      <w:marRight w:val="0"/>
      <w:marTop w:val="0"/>
      <w:marBottom w:val="0"/>
      <w:divBdr>
        <w:top w:val="none" w:sz="0" w:space="0" w:color="auto"/>
        <w:left w:val="none" w:sz="0" w:space="0" w:color="auto"/>
        <w:bottom w:val="none" w:sz="0" w:space="0" w:color="auto"/>
        <w:right w:val="none" w:sz="0" w:space="0" w:color="auto"/>
      </w:divBdr>
    </w:div>
    <w:div w:id="164980113">
      <w:bodyDiv w:val="1"/>
      <w:marLeft w:val="0"/>
      <w:marRight w:val="0"/>
      <w:marTop w:val="0"/>
      <w:marBottom w:val="0"/>
      <w:divBdr>
        <w:top w:val="none" w:sz="0" w:space="0" w:color="auto"/>
        <w:left w:val="none" w:sz="0" w:space="0" w:color="auto"/>
        <w:bottom w:val="none" w:sz="0" w:space="0" w:color="auto"/>
        <w:right w:val="none" w:sz="0" w:space="0" w:color="auto"/>
      </w:divBdr>
    </w:div>
    <w:div w:id="166211633">
      <w:bodyDiv w:val="1"/>
      <w:marLeft w:val="0"/>
      <w:marRight w:val="0"/>
      <w:marTop w:val="0"/>
      <w:marBottom w:val="0"/>
      <w:divBdr>
        <w:top w:val="none" w:sz="0" w:space="0" w:color="auto"/>
        <w:left w:val="none" w:sz="0" w:space="0" w:color="auto"/>
        <w:bottom w:val="none" w:sz="0" w:space="0" w:color="auto"/>
        <w:right w:val="none" w:sz="0" w:space="0" w:color="auto"/>
      </w:divBdr>
    </w:div>
    <w:div w:id="166483686">
      <w:bodyDiv w:val="1"/>
      <w:marLeft w:val="0"/>
      <w:marRight w:val="0"/>
      <w:marTop w:val="0"/>
      <w:marBottom w:val="0"/>
      <w:divBdr>
        <w:top w:val="none" w:sz="0" w:space="0" w:color="auto"/>
        <w:left w:val="none" w:sz="0" w:space="0" w:color="auto"/>
        <w:bottom w:val="none" w:sz="0" w:space="0" w:color="auto"/>
        <w:right w:val="none" w:sz="0" w:space="0" w:color="auto"/>
      </w:divBdr>
    </w:div>
    <w:div w:id="167717618">
      <w:bodyDiv w:val="1"/>
      <w:marLeft w:val="0"/>
      <w:marRight w:val="0"/>
      <w:marTop w:val="0"/>
      <w:marBottom w:val="0"/>
      <w:divBdr>
        <w:top w:val="none" w:sz="0" w:space="0" w:color="auto"/>
        <w:left w:val="none" w:sz="0" w:space="0" w:color="auto"/>
        <w:bottom w:val="none" w:sz="0" w:space="0" w:color="auto"/>
        <w:right w:val="none" w:sz="0" w:space="0" w:color="auto"/>
      </w:divBdr>
    </w:div>
    <w:div w:id="167984770">
      <w:bodyDiv w:val="1"/>
      <w:marLeft w:val="0"/>
      <w:marRight w:val="0"/>
      <w:marTop w:val="0"/>
      <w:marBottom w:val="0"/>
      <w:divBdr>
        <w:top w:val="none" w:sz="0" w:space="0" w:color="auto"/>
        <w:left w:val="none" w:sz="0" w:space="0" w:color="auto"/>
        <w:bottom w:val="none" w:sz="0" w:space="0" w:color="auto"/>
        <w:right w:val="none" w:sz="0" w:space="0" w:color="auto"/>
      </w:divBdr>
    </w:div>
    <w:div w:id="169637192">
      <w:bodyDiv w:val="1"/>
      <w:marLeft w:val="0"/>
      <w:marRight w:val="0"/>
      <w:marTop w:val="0"/>
      <w:marBottom w:val="0"/>
      <w:divBdr>
        <w:top w:val="none" w:sz="0" w:space="0" w:color="auto"/>
        <w:left w:val="none" w:sz="0" w:space="0" w:color="auto"/>
        <w:bottom w:val="none" w:sz="0" w:space="0" w:color="auto"/>
        <w:right w:val="none" w:sz="0" w:space="0" w:color="auto"/>
      </w:divBdr>
    </w:div>
    <w:div w:id="169881481">
      <w:bodyDiv w:val="1"/>
      <w:marLeft w:val="0"/>
      <w:marRight w:val="0"/>
      <w:marTop w:val="0"/>
      <w:marBottom w:val="0"/>
      <w:divBdr>
        <w:top w:val="none" w:sz="0" w:space="0" w:color="auto"/>
        <w:left w:val="none" w:sz="0" w:space="0" w:color="auto"/>
        <w:bottom w:val="none" w:sz="0" w:space="0" w:color="auto"/>
        <w:right w:val="none" w:sz="0" w:space="0" w:color="auto"/>
      </w:divBdr>
    </w:div>
    <w:div w:id="171648292">
      <w:bodyDiv w:val="1"/>
      <w:marLeft w:val="0"/>
      <w:marRight w:val="0"/>
      <w:marTop w:val="0"/>
      <w:marBottom w:val="0"/>
      <w:divBdr>
        <w:top w:val="none" w:sz="0" w:space="0" w:color="auto"/>
        <w:left w:val="none" w:sz="0" w:space="0" w:color="auto"/>
        <w:bottom w:val="none" w:sz="0" w:space="0" w:color="auto"/>
        <w:right w:val="none" w:sz="0" w:space="0" w:color="auto"/>
      </w:divBdr>
    </w:div>
    <w:div w:id="174199140">
      <w:bodyDiv w:val="1"/>
      <w:marLeft w:val="0"/>
      <w:marRight w:val="0"/>
      <w:marTop w:val="0"/>
      <w:marBottom w:val="0"/>
      <w:divBdr>
        <w:top w:val="none" w:sz="0" w:space="0" w:color="auto"/>
        <w:left w:val="none" w:sz="0" w:space="0" w:color="auto"/>
        <w:bottom w:val="none" w:sz="0" w:space="0" w:color="auto"/>
        <w:right w:val="none" w:sz="0" w:space="0" w:color="auto"/>
      </w:divBdr>
    </w:div>
    <w:div w:id="174658945">
      <w:bodyDiv w:val="1"/>
      <w:marLeft w:val="0"/>
      <w:marRight w:val="0"/>
      <w:marTop w:val="0"/>
      <w:marBottom w:val="0"/>
      <w:divBdr>
        <w:top w:val="none" w:sz="0" w:space="0" w:color="auto"/>
        <w:left w:val="none" w:sz="0" w:space="0" w:color="auto"/>
        <w:bottom w:val="none" w:sz="0" w:space="0" w:color="auto"/>
        <w:right w:val="none" w:sz="0" w:space="0" w:color="auto"/>
      </w:divBdr>
    </w:div>
    <w:div w:id="175770316">
      <w:bodyDiv w:val="1"/>
      <w:marLeft w:val="0"/>
      <w:marRight w:val="0"/>
      <w:marTop w:val="0"/>
      <w:marBottom w:val="0"/>
      <w:divBdr>
        <w:top w:val="none" w:sz="0" w:space="0" w:color="auto"/>
        <w:left w:val="none" w:sz="0" w:space="0" w:color="auto"/>
        <w:bottom w:val="none" w:sz="0" w:space="0" w:color="auto"/>
        <w:right w:val="none" w:sz="0" w:space="0" w:color="auto"/>
      </w:divBdr>
    </w:div>
    <w:div w:id="178399697">
      <w:bodyDiv w:val="1"/>
      <w:marLeft w:val="0"/>
      <w:marRight w:val="0"/>
      <w:marTop w:val="0"/>
      <w:marBottom w:val="0"/>
      <w:divBdr>
        <w:top w:val="none" w:sz="0" w:space="0" w:color="auto"/>
        <w:left w:val="none" w:sz="0" w:space="0" w:color="auto"/>
        <w:bottom w:val="none" w:sz="0" w:space="0" w:color="auto"/>
        <w:right w:val="none" w:sz="0" w:space="0" w:color="auto"/>
      </w:divBdr>
    </w:div>
    <w:div w:id="178550707">
      <w:bodyDiv w:val="1"/>
      <w:marLeft w:val="0"/>
      <w:marRight w:val="0"/>
      <w:marTop w:val="0"/>
      <w:marBottom w:val="0"/>
      <w:divBdr>
        <w:top w:val="none" w:sz="0" w:space="0" w:color="auto"/>
        <w:left w:val="none" w:sz="0" w:space="0" w:color="auto"/>
        <w:bottom w:val="none" w:sz="0" w:space="0" w:color="auto"/>
        <w:right w:val="none" w:sz="0" w:space="0" w:color="auto"/>
      </w:divBdr>
    </w:div>
    <w:div w:id="179635365">
      <w:bodyDiv w:val="1"/>
      <w:marLeft w:val="0"/>
      <w:marRight w:val="0"/>
      <w:marTop w:val="0"/>
      <w:marBottom w:val="0"/>
      <w:divBdr>
        <w:top w:val="none" w:sz="0" w:space="0" w:color="auto"/>
        <w:left w:val="none" w:sz="0" w:space="0" w:color="auto"/>
        <w:bottom w:val="none" w:sz="0" w:space="0" w:color="auto"/>
        <w:right w:val="none" w:sz="0" w:space="0" w:color="auto"/>
      </w:divBdr>
    </w:div>
    <w:div w:id="179662847">
      <w:bodyDiv w:val="1"/>
      <w:marLeft w:val="0"/>
      <w:marRight w:val="0"/>
      <w:marTop w:val="0"/>
      <w:marBottom w:val="0"/>
      <w:divBdr>
        <w:top w:val="none" w:sz="0" w:space="0" w:color="auto"/>
        <w:left w:val="none" w:sz="0" w:space="0" w:color="auto"/>
        <w:bottom w:val="none" w:sz="0" w:space="0" w:color="auto"/>
        <w:right w:val="none" w:sz="0" w:space="0" w:color="auto"/>
      </w:divBdr>
    </w:div>
    <w:div w:id="179710166">
      <w:bodyDiv w:val="1"/>
      <w:marLeft w:val="0"/>
      <w:marRight w:val="0"/>
      <w:marTop w:val="0"/>
      <w:marBottom w:val="0"/>
      <w:divBdr>
        <w:top w:val="none" w:sz="0" w:space="0" w:color="auto"/>
        <w:left w:val="none" w:sz="0" w:space="0" w:color="auto"/>
        <w:bottom w:val="none" w:sz="0" w:space="0" w:color="auto"/>
        <w:right w:val="none" w:sz="0" w:space="0" w:color="auto"/>
      </w:divBdr>
    </w:div>
    <w:div w:id="180704280">
      <w:bodyDiv w:val="1"/>
      <w:marLeft w:val="0"/>
      <w:marRight w:val="0"/>
      <w:marTop w:val="0"/>
      <w:marBottom w:val="0"/>
      <w:divBdr>
        <w:top w:val="none" w:sz="0" w:space="0" w:color="auto"/>
        <w:left w:val="none" w:sz="0" w:space="0" w:color="auto"/>
        <w:bottom w:val="none" w:sz="0" w:space="0" w:color="auto"/>
        <w:right w:val="none" w:sz="0" w:space="0" w:color="auto"/>
      </w:divBdr>
    </w:div>
    <w:div w:id="180705553">
      <w:bodyDiv w:val="1"/>
      <w:marLeft w:val="0"/>
      <w:marRight w:val="0"/>
      <w:marTop w:val="0"/>
      <w:marBottom w:val="0"/>
      <w:divBdr>
        <w:top w:val="none" w:sz="0" w:space="0" w:color="auto"/>
        <w:left w:val="none" w:sz="0" w:space="0" w:color="auto"/>
        <w:bottom w:val="none" w:sz="0" w:space="0" w:color="auto"/>
        <w:right w:val="none" w:sz="0" w:space="0" w:color="auto"/>
      </w:divBdr>
    </w:div>
    <w:div w:id="180895521">
      <w:bodyDiv w:val="1"/>
      <w:marLeft w:val="0"/>
      <w:marRight w:val="0"/>
      <w:marTop w:val="0"/>
      <w:marBottom w:val="0"/>
      <w:divBdr>
        <w:top w:val="none" w:sz="0" w:space="0" w:color="auto"/>
        <w:left w:val="none" w:sz="0" w:space="0" w:color="auto"/>
        <w:bottom w:val="none" w:sz="0" w:space="0" w:color="auto"/>
        <w:right w:val="none" w:sz="0" w:space="0" w:color="auto"/>
      </w:divBdr>
    </w:div>
    <w:div w:id="182670503">
      <w:bodyDiv w:val="1"/>
      <w:marLeft w:val="0"/>
      <w:marRight w:val="0"/>
      <w:marTop w:val="0"/>
      <w:marBottom w:val="0"/>
      <w:divBdr>
        <w:top w:val="none" w:sz="0" w:space="0" w:color="auto"/>
        <w:left w:val="none" w:sz="0" w:space="0" w:color="auto"/>
        <w:bottom w:val="none" w:sz="0" w:space="0" w:color="auto"/>
        <w:right w:val="none" w:sz="0" w:space="0" w:color="auto"/>
      </w:divBdr>
    </w:div>
    <w:div w:id="183908182">
      <w:bodyDiv w:val="1"/>
      <w:marLeft w:val="0"/>
      <w:marRight w:val="0"/>
      <w:marTop w:val="0"/>
      <w:marBottom w:val="0"/>
      <w:divBdr>
        <w:top w:val="none" w:sz="0" w:space="0" w:color="auto"/>
        <w:left w:val="none" w:sz="0" w:space="0" w:color="auto"/>
        <w:bottom w:val="none" w:sz="0" w:space="0" w:color="auto"/>
        <w:right w:val="none" w:sz="0" w:space="0" w:color="auto"/>
      </w:divBdr>
    </w:div>
    <w:div w:id="184448074">
      <w:bodyDiv w:val="1"/>
      <w:marLeft w:val="0"/>
      <w:marRight w:val="0"/>
      <w:marTop w:val="0"/>
      <w:marBottom w:val="0"/>
      <w:divBdr>
        <w:top w:val="none" w:sz="0" w:space="0" w:color="auto"/>
        <w:left w:val="none" w:sz="0" w:space="0" w:color="auto"/>
        <w:bottom w:val="none" w:sz="0" w:space="0" w:color="auto"/>
        <w:right w:val="none" w:sz="0" w:space="0" w:color="auto"/>
      </w:divBdr>
    </w:div>
    <w:div w:id="186338270">
      <w:bodyDiv w:val="1"/>
      <w:marLeft w:val="0"/>
      <w:marRight w:val="0"/>
      <w:marTop w:val="0"/>
      <w:marBottom w:val="0"/>
      <w:divBdr>
        <w:top w:val="none" w:sz="0" w:space="0" w:color="auto"/>
        <w:left w:val="none" w:sz="0" w:space="0" w:color="auto"/>
        <w:bottom w:val="none" w:sz="0" w:space="0" w:color="auto"/>
        <w:right w:val="none" w:sz="0" w:space="0" w:color="auto"/>
      </w:divBdr>
    </w:div>
    <w:div w:id="186523149">
      <w:bodyDiv w:val="1"/>
      <w:marLeft w:val="0"/>
      <w:marRight w:val="0"/>
      <w:marTop w:val="0"/>
      <w:marBottom w:val="0"/>
      <w:divBdr>
        <w:top w:val="none" w:sz="0" w:space="0" w:color="auto"/>
        <w:left w:val="none" w:sz="0" w:space="0" w:color="auto"/>
        <w:bottom w:val="none" w:sz="0" w:space="0" w:color="auto"/>
        <w:right w:val="none" w:sz="0" w:space="0" w:color="auto"/>
      </w:divBdr>
    </w:div>
    <w:div w:id="188569639">
      <w:bodyDiv w:val="1"/>
      <w:marLeft w:val="0"/>
      <w:marRight w:val="0"/>
      <w:marTop w:val="0"/>
      <w:marBottom w:val="0"/>
      <w:divBdr>
        <w:top w:val="none" w:sz="0" w:space="0" w:color="auto"/>
        <w:left w:val="none" w:sz="0" w:space="0" w:color="auto"/>
        <w:bottom w:val="none" w:sz="0" w:space="0" w:color="auto"/>
        <w:right w:val="none" w:sz="0" w:space="0" w:color="auto"/>
      </w:divBdr>
    </w:div>
    <w:div w:id="189150518">
      <w:bodyDiv w:val="1"/>
      <w:marLeft w:val="0"/>
      <w:marRight w:val="0"/>
      <w:marTop w:val="0"/>
      <w:marBottom w:val="0"/>
      <w:divBdr>
        <w:top w:val="none" w:sz="0" w:space="0" w:color="auto"/>
        <w:left w:val="none" w:sz="0" w:space="0" w:color="auto"/>
        <w:bottom w:val="none" w:sz="0" w:space="0" w:color="auto"/>
        <w:right w:val="none" w:sz="0" w:space="0" w:color="auto"/>
      </w:divBdr>
    </w:div>
    <w:div w:id="190339438">
      <w:bodyDiv w:val="1"/>
      <w:marLeft w:val="0"/>
      <w:marRight w:val="0"/>
      <w:marTop w:val="0"/>
      <w:marBottom w:val="0"/>
      <w:divBdr>
        <w:top w:val="none" w:sz="0" w:space="0" w:color="auto"/>
        <w:left w:val="none" w:sz="0" w:space="0" w:color="auto"/>
        <w:bottom w:val="none" w:sz="0" w:space="0" w:color="auto"/>
        <w:right w:val="none" w:sz="0" w:space="0" w:color="auto"/>
      </w:divBdr>
    </w:div>
    <w:div w:id="190648610">
      <w:bodyDiv w:val="1"/>
      <w:marLeft w:val="0"/>
      <w:marRight w:val="0"/>
      <w:marTop w:val="0"/>
      <w:marBottom w:val="0"/>
      <w:divBdr>
        <w:top w:val="none" w:sz="0" w:space="0" w:color="auto"/>
        <w:left w:val="none" w:sz="0" w:space="0" w:color="auto"/>
        <w:bottom w:val="none" w:sz="0" w:space="0" w:color="auto"/>
        <w:right w:val="none" w:sz="0" w:space="0" w:color="auto"/>
      </w:divBdr>
    </w:div>
    <w:div w:id="191261406">
      <w:bodyDiv w:val="1"/>
      <w:marLeft w:val="0"/>
      <w:marRight w:val="0"/>
      <w:marTop w:val="0"/>
      <w:marBottom w:val="0"/>
      <w:divBdr>
        <w:top w:val="none" w:sz="0" w:space="0" w:color="auto"/>
        <w:left w:val="none" w:sz="0" w:space="0" w:color="auto"/>
        <w:bottom w:val="none" w:sz="0" w:space="0" w:color="auto"/>
        <w:right w:val="none" w:sz="0" w:space="0" w:color="auto"/>
      </w:divBdr>
    </w:div>
    <w:div w:id="191310537">
      <w:bodyDiv w:val="1"/>
      <w:marLeft w:val="0"/>
      <w:marRight w:val="0"/>
      <w:marTop w:val="0"/>
      <w:marBottom w:val="0"/>
      <w:divBdr>
        <w:top w:val="none" w:sz="0" w:space="0" w:color="auto"/>
        <w:left w:val="none" w:sz="0" w:space="0" w:color="auto"/>
        <w:bottom w:val="none" w:sz="0" w:space="0" w:color="auto"/>
        <w:right w:val="none" w:sz="0" w:space="0" w:color="auto"/>
      </w:divBdr>
    </w:div>
    <w:div w:id="191692932">
      <w:bodyDiv w:val="1"/>
      <w:marLeft w:val="0"/>
      <w:marRight w:val="0"/>
      <w:marTop w:val="0"/>
      <w:marBottom w:val="0"/>
      <w:divBdr>
        <w:top w:val="none" w:sz="0" w:space="0" w:color="auto"/>
        <w:left w:val="none" w:sz="0" w:space="0" w:color="auto"/>
        <w:bottom w:val="none" w:sz="0" w:space="0" w:color="auto"/>
        <w:right w:val="none" w:sz="0" w:space="0" w:color="auto"/>
      </w:divBdr>
    </w:div>
    <w:div w:id="192891749">
      <w:bodyDiv w:val="1"/>
      <w:marLeft w:val="0"/>
      <w:marRight w:val="0"/>
      <w:marTop w:val="0"/>
      <w:marBottom w:val="0"/>
      <w:divBdr>
        <w:top w:val="none" w:sz="0" w:space="0" w:color="auto"/>
        <w:left w:val="none" w:sz="0" w:space="0" w:color="auto"/>
        <w:bottom w:val="none" w:sz="0" w:space="0" w:color="auto"/>
        <w:right w:val="none" w:sz="0" w:space="0" w:color="auto"/>
      </w:divBdr>
    </w:div>
    <w:div w:id="193931218">
      <w:bodyDiv w:val="1"/>
      <w:marLeft w:val="0"/>
      <w:marRight w:val="0"/>
      <w:marTop w:val="0"/>
      <w:marBottom w:val="0"/>
      <w:divBdr>
        <w:top w:val="none" w:sz="0" w:space="0" w:color="auto"/>
        <w:left w:val="none" w:sz="0" w:space="0" w:color="auto"/>
        <w:bottom w:val="none" w:sz="0" w:space="0" w:color="auto"/>
        <w:right w:val="none" w:sz="0" w:space="0" w:color="auto"/>
      </w:divBdr>
    </w:div>
    <w:div w:id="195431526">
      <w:bodyDiv w:val="1"/>
      <w:marLeft w:val="0"/>
      <w:marRight w:val="0"/>
      <w:marTop w:val="0"/>
      <w:marBottom w:val="0"/>
      <w:divBdr>
        <w:top w:val="none" w:sz="0" w:space="0" w:color="auto"/>
        <w:left w:val="none" w:sz="0" w:space="0" w:color="auto"/>
        <w:bottom w:val="none" w:sz="0" w:space="0" w:color="auto"/>
        <w:right w:val="none" w:sz="0" w:space="0" w:color="auto"/>
      </w:divBdr>
    </w:div>
    <w:div w:id="195581087">
      <w:bodyDiv w:val="1"/>
      <w:marLeft w:val="0"/>
      <w:marRight w:val="0"/>
      <w:marTop w:val="0"/>
      <w:marBottom w:val="0"/>
      <w:divBdr>
        <w:top w:val="none" w:sz="0" w:space="0" w:color="auto"/>
        <w:left w:val="none" w:sz="0" w:space="0" w:color="auto"/>
        <w:bottom w:val="none" w:sz="0" w:space="0" w:color="auto"/>
        <w:right w:val="none" w:sz="0" w:space="0" w:color="auto"/>
      </w:divBdr>
    </w:div>
    <w:div w:id="196436161">
      <w:bodyDiv w:val="1"/>
      <w:marLeft w:val="0"/>
      <w:marRight w:val="0"/>
      <w:marTop w:val="0"/>
      <w:marBottom w:val="0"/>
      <w:divBdr>
        <w:top w:val="none" w:sz="0" w:space="0" w:color="auto"/>
        <w:left w:val="none" w:sz="0" w:space="0" w:color="auto"/>
        <w:bottom w:val="none" w:sz="0" w:space="0" w:color="auto"/>
        <w:right w:val="none" w:sz="0" w:space="0" w:color="auto"/>
      </w:divBdr>
    </w:div>
    <w:div w:id="197477757">
      <w:bodyDiv w:val="1"/>
      <w:marLeft w:val="0"/>
      <w:marRight w:val="0"/>
      <w:marTop w:val="0"/>
      <w:marBottom w:val="0"/>
      <w:divBdr>
        <w:top w:val="none" w:sz="0" w:space="0" w:color="auto"/>
        <w:left w:val="none" w:sz="0" w:space="0" w:color="auto"/>
        <w:bottom w:val="none" w:sz="0" w:space="0" w:color="auto"/>
        <w:right w:val="none" w:sz="0" w:space="0" w:color="auto"/>
      </w:divBdr>
    </w:div>
    <w:div w:id="197816838">
      <w:bodyDiv w:val="1"/>
      <w:marLeft w:val="0"/>
      <w:marRight w:val="0"/>
      <w:marTop w:val="0"/>
      <w:marBottom w:val="0"/>
      <w:divBdr>
        <w:top w:val="none" w:sz="0" w:space="0" w:color="auto"/>
        <w:left w:val="none" w:sz="0" w:space="0" w:color="auto"/>
        <w:bottom w:val="none" w:sz="0" w:space="0" w:color="auto"/>
        <w:right w:val="none" w:sz="0" w:space="0" w:color="auto"/>
      </w:divBdr>
    </w:div>
    <w:div w:id="198325426">
      <w:bodyDiv w:val="1"/>
      <w:marLeft w:val="0"/>
      <w:marRight w:val="0"/>
      <w:marTop w:val="0"/>
      <w:marBottom w:val="0"/>
      <w:divBdr>
        <w:top w:val="none" w:sz="0" w:space="0" w:color="auto"/>
        <w:left w:val="none" w:sz="0" w:space="0" w:color="auto"/>
        <w:bottom w:val="none" w:sz="0" w:space="0" w:color="auto"/>
        <w:right w:val="none" w:sz="0" w:space="0" w:color="auto"/>
      </w:divBdr>
    </w:div>
    <w:div w:id="202401355">
      <w:bodyDiv w:val="1"/>
      <w:marLeft w:val="0"/>
      <w:marRight w:val="0"/>
      <w:marTop w:val="0"/>
      <w:marBottom w:val="0"/>
      <w:divBdr>
        <w:top w:val="none" w:sz="0" w:space="0" w:color="auto"/>
        <w:left w:val="none" w:sz="0" w:space="0" w:color="auto"/>
        <w:bottom w:val="none" w:sz="0" w:space="0" w:color="auto"/>
        <w:right w:val="none" w:sz="0" w:space="0" w:color="auto"/>
      </w:divBdr>
    </w:div>
    <w:div w:id="203101346">
      <w:bodyDiv w:val="1"/>
      <w:marLeft w:val="0"/>
      <w:marRight w:val="0"/>
      <w:marTop w:val="0"/>
      <w:marBottom w:val="0"/>
      <w:divBdr>
        <w:top w:val="none" w:sz="0" w:space="0" w:color="auto"/>
        <w:left w:val="none" w:sz="0" w:space="0" w:color="auto"/>
        <w:bottom w:val="none" w:sz="0" w:space="0" w:color="auto"/>
        <w:right w:val="none" w:sz="0" w:space="0" w:color="auto"/>
      </w:divBdr>
    </w:div>
    <w:div w:id="204373068">
      <w:bodyDiv w:val="1"/>
      <w:marLeft w:val="0"/>
      <w:marRight w:val="0"/>
      <w:marTop w:val="0"/>
      <w:marBottom w:val="0"/>
      <w:divBdr>
        <w:top w:val="none" w:sz="0" w:space="0" w:color="auto"/>
        <w:left w:val="none" w:sz="0" w:space="0" w:color="auto"/>
        <w:bottom w:val="none" w:sz="0" w:space="0" w:color="auto"/>
        <w:right w:val="none" w:sz="0" w:space="0" w:color="auto"/>
      </w:divBdr>
    </w:div>
    <w:div w:id="206720471">
      <w:bodyDiv w:val="1"/>
      <w:marLeft w:val="0"/>
      <w:marRight w:val="0"/>
      <w:marTop w:val="0"/>
      <w:marBottom w:val="0"/>
      <w:divBdr>
        <w:top w:val="none" w:sz="0" w:space="0" w:color="auto"/>
        <w:left w:val="none" w:sz="0" w:space="0" w:color="auto"/>
        <w:bottom w:val="none" w:sz="0" w:space="0" w:color="auto"/>
        <w:right w:val="none" w:sz="0" w:space="0" w:color="auto"/>
      </w:divBdr>
    </w:div>
    <w:div w:id="209537544">
      <w:bodyDiv w:val="1"/>
      <w:marLeft w:val="0"/>
      <w:marRight w:val="0"/>
      <w:marTop w:val="0"/>
      <w:marBottom w:val="0"/>
      <w:divBdr>
        <w:top w:val="none" w:sz="0" w:space="0" w:color="auto"/>
        <w:left w:val="none" w:sz="0" w:space="0" w:color="auto"/>
        <w:bottom w:val="none" w:sz="0" w:space="0" w:color="auto"/>
        <w:right w:val="none" w:sz="0" w:space="0" w:color="auto"/>
      </w:divBdr>
    </w:div>
    <w:div w:id="210270855">
      <w:bodyDiv w:val="1"/>
      <w:marLeft w:val="0"/>
      <w:marRight w:val="0"/>
      <w:marTop w:val="0"/>
      <w:marBottom w:val="0"/>
      <w:divBdr>
        <w:top w:val="none" w:sz="0" w:space="0" w:color="auto"/>
        <w:left w:val="none" w:sz="0" w:space="0" w:color="auto"/>
        <w:bottom w:val="none" w:sz="0" w:space="0" w:color="auto"/>
        <w:right w:val="none" w:sz="0" w:space="0" w:color="auto"/>
      </w:divBdr>
    </w:div>
    <w:div w:id="210699516">
      <w:bodyDiv w:val="1"/>
      <w:marLeft w:val="0"/>
      <w:marRight w:val="0"/>
      <w:marTop w:val="0"/>
      <w:marBottom w:val="0"/>
      <w:divBdr>
        <w:top w:val="none" w:sz="0" w:space="0" w:color="auto"/>
        <w:left w:val="none" w:sz="0" w:space="0" w:color="auto"/>
        <w:bottom w:val="none" w:sz="0" w:space="0" w:color="auto"/>
        <w:right w:val="none" w:sz="0" w:space="0" w:color="auto"/>
      </w:divBdr>
    </w:div>
    <w:div w:id="211309733">
      <w:bodyDiv w:val="1"/>
      <w:marLeft w:val="0"/>
      <w:marRight w:val="0"/>
      <w:marTop w:val="0"/>
      <w:marBottom w:val="0"/>
      <w:divBdr>
        <w:top w:val="none" w:sz="0" w:space="0" w:color="auto"/>
        <w:left w:val="none" w:sz="0" w:space="0" w:color="auto"/>
        <w:bottom w:val="none" w:sz="0" w:space="0" w:color="auto"/>
        <w:right w:val="none" w:sz="0" w:space="0" w:color="auto"/>
      </w:divBdr>
    </w:div>
    <w:div w:id="211695359">
      <w:bodyDiv w:val="1"/>
      <w:marLeft w:val="0"/>
      <w:marRight w:val="0"/>
      <w:marTop w:val="0"/>
      <w:marBottom w:val="0"/>
      <w:divBdr>
        <w:top w:val="none" w:sz="0" w:space="0" w:color="auto"/>
        <w:left w:val="none" w:sz="0" w:space="0" w:color="auto"/>
        <w:bottom w:val="none" w:sz="0" w:space="0" w:color="auto"/>
        <w:right w:val="none" w:sz="0" w:space="0" w:color="auto"/>
      </w:divBdr>
    </w:div>
    <w:div w:id="213540705">
      <w:bodyDiv w:val="1"/>
      <w:marLeft w:val="0"/>
      <w:marRight w:val="0"/>
      <w:marTop w:val="0"/>
      <w:marBottom w:val="0"/>
      <w:divBdr>
        <w:top w:val="none" w:sz="0" w:space="0" w:color="auto"/>
        <w:left w:val="none" w:sz="0" w:space="0" w:color="auto"/>
        <w:bottom w:val="none" w:sz="0" w:space="0" w:color="auto"/>
        <w:right w:val="none" w:sz="0" w:space="0" w:color="auto"/>
      </w:divBdr>
    </w:div>
    <w:div w:id="214121720">
      <w:bodyDiv w:val="1"/>
      <w:marLeft w:val="0"/>
      <w:marRight w:val="0"/>
      <w:marTop w:val="0"/>
      <w:marBottom w:val="0"/>
      <w:divBdr>
        <w:top w:val="none" w:sz="0" w:space="0" w:color="auto"/>
        <w:left w:val="none" w:sz="0" w:space="0" w:color="auto"/>
        <w:bottom w:val="none" w:sz="0" w:space="0" w:color="auto"/>
        <w:right w:val="none" w:sz="0" w:space="0" w:color="auto"/>
      </w:divBdr>
    </w:div>
    <w:div w:id="215244229">
      <w:bodyDiv w:val="1"/>
      <w:marLeft w:val="0"/>
      <w:marRight w:val="0"/>
      <w:marTop w:val="0"/>
      <w:marBottom w:val="0"/>
      <w:divBdr>
        <w:top w:val="none" w:sz="0" w:space="0" w:color="auto"/>
        <w:left w:val="none" w:sz="0" w:space="0" w:color="auto"/>
        <w:bottom w:val="none" w:sz="0" w:space="0" w:color="auto"/>
        <w:right w:val="none" w:sz="0" w:space="0" w:color="auto"/>
      </w:divBdr>
    </w:div>
    <w:div w:id="215358568">
      <w:bodyDiv w:val="1"/>
      <w:marLeft w:val="0"/>
      <w:marRight w:val="0"/>
      <w:marTop w:val="0"/>
      <w:marBottom w:val="0"/>
      <w:divBdr>
        <w:top w:val="none" w:sz="0" w:space="0" w:color="auto"/>
        <w:left w:val="none" w:sz="0" w:space="0" w:color="auto"/>
        <w:bottom w:val="none" w:sz="0" w:space="0" w:color="auto"/>
        <w:right w:val="none" w:sz="0" w:space="0" w:color="auto"/>
      </w:divBdr>
    </w:div>
    <w:div w:id="216207644">
      <w:bodyDiv w:val="1"/>
      <w:marLeft w:val="0"/>
      <w:marRight w:val="0"/>
      <w:marTop w:val="0"/>
      <w:marBottom w:val="0"/>
      <w:divBdr>
        <w:top w:val="none" w:sz="0" w:space="0" w:color="auto"/>
        <w:left w:val="none" w:sz="0" w:space="0" w:color="auto"/>
        <w:bottom w:val="none" w:sz="0" w:space="0" w:color="auto"/>
        <w:right w:val="none" w:sz="0" w:space="0" w:color="auto"/>
      </w:divBdr>
    </w:div>
    <w:div w:id="216405604">
      <w:bodyDiv w:val="1"/>
      <w:marLeft w:val="0"/>
      <w:marRight w:val="0"/>
      <w:marTop w:val="0"/>
      <w:marBottom w:val="0"/>
      <w:divBdr>
        <w:top w:val="none" w:sz="0" w:space="0" w:color="auto"/>
        <w:left w:val="none" w:sz="0" w:space="0" w:color="auto"/>
        <w:bottom w:val="none" w:sz="0" w:space="0" w:color="auto"/>
        <w:right w:val="none" w:sz="0" w:space="0" w:color="auto"/>
      </w:divBdr>
    </w:div>
    <w:div w:id="216475361">
      <w:bodyDiv w:val="1"/>
      <w:marLeft w:val="0"/>
      <w:marRight w:val="0"/>
      <w:marTop w:val="0"/>
      <w:marBottom w:val="0"/>
      <w:divBdr>
        <w:top w:val="none" w:sz="0" w:space="0" w:color="auto"/>
        <w:left w:val="none" w:sz="0" w:space="0" w:color="auto"/>
        <w:bottom w:val="none" w:sz="0" w:space="0" w:color="auto"/>
        <w:right w:val="none" w:sz="0" w:space="0" w:color="auto"/>
      </w:divBdr>
    </w:div>
    <w:div w:id="216860429">
      <w:bodyDiv w:val="1"/>
      <w:marLeft w:val="0"/>
      <w:marRight w:val="0"/>
      <w:marTop w:val="0"/>
      <w:marBottom w:val="0"/>
      <w:divBdr>
        <w:top w:val="none" w:sz="0" w:space="0" w:color="auto"/>
        <w:left w:val="none" w:sz="0" w:space="0" w:color="auto"/>
        <w:bottom w:val="none" w:sz="0" w:space="0" w:color="auto"/>
        <w:right w:val="none" w:sz="0" w:space="0" w:color="auto"/>
      </w:divBdr>
    </w:div>
    <w:div w:id="217322058">
      <w:bodyDiv w:val="1"/>
      <w:marLeft w:val="0"/>
      <w:marRight w:val="0"/>
      <w:marTop w:val="0"/>
      <w:marBottom w:val="0"/>
      <w:divBdr>
        <w:top w:val="none" w:sz="0" w:space="0" w:color="auto"/>
        <w:left w:val="none" w:sz="0" w:space="0" w:color="auto"/>
        <w:bottom w:val="none" w:sz="0" w:space="0" w:color="auto"/>
        <w:right w:val="none" w:sz="0" w:space="0" w:color="auto"/>
      </w:divBdr>
    </w:div>
    <w:div w:id="218248161">
      <w:bodyDiv w:val="1"/>
      <w:marLeft w:val="0"/>
      <w:marRight w:val="0"/>
      <w:marTop w:val="0"/>
      <w:marBottom w:val="0"/>
      <w:divBdr>
        <w:top w:val="none" w:sz="0" w:space="0" w:color="auto"/>
        <w:left w:val="none" w:sz="0" w:space="0" w:color="auto"/>
        <w:bottom w:val="none" w:sz="0" w:space="0" w:color="auto"/>
        <w:right w:val="none" w:sz="0" w:space="0" w:color="auto"/>
      </w:divBdr>
    </w:div>
    <w:div w:id="219170566">
      <w:bodyDiv w:val="1"/>
      <w:marLeft w:val="0"/>
      <w:marRight w:val="0"/>
      <w:marTop w:val="0"/>
      <w:marBottom w:val="0"/>
      <w:divBdr>
        <w:top w:val="none" w:sz="0" w:space="0" w:color="auto"/>
        <w:left w:val="none" w:sz="0" w:space="0" w:color="auto"/>
        <w:bottom w:val="none" w:sz="0" w:space="0" w:color="auto"/>
        <w:right w:val="none" w:sz="0" w:space="0" w:color="auto"/>
      </w:divBdr>
    </w:div>
    <w:div w:id="221449928">
      <w:bodyDiv w:val="1"/>
      <w:marLeft w:val="0"/>
      <w:marRight w:val="0"/>
      <w:marTop w:val="0"/>
      <w:marBottom w:val="0"/>
      <w:divBdr>
        <w:top w:val="none" w:sz="0" w:space="0" w:color="auto"/>
        <w:left w:val="none" w:sz="0" w:space="0" w:color="auto"/>
        <w:bottom w:val="none" w:sz="0" w:space="0" w:color="auto"/>
        <w:right w:val="none" w:sz="0" w:space="0" w:color="auto"/>
      </w:divBdr>
    </w:div>
    <w:div w:id="223225482">
      <w:bodyDiv w:val="1"/>
      <w:marLeft w:val="0"/>
      <w:marRight w:val="0"/>
      <w:marTop w:val="0"/>
      <w:marBottom w:val="0"/>
      <w:divBdr>
        <w:top w:val="none" w:sz="0" w:space="0" w:color="auto"/>
        <w:left w:val="none" w:sz="0" w:space="0" w:color="auto"/>
        <w:bottom w:val="none" w:sz="0" w:space="0" w:color="auto"/>
        <w:right w:val="none" w:sz="0" w:space="0" w:color="auto"/>
      </w:divBdr>
    </w:div>
    <w:div w:id="223689477">
      <w:bodyDiv w:val="1"/>
      <w:marLeft w:val="0"/>
      <w:marRight w:val="0"/>
      <w:marTop w:val="0"/>
      <w:marBottom w:val="0"/>
      <w:divBdr>
        <w:top w:val="none" w:sz="0" w:space="0" w:color="auto"/>
        <w:left w:val="none" w:sz="0" w:space="0" w:color="auto"/>
        <w:bottom w:val="none" w:sz="0" w:space="0" w:color="auto"/>
        <w:right w:val="none" w:sz="0" w:space="0" w:color="auto"/>
      </w:divBdr>
    </w:div>
    <w:div w:id="224032376">
      <w:bodyDiv w:val="1"/>
      <w:marLeft w:val="0"/>
      <w:marRight w:val="0"/>
      <w:marTop w:val="0"/>
      <w:marBottom w:val="0"/>
      <w:divBdr>
        <w:top w:val="none" w:sz="0" w:space="0" w:color="auto"/>
        <w:left w:val="none" w:sz="0" w:space="0" w:color="auto"/>
        <w:bottom w:val="none" w:sz="0" w:space="0" w:color="auto"/>
        <w:right w:val="none" w:sz="0" w:space="0" w:color="auto"/>
      </w:divBdr>
    </w:div>
    <w:div w:id="224268507">
      <w:bodyDiv w:val="1"/>
      <w:marLeft w:val="0"/>
      <w:marRight w:val="0"/>
      <w:marTop w:val="0"/>
      <w:marBottom w:val="0"/>
      <w:divBdr>
        <w:top w:val="none" w:sz="0" w:space="0" w:color="auto"/>
        <w:left w:val="none" w:sz="0" w:space="0" w:color="auto"/>
        <w:bottom w:val="none" w:sz="0" w:space="0" w:color="auto"/>
        <w:right w:val="none" w:sz="0" w:space="0" w:color="auto"/>
      </w:divBdr>
    </w:div>
    <w:div w:id="227886539">
      <w:bodyDiv w:val="1"/>
      <w:marLeft w:val="0"/>
      <w:marRight w:val="0"/>
      <w:marTop w:val="0"/>
      <w:marBottom w:val="0"/>
      <w:divBdr>
        <w:top w:val="none" w:sz="0" w:space="0" w:color="auto"/>
        <w:left w:val="none" w:sz="0" w:space="0" w:color="auto"/>
        <w:bottom w:val="none" w:sz="0" w:space="0" w:color="auto"/>
        <w:right w:val="none" w:sz="0" w:space="0" w:color="auto"/>
      </w:divBdr>
    </w:div>
    <w:div w:id="228736425">
      <w:bodyDiv w:val="1"/>
      <w:marLeft w:val="0"/>
      <w:marRight w:val="0"/>
      <w:marTop w:val="0"/>
      <w:marBottom w:val="0"/>
      <w:divBdr>
        <w:top w:val="none" w:sz="0" w:space="0" w:color="auto"/>
        <w:left w:val="none" w:sz="0" w:space="0" w:color="auto"/>
        <w:bottom w:val="none" w:sz="0" w:space="0" w:color="auto"/>
        <w:right w:val="none" w:sz="0" w:space="0" w:color="auto"/>
      </w:divBdr>
    </w:div>
    <w:div w:id="229583600">
      <w:bodyDiv w:val="1"/>
      <w:marLeft w:val="0"/>
      <w:marRight w:val="0"/>
      <w:marTop w:val="0"/>
      <w:marBottom w:val="0"/>
      <w:divBdr>
        <w:top w:val="none" w:sz="0" w:space="0" w:color="auto"/>
        <w:left w:val="none" w:sz="0" w:space="0" w:color="auto"/>
        <w:bottom w:val="none" w:sz="0" w:space="0" w:color="auto"/>
        <w:right w:val="none" w:sz="0" w:space="0" w:color="auto"/>
      </w:divBdr>
    </w:div>
    <w:div w:id="230122953">
      <w:bodyDiv w:val="1"/>
      <w:marLeft w:val="0"/>
      <w:marRight w:val="0"/>
      <w:marTop w:val="0"/>
      <w:marBottom w:val="0"/>
      <w:divBdr>
        <w:top w:val="none" w:sz="0" w:space="0" w:color="auto"/>
        <w:left w:val="none" w:sz="0" w:space="0" w:color="auto"/>
        <w:bottom w:val="none" w:sz="0" w:space="0" w:color="auto"/>
        <w:right w:val="none" w:sz="0" w:space="0" w:color="auto"/>
      </w:divBdr>
    </w:div>
    <w:div w:id="230966406">
      <w:bodyDiv w:val="1"/>
      <w:marLeft w:val="0"/>
      <w:marRight w:val="0"/>
      <w:marTop w:val="0"/>
      <w:marBottom w:val="0"/>
      <w:divBdr>
        <w:top w:val="none" w:sz="0" w:space="0" w:color="auto"/>
        <w:left w:val="none" w:sz="0" w:space="0" w:color="auto"/>
        <w:bottom w:val="none" w:sz="0" w:space="0" w:color="auto"/>
        <w:right w:val="none" w:sz="0" w:space="0" w:color="auto"/>
      </w:divBdr>
    </w:div>
    <w:div w:id="232473425">
      <w:bodyDiv w:val="1"/>
      <w:marLeft w:val="0"/>
      <w:marRight w:val="0"/>
      <w:marTop w:val="0"/>
      <w:marBottom w:val="0"/>
      <w:divBdr>
        <w:top w:val="none" w:sz="0" w:space="0" w:color="auto"/>
        <w:left w:val="none" w:sz="0" w:space="0" w:color="auto"/>
        <w:bottom w:val="none" w:sz="0" w:space="0" w:color="auto"/>
        <w:right w:val="none" w:sz="0" w:space="0" w:color="auto"/>
      </w:divBdr>
    </w:div>
    <w:div w:id="235240381">
      <w:bodyDiv w:val="1"/>
      <w:marLeft w:val="0"/>
      <w:marRight w:val="0"/>
      <w:marTop w:val="0"/>
      <w:marBottom w:val="0"/>
      <w:divBdr>
        <w:top w:val="none" w:sz="0" w:space="0" w:color="auto"/>
        <w:left w:val="none" w:sz="0" w:space="0" w:color="auto"/>
        <w:bottom w:val="none" w:sz="0" w:space="0" w:color="auto"/>
        <w:right w:val="none" w:sz="0" w:space="0" w:color="auto"/>
      </w:divBdr>
    </w:div>
    <w:div w:id="235364853">
      <w:bodyDiv w:val="1"/>
      <w:marLeft w:val="0"/>
      <w:marRight w:val="0"/>
      <w:marTop w:val="0"/>
      <w:marBottom w:val="0"/>
      <w:divBdr>
        <w:top w:val="none" w:sz="0" w:space="0" w:color="auto"/>
        <w:left w:val="none" w:sz="0" w:space="0" w:color="auto"/>
        <w:bottom w:val="none" w:sz="0" w:space="0" w:color="auto"/>
        <w:right w:val="none" w:sz="0" w:space="0" w:color="auto"/>
      </w:divBdr>
    </w:div>
    <w:div w:id="238173340">
      <w:bodyDiv w:val="1"/>
      <w:marLeft w:val="0"/>
      <w:marRight w:val="0"/>
      <w:marTop w:val="0"/>
      <w:marBottom w:val="0"/>
      <w:divBdr>
        <w:top w:val="none" w:sz="0" w:space="0" w:color="auto"/>
        <w:left w:val="none" w:sz="0" w:space="0" w:color="auto"/>
        <w:bottom w:val="none" w:sz="0" w:space="0" w:color="auto"/>
        <w:right w:val="none" w:sz="0" w:space="0" w:color="auto"/>
      </w:divBdr>
    </w:div>
    <w:div w:id="238760350">
      <w:bodyDiv w:val="1"/>
      <w:marLeft w:val="0"/>
      <w:marRight w:val="0"/>
      <w:marTop w:val="0"/>
      <w:marBottom w:val="0"/>
      <w:divBdr>
        <w:top w:val="none" w:sz="0" w:space="0" w:color="auto"/>
        <w:left w:val="none" w:sz="0" w:space="0" w:color="auto"/>
        <w:bottom w:val="none" w:sz="0" w:space="0" w:color="auto"/>
        <w:right w:val="none" w:sz="0" w:space="0" w:color="auto"/>
      </w:divBdr>
    </w:div>
    <w:div w:id="242303139">
      <w:bodyDiv w:val="1"/>
      <w:marLeft w:val="0"/>
      <w:marRight w:val="0"/>
      <w:marTop w:val="0"/>
      <w:marBottom w:val="0"/>
      <w:divBdr>
        <w:top w:val="none" w:sz="0" w:space="0" w:color="auto"/>
        <w:left w:val="none" w:sz="0" w:space="0" w:color="auto"/>
        <w:bottom w:val="none" w:sz="0" w:space="0" w:color="auto"/>
        <w:right w:val="none" w:sz="0" w:space="0" w:color="auto"/>
      </w:divBdr>
    </w:div>
    <w:div w:id="242372273">
      <w:bodyDiv w:val="1"/>
      <w:marLeft w:val="0"/>
      <w:marRight w:val="0"/>
      <w:marTop w:val="0"/>
      <w:marBottom w:val="0"/>
      <w:divBdr>
        <w:top w:val="none" w:sz="0" w:space="0" w:color="auto"/>
        <w:left w:val="none" w:sz="0" w:space="0" w:color="auto"/>
        <w:bottom w:val="none" w:sz="0" w:space="0" w:color="auto"/>
        <w:right w:val="none" w:sz="0" w:space="0" w:color="auto"/>
      </w:divBdr>
    </w:div>
    <w:div w:id="244415936">
      <w:bodyDiv w:val="1"/>
      <w:marLeft w:val="0"/>
      <w:marRight w:val="0"/>
      <w:marTop w:val="0"/>
      <w:marBottom w:val="0"/>
      <w:divBdr>
        <w:top w:val="none" w:sz="0" w:space="0" w:color="auto"/>
        <w:left w:val="none" w:sz="0" w:space="0" w:color="auto"/>
        <w:bottom w:val="none" w:sz="0" w:space="0" w:color="auto"/>
        <w:right w:val="none" w:sz="0" w:space="0" w:color="auto"/>
      </w:divBdr>
    </w:div>
    <w:div w:id="245264289">
      <w:bodyDiv w:val="1"/>
      <w:marLeft w:val="0"/>
      <w:marRight w:val="0"/>
      <w:marTop w:val="0"/>
      <w:marBottom w:val="0"/>
      <w:divBdr>
        <w:top w:val="none" w:sz="0" w:space="0" w:color="auto"/>
        <w:left w:val="none" w:sz="0" w:space="0" w:color="auto"/>
        <w:bottom w:val="none" w:sz="0" w:space="0" w:color="auto"/>
        <w:right w:val="none" w:sz="0" w:space="0" w:color="auto"/>
      </w:divBdr>
    </w:div>
    <w:div w:id="246693184">
      <w:bodyDiv w:val="1"/>
      <w:marLeft w:val="0"/>
      <w:marRight w:val="0"/>
      <w:marTop w:val="0"/>
      <w:marBottom w:val="0"/>
      <w:divBdr>
        <w:top w:val="none" w:sz="0" w:space="0" w:color="auto"/>
        <w:left w:val="none" w:sz="0" w:space="0" w:color="auto"/>
        <w:bottom w:val="none" w:sz="0" w:space="0" w:color="auto"/>
        <w:right w:val="none" w:sz="0" w:space="0" w:color="auto"/>
      </w:divBdr>
    </w:div>
    <w:div w:id="246768129">
      <w:bodyDiv w:val="1"/>
      <w:marLeft w:val="0"/>
      <w:marRight w:val="0"/>
      <w:marTop w:val="0"/>
      <w:marBottom w:val="0"/>
      <w:divBdr>
        <w:top w:val="none" w:sz="0" w:space="0" w:color="auto"/>
        <w:left w:val="none" w:sz="0" w:space="0" w:color="auto"/>
        <w:bottom w:val="none" w:sz="0" w:space="0" w:color="auto"/>
        <w:right w:val="none" w:sz="0" w:space="0" w:color="auto"/>
      </w:divBdr>
    </w:div>
    <w:div w:id="246883650">
      <w:bodyDiv w:val="1"/>
      <w:marLeft w:val="0"/>
      <w:marRight w:val="0"/>
      <w:marTop w:val="0"/>
      <w:marBottom w:val="0"/>
      <w:divBdr>
        <w:top w:val="none" w:sz="0" w:space="0" w:color="auto"/>
        <w:left w:val="none" w:sz="0" w:space="0" w:color="auto"/>
        <w:bottom w:val="none" w:sz="0" w:space="0" w:color="auto"/>
        <w:right w:val="none" w:sz="0" w:space="0" w:color="auto"/>
      </w:divBdr>
    </w:div>
    <w:div w:id="247153182">
      <w:bodyDiv w:val="1"/>
      <w:marLeft w:val="0"/>
      <w:marRight w:val="0"/>
      <w:marTop w:val="0"/>
      <w:marBottom w:val="0"/>
      <w:divBdr>
        <w:top w:val="none" w:sz="0" w:space="0" w:color="auto"/>
        <w:left w:val="none" w:sz="0" w:space="0" w:color="auto"/>
        <w:bottom w:val="none" w:sz="0" w:space="0" w:color="auto"/>
        <w:right w:val="none" w:sz="0" w:space="0" w:color="auto"/>
      </w:divBdr>
    </w:div>
    <w:div w:id="248542489">
      <w:bodyDiv w:val="1"/>
      <w:marLeft w:val="0"/>
      <w:marRight w:val="0"/>
      <w:marTop w:val="0"/>
      <w:marBottom w:val="0"/>
      <w:divBdr>
        <w:top w:val="none" w:sz="0" w:space="0" w:color="auto"/>
        <w:left w:val="none" w:sz="0" w:space="0" w:color="auto"/>
        <w:bottom w:val="none" w:sz="0" w:space="0" w:color="auto"/>
        <w:right w:val="none" w:sz="0" w:space="0" w:color="auto"/>
      </w:divBdr>
    </w:div>
    <w:div w:id="249656906">
      <w:bodyDiv w:val="1"/>
      <w:marLeft w:val="0"/>
      <w:marRight w:val="0"/>
      <w:marTop w:val="0"/>
      <w:marBottom w:val="0"/>
      <w:divBdr>
        <w:top w:val="none" w:sz="0" w:space="0" w:color="auto"/>
        <w:left w:val="none" w:sz="0" w:space="0" w:color="auto"/>
        <w:bottom w:val="none" w:sz="0" w:space="0" w:color="auto"/>
        <w:right w:val="none" w:sz="0" w:space="0" w:color="auto"/>
      </w:divBdr>
    </w:div>
    <w:div w:id="249970968">
      <w:bodyDiv w:val="1"/>
      <w:marLeft w:val="0"/>
      <w:marRight w:val="0"/>
      <w:marTop w:val="0"/>
      <w:marBottom w:val="0"/>
      <w:divBdr>
        <w:top w:val="none" w:sz="0" w:space="0" w:color="auto"/>
        <w:left w:val="none" w:sz="0" w:space="0" w:color="auto"/>
        <w:bottom w:val="none" w:sz="0" w:space="0" w:color="auto"/>
        <w:right w:val="none" w:sz="0" w:space="0" w:color="auto"/>
      </w:divBdr>
    </w:div>
    <w:div w:id="250741510">
      <w:bodyDiv w:val="1"/>
      <w:marLeft w:val="0"/>
      <w:marRight w:val="0"/>
      <w:marTop w:val="0"/>
      <w:marBottom w:val="0"/>
      <w:divBdr>
        <w:top w:val="none" w:sz="0" w:space="0" w:color="auto"/>
        <w:left w:val="none" w:sz="0" w:space="0" w:color="auto"/>
        <w:bottom w:val="none" w:sz="0" w:space="0" w:color="auto"/>
        <w:right w:val="none" w:sz="0" w:space="0" w:color="auto"/>
      </w:divBdr>
    </w:div>
    <w:div w:id="250815854">
      <w:bodyDiv w:val="1"/>
      <w:marLeft w:val="0"/>
      <w:marRight w:val="0"/>
      <w:marTop w:val="0"/>
      <w:marBottom w:val="0"/>
      <w:divBdr>
        <w:top w:val="none" w:sz="0" w:space="0" w:color="auto"/>
        <w:left w:val="none" w:sz="0" w:space="0" w:color="auto"/>
        <w:bottom w:val="none" w:sz="0" w:space="0" w:color="auto"/>
        <w:right w:val="none" w:sz="0" w:space="0" w:color="auto"/>
      </w:divBdr>
    </w:div>
    <w:div w:id="251201136">
      <w:bodyDiv w:val="1"/>
      <w:marLeft w:val="0"/>
      <w:marRight w:val="0"/>
      <w:marTop w:val="0"/>
      <w:marBottom w:val="0"/>
      <w:divBdr>
        <w:top w:val="none" w:sz="0" w:space="0" w:color="auto"/>
        <w:left w:val="none" w:sz="0" w:space="0" w:color="auto"/>
        <w:bottom w:val="none" w:sz="0" w:space="0" w:color="auto"/>
        <w:right w:val="none" w:sz="0" w:space="0" w:color="auto"/>
      </w:divBdr>
    </w:div>
    <w:div w:id="251209059">
      <w:bodyDiv w:val="1"/>
      <w:marLeft w:val="0"/>
      <w:marRight w:val="0"/>
      <w:marTop w:val="0"/>
      <w:marBottom w:val="0"/>
      <w:divBdr>
        <w:top w:val="none" w:sz="0" w:space="0" w:color="auto"/>
        <w:left w:val="none" w:sz="0" w:space="0" w:color="auto"/>
        <w:bottom w:val="none" w:sz="0" w:space="0" w:color="auto"/>
        <w:right w:val="none" w:sz="0" w:space="0" w:color="auto"/>
      </w:divBdr>
    </w:div>
    <w:div w:id="251282530">
      <w:bodyDiv w:val="1"/>
      <w:marLeft w:val="0"/>
      <w:marRight w:val="0"/>
      <w:marTop w:val="0"/>
      <w:marBottom w:val="0"/>
      <w:divBdr>
        <w:top w:val="none" w:sz="0" w:space="0" w:color="auto"/>
        <w:left w:val="none" w:sz="0" w:space="0" w:color="auto"/>
        <w:bottom w:val="none" w:sz="0" w:space="0" w:color="auto"/>
        <w:right w:val="none" w:sz="0" w:space="0" w:color="auto"/>
      </w:divBdr>
    </w:div>
    <w:div w:id="252207480">
      <w:bodyDiv w:val="1"/>
      <w:marLeft w:val="0"/>
      <w:marRight w:val="0"/>
      <w:marTop w:val="0"/>
      <w:marBottom w:val="0"/>
      <w:divBdr>
        <w:top w:val="none" w:sz="0" w:space="0" w:color="auto"/>
        <w:left w:val="none" w:sz="0" w:space="0" w:color="auto"/>
        <w:bottom w:val="none" w:sz="0" w:space="0" w:color="auto"/>
        <w:right w:val="none" w:sz="0" w:space="0" w:color="auto"/>
      </w:divBdr>
    </w:div>
    <w:div w:id="252710126">
      <w:bodyDiv w:val="1"/>
      <w:marLeft w:val="0"/>
      <w:marRight w:val="0"/>
      <w:marTop w:val="0"/>
      <w:marBottom w:val="0"/>
      <w:divBdr>
        <w:top w:val="none" w:sz="0" w:space="0" w:color="auto"/>
        <w:left w:val="none" w:sz="0" w:space="0" w:color="auto"/>
        <w:bottom w:val="none" w:sz="0" w:space="0" w:color="auto"/>
        <w:right w:val="none" w:sz="0" w:space="0" w:color="auto"/>
      </w:divBdr>
    </w:div>
    <w:div w:id="252787922">
      <w:bodyDiv w:val="1"/>
      <w:marLeft w:val="0"/>
      <w:marRight w:val="0"/>
      <w:marTop w:val="0"/>
      <w:marBottom w:val="0"/>
      <w:divBdr>
        <w:top w:val="none" w:sz="0" w:space="0" w:color="auto"/>
        <w:left w:val="none" w:sz="0" w:space="0" w:color="auto"/>
        <w:bottom w:val="none" w:sz="0" w:space="0" w:color="auto"/>
        <w:right w:val="none" w:sz="0" w:space="0" w:color="auto"/>
      </w:divBdr>
    </w:div>
    <w:div w:id="253440859">
      <w:bodyDiv w:val="1"/>
      <w:marLeft w:val="0"/>
      <w:marRight w:val="0"/>
      <w:marTop w:val="0"/>
      <w:marBottom w:val="0"/>
      <w:divBdr>
        <w:top w:val="none" w:sz="0" w:space="0" w:color="auto"/>
        <w:left w:val="none" w:sz="0" w:space="0" w:color="auto"/>
        <w:bottom w:val="none" w:sz="0" w:space="0" w:color="auto"/>
        <w:right w:val="none" w:sz="0" w:space="0" w:color="auto"/>
      </w:divBdr>
    </w:div>
    <w:div w:id="253823474">
      <w:bodyDiv w:val="1"/>
      <w:marLeft w:val="0"/>
      <w:marRight w:val="0"/>
      <w:marTop w:val="0"/>
      <w:marBottom w:val="0"/>
      <w:divBdr>
        <w:top w:val="none" w:sz="0" w:space="0" w:color="auto"/>
        <w:left w:val="none" w:sz="0" w:space="0" w:color="auto"/>
        <w:bottom w:val="none" w:sz="0" w:space="0" w:color="auto"/>
        <w:right w:val="none" w:sz="0" w:space="0" w:color="auto"/>
      </w:divBdr>
    </w:div>
    <w:div w:id="255329845">
      <w:bodyDiv w:val="1"/>
      <w:marLeft w:val="0"/>
      <w:marRight w:val="0"/>
      <w:marTop w:val="0"/>
      <w:marBottom w:val="0"/>
      <w:divBdr>
        <w:top w:val="none" w:sz="0" w:space="0" w:color="auto"/>
        <w:left w:val="none" w:sz="0" w:space="0" w:color="auto"/>
        <w:bottom w:val="none" w:sz="0" w:space="0" w:color="auto"/>
        <w:right w:val="none" w:sz="0" w:space="0" w:color="auto"/>
      </w:divBdr>
    </w:div>
    <w:div w:id="255983989">
      <w:bodyDiv w:val="1"/>
      <w:marLeft w:val="0"/>
      <w:marRight w:val="0"/>
      <w:marTop w:val="0"/>
      <w:marBottom w:val="0"/>
      <w:divBdr>
        <w:top w:val="none" w:sz="0" w:space="0" w:color="auto"/>
        <w:left w:val="none" w:sz="0" w:space="0" w:color="auto"/>
        <w:bottom w:val="none" w:sz="0" w:space="0" w:color="auto"/>
        <w:right w:val="none" w:sz="0" w:space="0" w:color="auto"/>
      </w:divBdr>
    </w:div>
    <w:div w:id="256443362">
      <w:bodyDiv w:val="1"/>
      <w:marLeft w:val="0"/>
      <w:marRight w:val="0"/>
      <w:marTop w:val="0"/>
      <w:marBottom w:val="0"/>
      <w:divBdr>
        <w:top w:val="none" w:sz="0" w:space="0" w:color="auto"/>
        <w:left w:val="none" w:sz="0" w:space="0" w:color="auto"/>
        <w:bottom w:val="none" w:sz="0" w:space="0" w:color="auto"/>
        <w:right w:val="none" w:sz="0" w:space="0" w:color="auto"/>
      </w:divBdr>
    </w:div>
    <w:div w:id="256518741">
      <w:bodyDiv w:val="1"/>
      <w:marLeft w:val="0"/>
      <w:marRight w:val="0"/>
      <w:marTop w:val="0"/>
      <w:marBottom w:val="0"/>
      <w:divBdr>
        <w:top w:val="none" w:sz="0" w:space="0" w:color="auto"/>
        <w:left w:val="none" w:sz="0" w:space="0" w:color="auto"/>
        <w:bottom w:val="none" w:sz="0" w:space="0" w:color="auto"/>
        <w:right w:val="none" w:sz="0" w:space="0" w:color="auto"/>
      </w:divBdr>
    </w:div>
    <w:div w:id="256712988">
      <w:bodyDiv w:val="1"/>
      <w:marLeft w:val="0"/>
      <w:marRight w:val="0"/>
      <w:marTop w:val="0"/>
      <w:marBottom w:val="0"/>
      <w:divBdr>
        <w:top w:val="none" w:sz="0" w:space="0" w:color="auto"/>
        <w:left w:val="none" w:sz="0" w:space="0" w:color="auto"/>
        <w:bottom w:val="none" w:sz="0" w:space="0" w:color="auto"/>
        <w:right w:val="none" w:sz="0" w:space="0" w:color="auto"/>
      </w:divBdr>
    </w:div>
    <w:div w:id="260646167">
      <w:bodyDiv w:val="1"/>
      <w:marLeft w:val="0"/>
      <w:marRight w:val="0"/>
      <w:marTop w:val="0"/>
      <w:marBottom w:val="0"/>
      <w:divBdr>
        <w:top w:val="none" w:sz="0" w:space="0" w:color="auto"/>
        <w:left w:val="none" w:sz="0" w:space="0" w:color="auto"/>
        <w:bottom w:val="none" w:sz="0" w:space="0" w:color="auto"/>
        <w:right w:val="none" w:sz="0" w:space="0" w:color="auto"/>
      </w:divBdr>
    </w:div>
    <w:div w:id="260840147">
      <w:bodyDiv w:val="1"/>
      <w:marLeft w:val="0"/>
      <w:marRight w:val="0"/>
      <w:marTop w:val="0"/>
      <w:marBottom w:val="0"/>
      <w:divBdr>
        <w:top w:val="none" w:sz="0" w:space="0" w:color="auto"/>
        <w:left w:val="none" w:sz="0" w:space="0" w:color="auto"/>
        <w:bottom w:val="none" w:sz="0" w:space="0" w:color="auto"/>
        <w:right w:val="none" w:sz="0" w:space="0" w:color="auto"/>
      </w:divBdr>
    </w:div>
    <w:div w:id="261837324">
      <w:bodyDiv w:val="1"/>
      <w:marLeft w:val="0"/>
      <w:marRight w:val="0"/>
      <w:marTop w:val="0"/>
      <w:marBottom w:val="0"/>
      <w:divBdr>
        <w:top w:val="none" w:sz="0" w:space="0" w:color="auto"/>
        <w:left w:val="none" w:sz="0" w:space="0" w:color="auto"/>
        <w:bottom w:val="none" w:sz="0" w:space="0" w:color="auto"/>
        <w:right w:val="none" w:sz="0" w:space="0" w:color="auto"/>
      </w:divBdr>
    </w:div>
    <w:div w:id="261963151">
      <w:bodyDiv w:val="1"/>
      <w:marLeft w:val="0"/>
      <w:marRight w:val="0"/>
      <w:marTop w:val="0"/>
      <w:marBottom w:val="0"/>
      <w:divBdr>
        <w:top w:val="none" w:sz="0" w:space="0" w:color="auto"/>
        <w:left w:val="none" w:sz="0" w:space="0" w:color="auto"/>
        <w:bottom w:val="none" w:sz="0" w:space="0" w:color="auto"/>
        <w:right w:val="none" w:sz="0" w:space="0" w:color="auto"/>
      </w:divBdr>
    </w:div>
    <w:div w:id="262031798">
      <w:bodyDiv w:val="1"/>
      <w:marLeft w:val="0"/>
      <w:marRight w:val="0"/>
      <w:marTop w:val="0"/>
      <w:marBottom w:val="0"/>
      <w:divBdr>
        <w:top w:val="none" w:sz="0" w:space="0" w:color="auto"/>
        <w:left w:val="none" w:sz="0" w:space="0" w:color="auto"/>
        <w:bottom w:val="none" w:sz="0" w:space="0" w:color="auto"/>
        <w:right w:val="none" w:sz="0" w:space="0" w:color="auto"/>
      </w:divBdr>
    </w:div>
    <w:div w:id="262424387">
      <w:bodyDiv w:val="1"/>
      <w:marLeft w:val="0"/>
      <w:marRight w:val="0"/>
      <w:marTop w:val="0"/>
      <w:marBottom w:val="0"/>
      <w:divBdr>
        <w:top w:val="none" w:sz="0" w:space="0" w:color="auto"/>
        <w:left w:val="none" w:sz="0" w:space="0" w:color="auto"/>
        <w:bottom w:val="none" w:sz="0" w:space="0" w:color="auto"/>
        <w:right w:val="none" w:sz="0" w:space="0" w:color="auto"/>
      </w:divBdr>
    </w:div>
    <w:div w:id="263153328">
      <w:bodyDiv w:val="1"/>
      <w:marLeft w:val="0"/>
      <w:marRight w:val="0"/>
      <w:marTop w:val="0"/>
      <w:marBottom w:val="0"/>
      <w:divBdr>
        <w:top w:val="none" w:sz="0" w:space="0" w:color="auto"/>
        <w:left w:val="none" w:sz="0" w:space="0" w:color="auto"/>
        <w:bottom w:val="none" w:sz="0" w:space="0" w:color="auto"/>
        <w:right w:val="none" w:sz="0" w:space="0" w:color="auto"/>
      </w:divBdr>
    </w:div>
    <w:div w:id="263417214">
      <w:bodyDiv w:val="1"/>
      <w:marLeft w:val="0"/>
      <w:marRight w:val="0"/>
      <w:marTop w:val="0"/>
      <w:marBottom w:val="0"/>
      <w:divBdr>
        <w:top w:val="none" w:sz="0" w:space="0" w:color="auto"/>
        <w:left w:val="none" w:sz="0" w:space="0" w:color="auto"/>
        <w:bottom w:val="none" w:sz="0" w:space="0" w:color="auto"/>
        <w:right w:val="none" w:sz="0" w:space="0" w:color="auto"/>
      </w:divBdr>
    </w:div>
    <w:div w:id="265044118">
      <w:bodyDiv w:val="1"/>
      <w:marLeft w:val="0"/>
      <w:marRight w:val="0"/>
      <w:marTop w:val="0"/>
      <w:marBottom w:val="0"/>
      <w:divBdr>
        <w:top w:val="none" w:sz="0" w:space="0" w:color="auto"/>
        <w:left w:val="none" w:sz="0" w:space="0" w:color="auto"/>
        <w:bottom w:val="none" w:sz="0" w:space="0" w:color="auto"/>
        <w:right w:val="none" w:sz="0" w:space="0" w:color="auto"/>
      </w:divBdr>
    </w:div>
    <w:div w:id="266693615">
      <w:bodyDiv w:val="1"/>
      <w:marLeft w:val="0"/>
      <w:marRight w:val="0"/>
      <w:marTop w:val="0"/>
      <w:marBottom w:val="0"/>
      <w:divBdr>
        <w:top w:val="none" w:sz="0" w:space="0" w:color="auto"/>
        <w:left w:val="none" w:sz="0" w:space="0" w:color="auto"/>
        <w:bottom w:val="none" w:sz="0" w:space="0" w:color="auto"/>
        <w:right w:val="none" w:sz="0" w:space="0" w:color="auto"/>
      </w:divBdr>
    </w:div>
    <w:div w:id="267810267">
      <w:bodyDiv w:val="1"/>
      <w:marLeft w:val="0"/>
      <w:marRight w:val="0"/>
      <w:marTop w:val="0"/>
      <w:marBottom w:val="0"/>
      <w:divBdr>
        <w:top w:val="none" w:sz="0" w:space="0" w:color="auto"/>
        <w:left w:val="none" w:sz="0" w:space="0" w:color="auto"/>
        <w:bottom w:val="none" w:sz="0" w:space="0" w:color="auto"/>
        <w:right w:val="none" w:sz="0" w:space="0" w:color="auto"/>
      </w:divBdr>
    </w:div>
    <w:div w:id="269121067">
      <w:bodyDiv w:val="1"/>
      <w:marLeft w:val="0"/>
      <w:marRight w:val="0"/>
      <w:marTop w:val="0"/>
      <w:marBottom w:val="0"/>
      <w:divBdr>
        <w:top w:val="none" w:sz="0" w:space="0" w:color="auto"/>
        <w:left w:val="none" w:sz="0" w:space="0" w:color="auto"/>
        <w:bottom w:val="none" w:sz="0" w:space="0" w:color="auto"/>
        <w:right w:val="none" w:sz="0" w:space="0" w:color="auto"/>
      </w:divBdr>
    </w:div>
    <w:div w:id="269630711">
      <w:bodyDiv w:val="1"/>
      <w:marLeft w:val="0"/>
      <w:marRight w:val="0"/>
      <w:marTop w:val="0"/>
      <w:marBottom w:val="0"/>
      <w:divBdr>
        <w:top w:val="none" w:sz="0" w:space="0" w:color="auto"/>
        <w:left w:val="none" w:sz="0" w:space="0" w:color="auto"/>
        <w:bottom w:val="none" w:sz="0" w:space="0" w:color="auto"/>
        <w:right w:val="none" w:sz="0" w:space="0" w:color="auto"/>
      </w:divBdr>
    </w:div>
    <w:div w:id="271205302">
      <w:bodyDiv w:val="1"/>
      <w:marLeft w:val="0"/>
      <w:marRight w:val="0"/>
      <w:marTop w:val="0"/>
      <w:marBottom w:val="0"/>
      <w:divBdr>
        <w:top w:val="none" w:sz="0" w:space="0" w:color="auto"/>
        <w:left w:val="none" w:sz="0" w:space="0" w:color="auto"/>
        <w:bottom w:val="none" w:sz="0" w:space="0" w:color="auto"/>
        <w:right w:val="none" w:sz="0" w:space="0" w:color="auto"/>
      </w:divBdr>
    </w:div>
    <w:div w:id="271476986">
      <w:bodyDiv w:val="1"/>
      <w:marLeft w:val="0"/>
      <w:marRight w:val="0"/>
      <w:marTop w:val="0"/>
      <w:marBottom w:val="0"/>
      <w:divBdr>
        <w:top w:val="none" w:sz="0" w:space="0" w:color="auto"/>
        <w:left w:val="none" w:sz="0" w:space="0" w:color="auto"/>
        <w:bottom w:val="none" w:sz="0" w:space="0" w:color="auto"/>
        <w:right w:val="none" w:sz="0" w:space="0" w:color="auto"/>
      </w:divBdr>
    </w:div>
    <w:div w:id="272053036">
      <w:bodyDiv w:val="1"/>
      <w:marLeft w:val="0"/>
      <w:marRight w:val="0"/>
      <w:marTop w:val="0"/>
      <w:marBottom w:val="0"/>
      <w:divBdr>
        <w:top w:val="none" w:sz="0" w:space="0" w:color="auto"/>
        <w:left w:val="none" w:sz="0" w:space="0" w:color="auto"/>
        <w:bottom w:val="none" w:sz="0" w:space="0" w:color="auto"/>
        <w:right w:val="none" w:sz="0" w:space="0" w:color="auto"/>
      </w:divBdr>
    </w:div>
    <w:div w:id="273944441">
      <w:bodyDiv w:val="1"/>
      <w:marLeft w:val="0"/>
      <w:marRight w:val="0"/>
      <w:marTop w:val="0"/>
      <w:marBottom w:val="0"/>
      <w:divBdr>
        <w:top w:val="none" w:sz="0" w:space="0" w:color="auto"/>
        <w:left w:val="none" w:sz="0" w:space="0" w:color="auto"/>
        <w:bottom w:val="none" w:sz="0" w:space="0" w:color="auto"/>
        <w:right w:val="none" w:sz="0" w:space="0" w:color="auto"/>
      </w:divBdr>
    </w:div>
    <w:div w:id="275841820">
      <w:bodyDiv w:val="1"/>
      <w:marLeft w:val="0"/>
      <w:marRight w:val="0"/>
      <w:marTop w:val="0"/>
      <w:marBottom w:val="0"/>
      <w:divBdr>
        <w:top w:val="none" w:sz="0" w:space="0" w:color="auto"/>
        <w:left w:val="none" w:sz="0" w:space="0" w:color="auto"/>
        <w:bottom w:val="none" w:sz="0" w:space="0" w:color="auto"/>
        <w:right w:val="none" w:sz="0" w:space="0" w:color="auto"/>
      </w:divBdr>
    </w:div>
    <w:div w:id="275911249">
      <w:bodyDiv w:val="1"/>
      <w:marLeft w:val="0"/>
      <w:marRight w:val="0"/>
      <w:marTop w:val="0"/>
      <w:marBottom w:val="0"/>
      <w:divBdr>
        <w:top w:val="none" w:sz="0" w:space="0" w:color="auto"/>
        <w:left w:val="none" w:sz="0" w:space="0" w:color="auto"/>
        <w:bottom w:val="none" w:sz="0" w:space="0" w:color="auto"/>
        <w:right w:val="none" w:sz="0" w:space="0" w:color="auto"/>
      </w:divBdr>
    </w:div>
    <w:div w:id="275916488">
      <w:bodyDiv w:val="1"/>
      <w:marLeft w:val="0"/>
      <w:marRight w:val="0"/>
      <w:marTop w:val="0"/>
      <w:marBottom w:val="0"/>
      <w:divBdr>
        <w:top w:val="none" w:sz="0" w:space="0" w:color="auto"/>
        <w:left w:val="none" w:sz="0" w:space="0" w:color="auto"/>
        <w:bottom w:val="none" w:sz="0" w:space="0" w:color="auto"/>
        <w:right w:val="none" w:sz="0" w:space="0" w:color="auto"/>
      </w:divBdr>
    </w:div>
    <w:div w:id="276454676">
      <w:bodyDiv w:val="1"/>
      <w:marLeft w:val="0"/>
      <w:marRight w:val="0"/>
      <w:marTop w:val="0"/>
      <w:marBottom w:val="0"/>
      <w:divBdr>
        <w:top w:val="none" w:sz="0" w:space="0" w:color="auto"/>
        <w:left w:val="none" w:sz="0" w:space="0" w:color="auto"/>
        <w:bottom w:val="none" w:sz="0" w:space="0" w:color="auto"/>
        <w:right w:val="none" w:sz="0" w:space="0" w:color="auto"/>
      </w:divBdr>
    </w:div>
    <w:div w:id="277031019">
      <w:bodyDiv w:val="1"/>
      <w:marLeft w:val="0"/>
      <w:marRight w:val="0"/>
      <w:marTop w:val="0"/>
      <w:marBottom w:val="0"/>
      <w:divBdr>
        <w:top w:val="none" w:sz="0" w:space="0" w:color="auto"/>
        <w:left w:val="none" w:sz="0" w:space="0" w:color="auto"/>
        <w:bottom w:val="none" w:sz="0" w:space="0" w:color="auto"/>
        <w:right w:val="none" w:sz="0" w:space="0" w:color="auto"/>
      </w:divBdr>
    </w:div>
    <w:div w:id="281308943">
      <w:bodyDiv w:val="1"/>
      <w:marLeft w:val="0"/>
      <w:marRight w:val="0"/>
      <w:marTop w:val="0"/>
      <w:marBottom w:val="0"/>
      <w:divBdr>
        <w:top w:val="none" w:sz="0" w:space="0" w:color="auto"/>
        <w:left w:val="none" w:sz="0" w:space="0" w:color="auto"/>
        <w:bottom w:val="none" w:sz="0" w:space="0" w:color="auto"/>
        <w:right w:val="none" w:sz="0" w:space="0" w:color="auto"/>
      </w:divBdr>
    </w:div>
    <w:div w:id="281767417">
      <w:bodyDiv w:val="1"/>
      <w:marLeft w:val="0"/>
      <w:marRight w:val="0"/>
      <w:marTop w:val="0"/>
      <w:marBottom w:val="0"/>
      <w:divBdr>
        <w:top w:val="none" w:sz="0" w:space="0" w:color="auto"/>
        <w:left w:val="none" w:sz="0" w:space="0" w:color="auto"/>
        <w:bottom w:val="none" w:sz="0" w:space="0" w:color="auto"/>
        <w:right w:val="none" w:sz="0" w:space="0" w:color="auto"/>
      </w:divBdr>
    </w:div>
    <w:div w:id="283313749">
      <w:bodyDiv w:val="1"/>
      <w:marLeft w:val="0"/>
      <w:marRight w:val="0"/>
      <w:marTop w:val="0"/>
      <w:marBottom w:val="0"/>
      <w:divBdr>
        <w:top w:val="none" w:sz="0" w:space="0" w:color="auto"/>
        <w:left w:val="none" w:sz="0" w:space="0" w:color="auto"/>
        <w:bottom w:val="none" w:sz="0" w:space="0" w:color="auto"/>
        <w:right w:val="none" w:sz="0" w:space="0" w:color="auto"/>
      </w:divBdr>
    </w:div>
    <w:div w:id="283387014">
      <w:bodyDiv w:val="1"/>
      <w:marLeft w:val="0"/>
      <w:marRight w:val="0"/>
      <w:marTop w:val="0"/>
      <w:marBottom w:val="0"/>
      <w:divBdr>
        <w:top w:val="none" w:sz="0" w:space="0" w:color="auto"/>
        <w:left w:val="none" w:sz="0" w:space="0" w:color="auto"/>
        <w:bottom w:val="none" w:sz="0" w:space="0" w:color="auto"/>
        <w:right w:val="none" w:sz="0" w:space="0" w:color="auto"/>
      </w:divBdr>
    </w:div>
    <w:div w:id="285042909">
      <w:bodyDiv w:val="1"/>
      <w:marLeft w:val="0"/>
      <w:marRight w:val="0"/>
      <w:marTop w:val="0"/>
      <w:marBottom w:val="0"/>
      <w:divBdr>
        <w:top w:val="none" w:sz="0" w:space="0" w:color="auto"/>
        <w:left w:val="none" w:sz="0" w:space="0" w:color="auto"/>
        <w:bottom w:val="none" w:sz="0" w:space="0" w:color="auto"/>
        <w:right w:val="none" w:sz="0" w:space="0" w:color="auto"/>
      </w:divBdr>
    </w:div>
    <w:div w:id="285546121">
      <w:bodyDiv w:val="1"/>
      <w:marLeft w:val="0"/>
      <w:marRight w:val="0"/>
      <w:marTop w:val="0"/>
      <w:marBottom w:val="0"/>
      <w:divBdr>
        <w:top w:val="none" w:sz="0" w:space="0" w:color="auto"/>
        <w:left w:val="none" w:sz="0" w:space="0" w:color="auto"/>
        <w:bottom w:val="none" w:sz="0" w:space="0" w:color="auto"/>
        <w:right w:val="none" w:sz="0" w:space="0" w:color="auto"/>
      </w:divBdr>
    </w:div>
    <w:div w:id="287013100">
      <w:bodyDiv w:val="1"/>
      <w:marLeft w:val="0"/>
      <w:marRight w:val="0"/>
      <w:marTop w:val="0"/>
      <w:marBottom w:val="0"/>
      <w:divBdr>
        <w:top w:val="none" w:sz="0" w:space="0" w:color="auto"/>
        <w:left w:val="none" w:sz="0" w:space="0" w:color="auto"/>
        <w:bottom w:val="none" w:sz="0" w:space="0" w:color="auto"/>
        <w:right w:val="none" w:sz="0" w:space="0" w:color="auto"/>
      </w:divBdr>
    </w:div>
    <w:div w:id="288173178">
      <w:bodyDiv w:val="1"/>
      <w:marLeft w:val="0"/>
      <w:marRight w:val="0"/>
      <w:marTop w:val="0"/>
      <w:marBottom w:val="0"/>
      <w:divBdr>
        <w:top w:val="none" w:sz="0" w:space="0" w:color="auto"/>
        <w:left w:val="none" w:sz="0" w:space="0" w:color="auto"/>
        <w:bottom w:val="none" w:sz="0" w:space="0" w:color="auto"/>
        <w:right w:val="none" w:sz="0" w:space="0" w:color="auto"/>
      </w:divBdr>
    </w:div>
    <w:div w:id="289094457">
      <w:bodyDiv w:val="1"/>
      <w:marLeft w:val="0"/>
      <w:marRight w:val="0"/>
      <w:marTop w:val="0"/>
      <w:marBottom w:val="0"/>
      <w:divBdr>
        <w:top w:val="none" w:sz="0" w:space="0" w:color="auto"/>
        <w:left w:val="none" w:sz="0" w:space="0" w:color="auto"/>
        <w:bottom w:val="none" w:sz="0" w:space="0" w:color="auto"/>
        <w:right w:val="none" w:sz="0" w:space="0" w:color="auto"/>
      </w:divBdr>
    </w:div>
    <w:div w:id="290786631">
      <w:bodyDiv w:val="1"/>
      <w:marLeft w:val="0"/>
      <w:marRight w:val="0"/>
      <w:marTop w:val="0"/>
      <w:marBottom w:val="0"/>
      <w:divBdr>
        <w:top w:val="none" w:sz="0" w:space="0" w:color="auto"/>
        <w:left w:val="none" w:sz="0" w:space="0" w:color="auto"/>
        <w:bottom w:val="none" w:sz="0" w:space="0" w:color="auto"/>
        <w:right w:val="none" w:sz="0" w:space="0" w:color="auto"/>
      </w:divBdr>
    </w:div>
    <w:div w:id="290788523">
      <w:bodyDiv w:val="1"/>
      <w:marLeft w:val="0"/>
      <w:marRight w:val="0"/>
      <w:marTop w:val="0"/>
      <w:marBottom w:val="0"/>
      <w:divBdr>
        <w:top w:val="none" w:sz="0" w:space="0" w:color="auto"/>
        <w:left w:val="none" w:sz="0" w:space="0" w:color="auto"/>
        <w:bottom w:val="none" w:sz="0" w:space="0" w:color="auto"/>
        <w:right w:val="none" w:sz="0" w:space="0" w:color="auto"/>
      </w:divBdr>
    </w:div>
    <w:div w:id="292757656">
      <w:bodyDiv w:val="1"/>
      <w:marLeft w:val="0"/>
      <w:marRight w:val="0"/>
      <w:marTop w:val="0"/>
      <w:marBottom w:val="0"/>
      <w:divBdr>
        <w:top w:val="none" w:sz="0" w:space="0" w:color="auto"/>
        <w:left w:val="none" w:sz="0" w:space="0" w:color="auto"/>
        <w:bottom w:val="none" w:sz="0" w:space="0" w:color="auto"/>
        <w:right w:val="none" w:sz="0" w:space="0" w:color="auto"/>
      </w:divBdr>
    </w:div>
    <w:div w:id="293028395">
      <w:bodyDiv w:val="1"/>
      <w:marLeft w:val="0"/>
      <w:marRight w:val="0"/>
      <w:marTop w:val="0"/>
      <w:marBottom w:val="0"/>
      <w:divBdr>
        <w:top w:val="none" w:sz="0" w:space="0" w:color="auto"/>
        <w:left w:val="none" w:sz="0" w:space="0" w:color="auto"/>
        <w:bottom w:val="none" w:sz="0" w:space="0" w:color="auto"/>
        <w:right w:val="none" w:sz="0" w:space="0" w:color="auto"/>
      </w:divBdr>
    </w:div>
    <w:div w:id="293827539">
      <w:bodyDiv w:val="1"/>
      <w:marLeft w:val="0"/>
      <w:marRight w:val="0"/>
      <w:marTop w:val="0"/>
      <w:marBottom w:val="0"/>
      <w:divBdr>
        <w:top w:val="none" w:sz="0" w:space="0" w:color="auto"/>
        <w:left w:val="none" w:sz="0" w:space="0" w:color="auto"/>
        <w:bottom w:val="none" w:sz="0" w:space="0" w:color="auto"/>
        <w:right w:val="none" w:sz="0" w:space="0" w:color="auto"/>
      </w:divBdr>
    </w:div>
    <w:div w:id="301039614">
      <w:bodyDiv w:val="1"/>
      <w:marLeft w:val="0"/>
      <w:marRight w:val="0"/>
      <w:marTop w:val="0"/>
      <w:marBottom w:val="0"/>
      <w:divBdr>
        <w:top w:val="none" w:sz="0" w:space="0" w:color="auto"/>
        <w:left w:val="none" w:sz="0" w:space="0" w:color="auto"/>
        <w:bottom w:val="none" w:sz="0" w:space="0" w:color="auto"/>
        <w:right w:val="none" w:sz="0" w:space="0" w:color="auto"/>
      </w:divBdr>
    </w:div>
    <w:div w:id="301858861">
      <w:bodyDiv w:val="1"/>
      <w:marLeft w:val="0"/>
      <w:marRight w:val="0"/>
      <w:marTop w:val="0"/>
      <w:marBottom w:val="0"/>
      <w:divBdr>
        <w:top w:val="none" w:sz="0" w:space="0" w:color="auto"/>
        <w:left w:val="none" w:sz="0" w:space="0" w:color="auto"/>
        <w:bottom w:val="none" w:sz="0" w:space="0" w:color="auto"/>
        <w:right w:val="none" w:sz="0" w:space="0" w:color="auto"/>
      </w:divBdr>
    </w:div>
    <w:div w:id="304160618">
      <w:bodyDiv w:val="1"/>
      <w:marLeft w:val="0"/>
      <w:marRight w:val="0"/>
      <w:marTop w:val="0"/>
      <w:marBottom w:val="0"/>
      <w:divBdr>
        <w:top w:val="none" w:sz="0" w:space="0" w:color="auto"/>
        <w:left w:val="none" w:sz="0" w:space="0" w:color="auto"/>
        <w:bottom w:val="none" w:sz="0" w:space="0" w:color="auto"/>
        <w:right w:val="none" w:sz="0" w:space="0" w:color="auto"/>
      </w:divBdr>
    </w:div>
    <w:div w:id="304432251">
      <w:bodyDiv w:val="1"/>
      <w:marLeft w:val="0"/>
      <w:marRight w:val="0"/>
      <w:marTop w:val="0"/>
      <w:marBottom w:val="0"/>
      <w:divBdr>
        <w:top w:val="none" w:sz="0" w:space="0" w:color="auto"/>
        <w:left w:val="none" w:sz="0" w:space="0" w:color="auto"/>
        <w:bottom w:val="none" w:sz="0" w:space="0" w:color="auto"/>
        <w:right w:val="none" w:sz="0" w:space="0" w:color="auto"/>
      </w:divBdr>
    </w:div>
    <w:div w:id="306934958">
      <w:bodyDiv w:val="1"/>
      <w:marLeft w:val="0"/>
      <w:marRight w:val="0"/>
      <w:marTop w:val="0"/>
      <w:marBottom w:val="0"/>
      <w:divBdr>
        <w:top w:val="none" w:sz="0" w:space="0" w:color="auto"/>
        <w:left w:val="none" w:sz="0" w:space="0" w:color="auto"/>
        <w:bottom w:val="none" w:sz="0" w:space="0" w:color="auto"/>
        <w:right w:val="none" w:sz="0" w:space="0" w:color="auto"/>
      </w:divBdr>
    </w:div>
    <w:div w:id="308481066">
      <w:bodyDiv w:val="1"/>
      <w:marLeft w:val="0"/>
      <w:marRight w:val="0"/>
      <w:marTop w:val="0"/>
      <w:marBottom w:val="0"/>
      <w:divBdr>
        <w:top w:val="none" w:sz="0" w:space="0" w:color="auto"/>
        <w:left w:val="none" w:sz="0" w:space="0" w:color="auto"/>
        <w:bottom w:val="none" w:sz="0" w:space="0" w:color="auto"/>
        <w:right w:val="none" w:sz="0" w:space="0" w:color="auto"/>
      </w:divBdr>
    </w:div>
    <w:div w:id="308678869">
      <w:bodyDiv w:val="1"/>
      <w:marLeft w:val="0"/>
      <w:marRight w:val="0"/>
      <w:marTop w:val="0"/>
      <w:marBottom w:val="0"/>
      <w:divBdr>
        <w:top w:val="none" w:sz="0" w:space="0" w:color="auto"/>
        <w:left w:val="none" w:sz="0" w:space="0" w:color="auto"/>
        <w:bottom w:val="none" w:sz="0" w:space="0" w:color="auto"/>
        <w:right w:val="none" w:sz="0" w:space="0" w:color="auto"/>
      </w:divBdr>
    </w:div>
    <w:div w:id="310601849">
      <w:bodyDiv w:val="1"/>
      <w:marLeft w:val="0"/>
      <w:marRight w:val="0"/>
      <w:marTop w:val="0"/>
      <w:marBottom w:val="0"/>
      <w:divBdr>
        <w:top w:val="none" w:sz="0" w:space="0" w:color="auto"/>
        <w:left w:val="none" w:sz="0" w:space="0" w:color="auto"/>
        <w:bottom w:val="none" w:sz="0" w:space="0" w:color="auto"/>
        <w:right w:val="none" w:sz="0" w:space="0" w:color="auto"/>
      </w:divBdr>
    </w:div>
    <w:div w:id="311300943">
      <w:bodyDiv w:val="1"/>
      <w:marLeft w:val="0"/>
      <w:marRight w:val="0"/>
      <w:marTop w:val="0"/>
      <w:marBottom w:val="0"/>
      <w:divBdr>
        <w:top w:val="none" w:sz="0" w:space="0" w:color="auto"/>
        <w:left w:val="none" w:sz="0" w:space="0" w:color="auto"/>
        <w:bottom w:val="none" w:sz="0" w:space="0" w:color="auto"/>
        <w:right w:val="none" w:sz="0" w:space="0" w:color="auto"/>
      </w:divBdr>
    </w:div>
    <w:div w:id="312563879">
      <w:bodyDiv w:val="1"/>
      <w:marLeft w:val="0"/>
      <w:marRight w:val="0"/>
      <w:marTop w:val="0"/>
      <w:marBottom w:val="0"/>
      <w:divBdr>
        <w:top w:val="none" w:sz="0" w:space="0" w:color="auto"/>
        <w:left w:val="none" w:sz="0" w:space="0" w:color="auto"/>
        <w:bottom w:val="none" w:sz="0" w:space="0" w:color="auto"/>
        <w:right w:val="none" w:sz="0" w:space="0" w:color="auto"/>
      </w:divBdr>
    </w:div>
    <w:div w:id="313218988">
      <w:bodyDiv w:val="1"/>
      <w:marLeft w:val="0"/>
      <w:marRight w:val="0"/>
      <w:marTop w:val="0"/>
      <w:marBottom w:val="0"/>
      <w:divBdr>
        <w:top w:val="none" w:sz="0" w:space="0" w:color="auto"/>
        <w:left w:val="none" w:sz="0" w:space="0" w:color="auto"/>
        <w:bottom w:val="none" w:sz="0" w:space="0" w:color="auto"/>
        <w:right w:val="none" w:sz="0" w:space="0" w:color="auto"/>
      </w:divBdr>
    </w:div>
    <w:div w:id="313948392">
      <w:bodyDiv w:val="1"/>
      <w:marLeft w:val="0"/>
      <w:marRight w:val="0"/>
      <w:marTop w:val="0"/>
      <w:marBottom w:val="0"/>
      <w:divBdr>
        <w:top w:val="none" w:sz="0" w:space="0" w:color="auto"/>
        <w:left w:val="none" w:sz="0" w:space="0" w:color="auto"/>
        <w:bottom w:val="none" w:sz="0" w:space="0" w:color="auto"/>
        <w:right w:val="none" w:sz="0" w:space="0" w:color="auto"/>
      </w:divBdr>
    </w:div>
    <w:div w:id="314064887">
      <w:bodyDiv w:val="1"/>
      <w:marLeft w:val="0"/>
      <w:marRight w:val="0"/>
      <w:marTop w:val="0"/>
      <w:marBottom w:val="0"/>
      <w:divBdr>
        <w:top w:val="none" w:sz="0" w:space="0" w:color="auto"/>
        <w:left w:val="none" w:sz="0" w:space="0" w:color="auto"/>
        <w:bottom w:val="none" w:sz="0" w:space="0" w:color="auto"/>
        <w:right w:val="none" w:sz="0" w:space="0" w:color="auto"/>
      </w:divBdr>
    </w:div>
    <w:div w:id="314921051">
      <w:bodyDiv w:val="1"/>
      <w:marLeft w:val="0"/>
      <w:marRight w:val="0"/>
      <w:marTop w:val="0"/>
      <w:marBottom w:val="0"/>
      <w:divBdr>
        <w:top w:val="none" w:sz="0" w:space="0" w:color="auto"/>
        <w:left w:val="none" w:sz="0" w:space="0" w:color="auto"/>
        <w:bottom w:val="none" w:sz="0" w:space="0" w:color="auto"/>
        <w:right w:val="none" w:sz="0" w:space="0" w:color="auto"/>
      </w:divBdr>
    </w:div>
    <w:div w:id="316613422">
      <w:bodyDiv w:val="1"/>
      <w:marLeft w:val="0"/>
      <w:marRight w:val="0"/>
      <w:marTop w:val="0"/>
      <w:marBottom w:val="0"/>
      <w:divBdr>
        <w:top w:val="none" w:sz="0" w:space="0" w:color="auto"/>
        <w:left w:val="none" w:sz="0" w:space="0" w:color="auto"/>
        <w:bottom w:val="none" w:sz="0" w:space="0" w:color="auto"/>
        <w:right w:val="none" w:sz="0" w:space="0" w:color="auto"/>
      </w:divBdr>
    </w:div>
    <w:div w:id="316812428">
      <w:bodyDiv w:val="1"/>
      <w:marLeft w:val="0"/>
      <w:marRight w:val="0"/>
      <w:marTop w:val="0"/>
      <w:marBottom w:val="0"/>
      <w:divBdr>
        <w:top w:val="none" w:sz="0" w:space="0" w:color="auto"/>
        <w:left w:val="none" w:sz="0" w:space="0" w:color="auto"/>
        <w:bottom w:val="none" w:sz="0" w:space="0" w:color="auto"/>
        <w:right w:val="none" w:sz="0" w:space="0" w:color="auto"/>
      </w:divBdr>
    </w:div>
    <w:div w:id="317610002">
      <w:bodyDiv w:val="1"/>
      <w:marLeft w:val="0"/>
      <w:marRight w:val="0"/>
      <w:marTop w:val="0"/>
      <w:marBottom w:val="0"/>
      <w:divBdr>
        <w:top w:val="none" w:sz="0" w:space="0" w:color="auto"/>
        <w:left w:val="none" w:sz="0" w:space="0" w:color="auto"/>
        <w:bottom w:val="none" w:sz="0" w:space="0" w:color="auto"/>
        <w:right w:val="none" w:sz="0" w:space="0" w:color="auto"/>
      </w:divBdr>
    </w:div>
    <w:div w:id="318118265">
      <w:bodyDiv w:val="1"/>
      <w:marLeft w:val="0"/>
      <w:marRight w:val="0"/>
      <w:marTop w:val="0"/>
      <w:marBottom w:val="0"/>
      <w:divBdr>
        <w:top w:val="none" w:sz="0" w:space="0" w:color="auto"/>
        <w:left w:val="none" w:sz="0" w:space="0" w:color="auto"/>
        <w:bottom w:val="none" w:sz="0" w:space="0" w:color="auto"/>
        <w:right w:val="none" w:sz="0" w:space="0" w:color="auto"/>
      </w:divBdr>
    </w:div>
    <w:div w:id="318311992">
      <w:bodyDiv w:val="1"/>
      <w:marLeft w:val="0"/>
      <w:marRight w:val="0"/>
      <w:marTop w:val="0"/>
      <w:marBottom w:val="0"/>
      <w:divBdr>
        <w:top w:val="none" w:sz="0" w:space="0" w:color="auto"/>
        <w:left w:val="none" w:sz="0" w:space="0" w:color="auto"/>
        <w:bottom w:val="none" w:sz="0" w:space="0" w:color="auto"/>
        <w:right w:val="none" w:sz="0" w:space="0" w:color="auto"/>
      </w:divBdr>
    </w:div>
    <w:div w:id="318461230">
      <w:bodyDiv w:val="1"/>
      <w:marLeft w:val="0"/>
      <w:marRight w:val="0"/>
      <w:marTop w:val="0"/>
      <w:marBottom w:val="0"/>
      <w:divBdr>
        <w:top w:val="none" w:sz="0" w:space="0" w:color="auto"/>
        <w:left w:val="none" w:sz="0" w:space="0" w:color="auto"/>
        <w:bottom w:val="none" w:sz="0" w:space="0" w:color="auto"/>
        <w:right w:val="none" w:sz="0" w:space="0" w:color="auto"/>
      </w:divBdr>
    </w:div>
    <w:div w:id="318465200">
      <w:bodyDiv w:val="1"/>
      <w:marLeft w:val="0"/>
      <w:marRight w:val="0"/>
      <w:marTop w:val="0"/>
      <w:marBottom w:val="0"/>
      <w:divBdr>
        <w:top w:val="none" w:sz="0" w:space="0" w:color="auto"/>
        <w:left w:val="none" w:sz="0" w:space="0" w:color="auto"/>
        <w:bottom w:val="none" w:sz="0" w:space="0" w:color="auto"/>
        <w:right w:val="none" w:sz="0" w:space="0" w:color="auto"/>
      </w:divBdr>
    </w:div>
    <w:div w:id="318847054">
      <w:bodyDiv w:val="1"/>
      <w:marLeft w:val="0"/>
      <w:marRight w:val="0"/>
      <w:marTop w:val="0"/>
      <w:marBottom w:val="0"/>
      <w:divBdr>
        <w:top w:val="none" w:sz="0" w:space="0" w:color="auto"/>
        <w:left w:val="none" w:sz="0" w:space="0" w:color="auto"/>
        <w:bottom w:val="none" w:sz="0" w:space="0" w:color="auto"/>
        <w:right w:val="none" w:sz="0" w:space="0" w:color="auto"/>
      </w:divBdr>
    </w:div>
    <w:div w:id="319507212">
      <w:bodyDiv w:val="1"/>
      <w:marLeft w:val="0"/>
      <w:marRight w:val="0"/>
      <w:marTop w:val="0"/>
      <w:marBottom w:val="0"/>
      <w:divBdr>
        <w:top w:val="none" w:sz="0" w:space="0" w:color="auto"/>
        <w:left w:val="none" w:sz="0" w:space="0" w:color="auto"/>
        <w:bottom w:val="none" w:sz="0" w:space="0" w:color="auto"/>
        <w:right w:val="none" w:sz="0" w:space="0" w:color="auto"/>
      </w:divBdr>
    </w:div>
    <w:div w:id="320426376">
      <w:bodyDiv w:val="1"/>
      <w:marLeft w:val="0"/>
      <w:marRight w:val="0"/>
      <w:marTop w:val="0"/>
      <w:marBottom w:val="0"/>
      <w:divBdr>
        <w:top w:val="none" w:sz="0" w:space="0" w:color="auto"/>
        <w:left w:val="none" w:sz="0" w:space="0" w:color="auto"/>
        <w:bottom w:val="none" w:sz="0" w:space="0" w:color="auto"/>
        <w:right w:val="none" w:sz="0" w:space="0" w:color="auto"/>
      </w:divBdr>
    </w:div>
    <w:div w:id="320742413">
      <w:bodyDiv w:val="1"/>
      <w:marLeft w:val="0"/>
      <w:marRight w:val="0"/>
      <w:marTop w:val="0"/>
      <w:marBottom w:val="0"/>
      <w:divBdr>
        <w:top w:val="none" w:sz="0" w:space="0" w:color="auto"/>
        <w:left w:val="none" w:sz="0" w:space="0" w:color="auto"/>
        <w:bottom w:val="none" w:sz="0" w:space="0" w:color="auto"/>
        <w:right w:val="none" w:sz="0" w:space="0" w:color="auto"/>
      </w:divBdr>
    </w:div>
    <w:div w:id="321785920">
      <w:bodyDiv w:val="1"/>
      <w:marLeft w:val="0"/>
      <w:marRight w:val="0"/>
      <w:marTop w:val="0"/>
      <w:marBottom w:val="0"/>
      <w:divBdr>
        <w:top w:val="none" w:sz="0" w:space="0" w:color="auto"/>
        <w:left w:val="none" w:sz="0" w:space="0" w:color="auto"/>
        <w:bottom w:val="none" w:sz="0" w:space="0" w:color="auto"/>
        <w:right w:val="none" w:sz="0" w:space="0" w:color="auto"/>
      </w:divBdr>
    </w:div>
    <w:div w:id="322707435">
      <w:bodyDiv w:val="1"/>
      <w:marLeft w:val="0"/>
      <w:marRight w:val="0"/>
      <w:marTop w:val="0"/>
      <w:marBottom w:val="0"/>
      <w:divBdr>
        <w:top w:val="none" w:sz="0" w:space="0" w:color="auto"/>
        <w:left w:val="none" w:sz="0" w:space="0" w:color="auto"/>
        <w:bottom w:val="none" w:sz="0" w:space="0" w:color="auto"/>
        <w:right w:val="none" w:sz="0" w:space="0" w:color="auto"/>
      </w:divBdr>
    </w:div>
    <w:div w:id="323556840">
      <w:bodyDiv w:val="1"/>
      <w:marLeft w:val="0"/>
      <w:marRight w:val="0"/>
      <w:marTop w:val="0"/>
      <w:marBottom w:val="0"/>
      <w:divBdr>
        <w:top w:val="none" w:sz="0" w:space="0" w:color="auto"/>
        <w:left w:val="none" w:sz="0" w:space="0" w:color="auto"/>
        <w:bottom w:val="none" w:sz="0" w:space="0" w:color="auto"/>
        <w:right w:val="none" w:sz="0" w:space="0" w:color="auto"/>
      </w:divBdr>
    </w:div>
    <w:div w:id="324282477">
      <w:bodyDiv w:val="1"/>
      <w:marLeft w:val="0"/>
      <w:marRight w:val="0"/>
      <w:marTop w:val="0"/>
      <w:marBottom w:val="0"/>
      <w:divBdr>
        <w:top w:val="none" w:sz="0" w:space="0" w:color="auto"/>
        <w:left w:val="none" w:sz="0" w:space="0" w:color="auto"/>
        <w:bottom w:val="none" w:sz="0" w:space="0" w:color="auto"/>
        <w:right w:val="none" w:sz="0" w:space="0" w:color="auto"/>
      </w:divBdr>
    </w:div>
    <w:div w:id="324481961">
      <w:bodyDiv w:val="1"/>
      <w:marLeft w:val="0"/>
      <w:marRight w:val="0"/>
      <w:marTop w:val="0"/>
      <w:marBottom w:val="0"/>
      <w:divBdr>
        <w:top w:val="none" w:sz="0" w:space="0" w:color="auto"/>
        <w:left w:val="none" w:sz="0" w:space="0" w:color="auto"/>
        <w:bottom w:val="none" w:sz="0" w:space="0" w:color="auto"/>
        <w:right w:val="none" w:sz="0" w:space="0" w:color="auto"/>
      </w:divBdr>
    </w:div>
    <w:div w:id="326251161">
      <w:bodyDiv w:val="1"/>
      <w:marLeft w:val="0"/>
      <w:marRight w:val="0"/>
      <w:marTop w:val="0"/>
      <w:marBottom w:val="0"/>
      <w:divBdr>
        <w:top w:val="none" w:sz="0" w:space="0" w:color="auto"/>
        <w:left w:val="none" w:sz="0" w:space="0" w:color="auto"/>
        <w:bottom w:val="none" w:sz="0" w:space="0" w:color="auto"/>
        <w:right w:val="none" w:sz="0" w:space="0" w:color="auto"/>
      </w:divBdr>
    </w:div>
    <w:div w:id="327949972">
      <w:bodyDiv w:val="1"/>
      <w:marLeft w:val="0"/>
      <w:marRight w:val="0"/>
      <w:marTop w:val="0"/>
      <w:marBottom w:val="0"/>
      <w:divBdr>
        <w:top w:val="none" w:sz="0" w:space="0" w:color="auto"/>
        <w:left w:val="none" w:sz="0" w:space="0" w:color="auto"/>
        <w:bottom w:val="none" w:sz="0" w:space="0" w:color="auto"/>
        <w:right w:val="none" w:sz="0" w:space="0" w:color="auto"/>
      </w:divBdr>
    </w:div>
    <w:div w:id="328024936">
      <w:bodyDiv w:val="1"/>
      <w:marLeft w:val="0"/>
      <w:marRight w:val="0"/>
      <w:marTop w:val="0"/>
      <w:marBottom w:val="0"/>
      <w:divBdr>
        <w:top w:val="none" w:sz="0" w:space="0" w:color="auto"/>
        <w:left w:val="none" w:sz="0" w:space="0" w:color="auto"/>
        <w:bottom w:val="none" w:sz="0" w:space="0" w:color="auto"/>
        <w:right w:val="none" w:sz="0" w:space="0" w:color="auto"/>
      </w:divBdr>
    </w:div>
    <w:div w:id="328099752">
      <w:bodyDiv w:val="1"/>
      <w:marLeft w:val="0"/>
      <w:marRight w:val="0"/>
      <w:marTop w:val="0"/>
      <w:marBottom w:val="0"/>
      <w:divBdr>
        <w:top w:val="none" w:sz="0" w:space="0" w:color="auto"/>
        <w:left w:val="none" w:sz="0" w:space="0" w:color="auto"/>
        <w:bottom w:val="none" w:sz="0" w:space="0" w:color="auto"/>
        <w:right w:val="none" w:sz="0" w:space="0" w:color="auto"/>
      </w:divBdr>
    </w:div>
    <w:div w:id="328560039">
      <w:bodyDiv w:val="1"/>
      <w:marLeft w:val="0"/>
      <w:marRight w:val="0"/>
      <w:marTop w:val="0"/>
      <w:marBottom w:val="0"/>
      <w:divBdr>
        <w:top w:val="none" w:sz="0" w:space="0" w:color="auto"/>
        <w:left w:val="none" w:sz="0" w:space="0" w:color="auto"/>
        <w:bottom w:val="none" w:sz="0" w:space="0" w:color="auto"/>
        <w:right w:val="none" w:sz="0" w:space="0" w:color="auto"/>
      </w:divBdr>
    </w:div>
    <w:div w:id="330066115">
      <w:bodyDiv w:val="1"/>
      <w:marLeft w:val="0"/>
      <w:marRight w:val="0"/>
      <w:marTop w:val="0"/>
      <w:marBottom w:val="0"/>
      <w:divBdr>
        <w:top w:val="none" w:sz="0" w:space="0" w:color="auto"/>
        <w:left w:val="none" w:sz="0" w:space="0" w:color="auto"/>
        <w:bottom w:val="none" w:sz="0" w:space="0" w:color="auto"/>
        <w:right w:val="none" w:sz="0" w:space="0" w:color="auto"/>
      </w:divBdr>
    </w:div>
    <w:div w:id="330454188">
      <w:bodyDiv w:val="1"/>
      <w:marLeft w:val="0"/>
      <w:marRight w:val="0"/>
      <w:marTop w:val="0"/>
      <w:marBottom w:val="0"/>
      <w:divBdr>
        <w:top w:val="none" w:sz="0" w:space="0" w:color="auto"/>
        <w:left w:val="none" w:sz="0" w:space="0" w:color="auto"/>
        <w:bottom w:val="none" w:sz="0" w:space="0" w:color="auto"/>
        <w:right w:val="none" w:sz="0" w:space="0" w:color="auto"/>
      </w:divBdr>
    </w:div>
    <w:div w:id="331177846">
      <w:bodyDiv w:val="1"/>
      <w:marLeft w:val="0"/>
      <w:marRight w:val="0"/>
      <w:marTop w:val="0"/>
      <w:marBottom w:val="0"/>
      <w:divBdr>
        <w:top w:val="none" w:sz="0" w:space="0" w:color="auto"/>
        <w:left w:val="none" w:sz="0" w:space="0" w:color="auto"/>
        <w:bottom w:val="none" w:sz="0" w:space="0" w:color="auto"/>
        <w:right w:val="none" w:sz="0" w:space="0" w:color="auto"/>
      </w:divBdr>
    </w:div>
    <w:div w:id="331183365">
      <w:bodyDiv w:val="1"/>
      <w:marLeft w:val="0"/>
      <w:marRight w:val="0"/>
      <w:marTop w:val="0"/>
      <w:marBottom w:val="0"/>
      <w:divBdr>
        <w:top w:val="none" w:sz="0" w:space="0" w:color="auto"/>
        <w:left w:val="none" w:sz="0" w:space="0" w:color="auto"/>
        <w:bottom w:val="none" w:sz="0" w:space="0" w:color="auto"/>
        <w:right w:val="none" w:sz="0" w:space="0" w:color="auto"/>
      </w:divBdr>
    </w:div>
    <w:div w:id="334188583">
      <w:bodyDiv w:val="1"/>
      <w:marLeft w:val="0"/>
      <w:marRight w:val="0"/>
      <w:marTop w:val="0"/>
      <w:marBottom w:val="0"/>
      <w:divBdr>
        <w:top w:val="none" w:sz="0" w:space="0" w:color="auto"/>
        <w:left w:val="none" w:sz="0" w:space="0" w:color="auto"/>
        <w:bottom w:val="none" w:sz="0" w:space="0" w:color="auto"/>
        <w:right w:val="none" w:sz="0" w:space="0" w:color="auto"/>
      </w:divBdr>
    </w:div>
    <w:div w:id="334725081">
      <w:bodyDiv w:val="1"/>
      <w:marLeft w:val="0"/>
      <w:marRight w:val="0"/>
      <w:marTop w:val="0"/>
      <w:marBottom w:val="0"/>
      <w:divBdr>
        <w:top w:val="none" w:sz="0" w:space="0" w:color="auto"/>
        <w:left w:val="none" w:sz="0" w:space="0" w:color="auto"/>
        <w:bottom w:val="none" w:sz="0" w:space="0" w:color="auto"/>
        <w:right w:val="none" w:sz="0" w:space="0" w:color="auto"/>
      </w:divBdr>
    </w:div>
    <w:div w:id="335425329">
      <w:bodyDiv w:val="1"/>
      <w:marLeft w:val="0"/>
      <w:marRight w:val="0"/>
      <w:marTop w:val="0"/>
      <w:marBottom w:val="0"/>
      <w:divBdr>
        <w:top w:val="none" w:sz="0" w:space="0" w:color="auto"/>
        <w:left w:val="none" w:sz="0" w:space="0" w:color="auto"/>
        <w:bottom w:val="none" w:sz="0" w:space="0" w:color="auto"/>
        <w:right w:val="none" w:sz="0" w:space="0" w:color="auto"/>
      </w:divBdr>
    </w:div>
    <w:div w:id="336538969">
      <w:bodyDiv w:val="1"/>
      <w:marLeft w:val="0"/>
      <w:marRight w:val="0"/>
      <w:marTop w:val="0"/>
      <w:marBottom w:val="0"/>
      <w:divBdr>
        <w:top w:val="none" w:sz="0" w:space="0" w:color="auto"/>
        <w:left w:val="none" w:sz="0" w:space="0" w:color="auto"/>
        <w:bottom w:val="none" w:sz="0" w:space="0" w:color="auto"/>
        <w:right w:val="none" w:sz="0" w:space="0" w:color="auto"/>
      </w:divBdr>
    </w:div>
    <w:div w:id="337124084">
      <w:bodyDiv w:val="1"/>
      <w:marLeft w:val="0"/>
      <w:marRight w:val="0"/>
      <w:marTop w:val="0"/>
      <w:marBottom w:val="0"/>
      <w:divBdr>
        <w:top w:val="none" w:sz="0" w:space="0" w:color="auto"/>
        <w:left w:val="none" w:sz="0" w:space="0" w:color="auto"/>
        <w:bottom w:val="none" w:sz="0" w:space="0" w:color="auto"/>
        <w:right w:val="none" w:sz="0" w:space="0" w:color="auto"/>
      </w:divBdr>
    </w:div>
    <w:div w:id="337196069">
      <w:bodyDiv w:val="1"/>
      <w:marLeft w:val="0"/>
      <w:marRight w:val="0"/>
      <w:marTop w:val="0"/>
      <w:marBottom w:val="0"/>
      <w:divBdr>
        <w:top w:val="none" w:sz="0" w:space="0" w:color="auto"/>
        <w:left w:val="none" w:sz="0" w:space="0" w:color="auto"/>
        <w:bottom w:val="none" w:sz="0" w:space="0" w:color="auto"/>
        <w:right w:val="none" w:sz="0" w:space="0" w:color="auto"/>
      </w:divBdr>
    </w:div>
    <w:div w:id="337539788">
      <w:bodyDiv w:val="1"/>
      <w:marLeft w:val="0"/>
      <w:marRight w:val="0"/>
      <w:marTop w:val="0"/>
      <w:marBottom w:val="0"/>
      <w:divBdr>
        <w:top w:val="none" w:sz="0" w:space="0" w:color="auto"/>
        <w:left w:val="none" w:sz="0" w:space="0" w:color="auto"/>
        <w:bottom w:val="none" w:sz="0" w:space="0" w:color="auto"/>
        <w:right w:val="none" w:sz="0" w:space="0" w:color="auto"/>
      </w:divBdr>
    </w:div>
    <w:div w:id="337781237">
      <w:bodyDiv w:val="1"/>
      <w:marLeft w:val="0"/>
      <w:marRight w:val="0"/>
      <w:marTop w:val="0"/>
      <w:marBottom w:val="0"/>
      <w:divBdr>
        <w:top w:val="none" w:sz="0" w:space="0" w:color="auto"/>
        <w:left w:val="none" w:sz="0" w:space="0" w:color="auto"/>
        <w:bottom w:val="none" w:sz="0" w:space="0" w:color="auto"/>
        <w:right w:val="none" w:sz="0" w:space="0" w:color="auto"/>
      </w:divBdr>
    </w:div>
    <w:div w:id="337926307">
      <w:bodyDiv w:val="1"/>
      <w:marLeft w:val="0"/>
      <w:marRight w:val="0"/>
      <w:marTop w:val="0"/>
      <w:marBottom w:val="0"/>
      <w:divBdr>
        <w:top w:val="none" w:sz="0" w:space="0" w:color="auto"/>
        <w:left w:val="none" w:sz="0" w:space="0" w:color="auto"/>
        <w:bottom w:val="none" w:sz="0" w:space="0" w:color="auto"/>
        <w:right w:val="none" w:sz="0" w:space="0" w:color="auto"/>
      </w:divBdr>
    </w:div>
    <w:div w:id="339085777">
      <w:bodyDiv w:val="1"/>
      <w:marLeft w:val="0"/>
      <w:marRight w:val="0"/>
      <w:marTop w:val="0"/>
      <w:marBottom w:val="0"/>
      <w:divBdr>
        <w:top w:val="none" w:sz="0" w:space="0" w:color="auto"/>
        <w:left w:val="none" w:sz="0" w:space="0" w:color="auto"/>
        <w:bottom w:val="none" w:sz="0" w:space="0" w:color="auto"/>
        <w:right w:val="none" w:sz="0" w:space="0" w:color="auto"/>
      </w:divBdr>
    </w:div>
    <w:div w:id="341007115">
      <w:bodyDiv w:val="1"/>
      <w:marLeft w:val="0"/>
      <w:marRight w:val="0"/>
      <w:marTop w:val="0"/>
      <w:marBottom w:val="0"/>
      <w:divBdr>
        <w:top w:val="none" w:sz="0" w:space="0" w:color="auto"/>
        <w:left w:val="none" w:sz="0" w:space="0" w:color="auto"/>
        <w:bottom w:val="none" w:sz="0" w:space="0" w:color="auto"/>
        <w:right w:val="none" w:sz="0" w:space="0" w:color="auto"/>
      </w:divBdr>
    </w:div>
    <w:div w:id="342318372">
      <w:bodyDiv w:val="1"/>
      <w:marLeft w:val="0"/>
      <w:marRight w:val="0"/>
      <w:marTop w:val="0"/>
      <w:marBottom w:val="0"/>
      <w:divBdr>
        <w:top w:val="none" w:sz="0" w:space="0" w:color="auto"/>
        <w:left w:val="none" w:sz="0" w:space="0" w:color="auto"/>
        <w:bottom w:val="none" w:sz="0" w:space="0" w:color="auto"/>
        <w:right w:val="none" w:sz="0" w:space="0" w:color="auto"/>
      </w:divBdr>
    </w:div>
    <w:div w:id="342586620">
      <w:bodyDiv w:val="1"/>
      <w:marLeft w:val="0"/>
      <w:marRight w:val="0"/>
      <w:marTop w:val="0"/>
      <w:marBottom w:val="0"/>
      <w:divBdr>
        <w:top w:val="none" w:sz="0" w:space="0" w:color="auto"/>
        <w:left w:val="none" w:sz="0" w:space="0" w:color="auto"/>
        <w:bottom w:val="none" w:sz="0" w:space="0" w:color="auto"/>
        <w:right w:val="none" w:sz="0" w:space="0" w:color="auto"/>
      </w:divBdr>
    </w:div>
    <w:div w:id="342979764">
      <w:bodyDiv w:val="1"/>
      <w:marLeft w:val="0"/>
      <w:marRight w:val="0"/>
      <w:marTop w:val="0"/>
      <w:marBottom w:val="0"/>
      <w:divBdr>
        <w:top w:val="none" w:sz="0" w:space="0" w:color="auto"/>
        <w:left w:val="none" w:sz="0" w:space="0" w:color="auto"/>
        <w:bottom w:val="none" w:sz="0" w:space="0" w:color="auto"/>
        <w:right w:val="none" w:sz="0" w:space="0" w:color="auto"/>
      </w:divBdr>
    </w:div>
    <w:div w:id="347100413">
      <w:bodyDiv w:val="1"/>
      <w:marLeft w:val="0"/>
      <w:marRight w:val="0"/>
      <w:marTop w:val="0"/>
      <w:marBottom w:val="0"/>
      <w:divBdr>
        <w:top w:val="none" w:sz="0" w:space="0" w:color="auto"/>
        <w:left w:val="none" w:sz="0" w:space="0" w:color="auto"/>
        <w:bottom w:val="none" w:sz="0" w:space="0" w:color="auto"/>
        <w:right w:val="none" w:sz="0" w:space="0" w:color="auto"/>
      </w:divBdr>
    </w:div>
    <w:div w:id="348026037">
      <w:bodyDiv w:val="1"/>
      <w:marLeft w:val="0"/>
      <w:marRight w:val="0"/>
      <w:marTop w:val="0"/>
      <w:marBottom w:val="0"/>
      <w:divBdr>
        <w:top w:val="none" w:sz="0" w:space="0" w:color="auto"/>
        <w:left w:val="none" w:sz="0" w:space="0" w:color="auto"/>
        <w:bottom w:val="none" w:sz="0" w:space="0" w:color="auto"/>
        <w:right w:val="none" w:sz="0" w:space="0" w:color="auto"/>
      </w:divBdr>
    </w:div>
    <w:div w:id="349642785">
      <w:bodyDiv w:val="1"/>
      <w:marLeft w:val="0"/>
      <w:marRight w:val="0"/>
      <w:marTop w:val="0"/>
      <w:marBottom w:val="0"/>
      <w:divBdr>
        <w:top w:val="none" w:sz="0" w:space="0" w:color="auto"/>
        <w:left w:val="none" w:sz="0" w:space="0" w:color="auto"/>
        <w:bottom w:val="none" w:sz="0" w:space="0" w:color="auto"/>
        <w:right w:val="none" w:sz="0" w:space="0" w:color="auto"/>
      </w:divBdr>
    </w:div>
    <w:div w:id="350107418">
      <w:bodyDiv w:val="1"/>
      <w:marLeft w:val="0"/>
      <w:marRight w:val="0"/>
      <w:marTop w:val="0"/>
      <w:marBottom w:val="0"/>
      <w:divBdr>
        <w:top w:val="none" w:sz="0" w:space="0" w:color="auto"/>
        <w:left w:val="none" w:sz="0" w:space="0" w:color="auto"/>
        <w:bottom w:val="none" w:sz="0" w:space="0" w:color="auto"/>
        <w:right w:val="none" w:sz="0" w:space="0" w:color="auto"/>
      </w:divBdr>
    </w:div>
    <w:div w:id="352804704">
      <w:bodyDiv w:val="1"/>
      <w:marLeft w:val="0"/>
      <w:marRight w:val="0"/>
      <w:marTop w:val="0"/>
      <w:marBottom w:val="0"/>
      <w:divBdr>
        <w:top w:val="none" w:sz="0" w:space="0" w:color="auto"/>
        <w:left w:val="none" w:sz="0" w:space="0" w:color="auto"/>
        <w:bottom w:val="none" w:sz="0" w:space="0" w:color="auto"/>
        <w:right w:val="none" w:sz="0" w:space="0" w:color="auto"/>
      </w:divBdr>
    </w:div>
    <w:div w:id="354304724">
      <w:bodyDiv w:val="1"/>
      <w:marLeft w:val="0"/>
      <w:marRight w:val="0"/>
      <w:marTop w:val="0"/>
      <w:marBottom w:val="0"/>
      <w:divBdr>
        <w:top w:val="none" w:sz="0" w:space="0" w:color="auto"/>
        <w:left w:val="none" w:sz="0" w:space="0" w:color="auto"/>
        <w:bottom w:val="none" w:sz="0" w:space="0" w:color="auto"/>
        <w:right w:val="none" w:sz="0" w:space="0" w:color="auto"/>
      </w:divBdr>
    </w:div>
    <w:div w:id="356272235">
      <w:bodyDiv w:val="1"/>
      <w:marLeft w:val="0"/>
      <w:marRight w:val="0"/>
      <w:marTop w:val="0"/>
      <w:marBottom w:val="0"/>
      <w:divBdr>
        <w:top w:val="none" w:sz="0" w:space="0" w:color="auto"/>
        <w:left w:val="none" w:sz="0" w:space="0" w:color="auto"/>
        <w:bottom w:val="none" w:sz="0" w:space="0" w:color="auto"/>
        <w:right w:val="none" w:sz="0" w:space="0" w:color="auto"/>
      </w:divBdr>
    </w:div>
    <w:div w:id="357705241">
      <w:bodyDiv w:val="1"/>
      <w:marLeft w:val="0"/>
      <w:marRight w:val="0"/>
      <w:marTop w:val="0"/>
      <w:marBottom w:val="0"/>
      <w:divBdr>
        <w:top w:val="none" w:sz="0" w:space="0" w:color="auto"/>
        <w:left w:val="none" w:sz="0" w:space="0" w:color="auto"/>
        <w:bottom w:val="none" w:sz="0" w:space="0" w:color="auto"/>
        <w:right w:val="none" w:sz="0" w:space="0" w:color="auto"/>
      </w:divBdr>
    </w:div>
    <w:div w:id="357899419">
      <w:bodyDiv w:val="1"/>
      <w:marLeft w:val="0"/>
      <w:marRight w:val="0"/>
      <w:marTop w:val="0"/>
      <w:marBottom w:val="0"/>
      <w:divBdr>
        <w:top w:val="none" w:sz="0" w:space="0" w:color="auto"/>
        <w:left w:val="none" w:sz="0" w:space="0" w:color="auto"/>
        <w:bottom w:val="none" w:sz="0" w:space="0" w:color="auto"/>
        <w:right w:val="none" w:sz="0" w:space="0" w:color="auto"/>
      </w:divBdr>
    </w:div>
    <w:div w:id="358433073">
      <w:bodyDiv w:val="1"/>
      <w:marLeft w:val="0"/>
      <w:marRight w:val="0"/>
      <w:marTop w:val="0"/>
      <w:marBottom w:val="0"/>
      <w:divBdr>
        <w:top w:val="none" w:sz="0" w:space="0" w:color="auto"/>
        <w:left w:val="none" w:sz="0" w:space="0" w:color="auto"/>
        <w:bottom w:val="none" w:sz="0" w:space="0" w:color="auto"/>
        <w:right w:val="none" w:sz="0" w:space="0" w:color="auto"/>
      </w:divBdr>
    </w:div>
    <w:div w:id="358821340">
      <w:bodyDiv w:val="1"/>
      <w:marLeft w:val="0"/>
      <w:marRight w:val="0"/>
      <w:marTop w:val="0"/>
      <w:marBottom w:val="0"/>
      <w:divBdr>
        <w:top w:val="none" w:sz="0" w:space="0" w:color="auto"/>
        <w:left w:val="none" w:sz="0" w:space="0" w:color="auto"/>
        <w:bottom w:val="none" w:sz="0" w:space="0" w:color="auto"/>
        <w:right w:val="none" w:sz="0" w:space="0" w:color="auto"/>
      </w:divBdr>
    </w:div>
    <w:div w:id="358972531">
      <w:bodyDiv w:val="1"/>
      <w:marLeft w:val="0"/>
      <w:marRight w:val="0"/>
      <w:marTop w:val="0"/>
      <w:marBottom w:val="0"/>
      <w:divBdr>
        <w:top w:val="none" w:sz="0" w:space="0" w:color="auto"/>
        <w:left w:val="none" w:sz="0" w:space="0" w:color="auto"/>
        <w:bottom w:val="none" w:sz="0" w:space="0" w:color="auto"/>
        <w:right w:val="none" w:sz="0" w:space="0" w:color="auto"/>
      </w:divBdr>
    </w:div>
    <w:div w:id="360013096">
      <w:bodyDiv w:val="1"/>
      <w:marLeft w:val="0"/>
      <w:marRight w:val="0"/>
      <w:marTop w:val="0"/>
      <w:marBottom w:val="0"/>
      <w:divBdr>
        <w:top w:val="none" w:sz="0" w:space="0" w:color="auto"/>
        <w:left w:val="none" w:sz="0" w:space="0" w:color="auto"/>
        <w:bottom w:val="none" w:sz="0" w:space="0" w:color="auto"/>
        <w:right w:val="none" w:sz="0" w:space="0" w:color="auto"/>
      </w:divBdr>
    </w:div>
    <w:div w:id="360058085">
      <w:bodyDiv w:val="1"/>
      <w:marLeft w:val="0"/>
      <w:marRight w:val="0"/>
      <w:marTop w:val="0"/>
      <w:marBottom w:val="0"/>
      <w:divBdr>
        <w:top w:val="none" w:sz="0" w:space="0" w:color="auto"/>
        <w:left w:val="none" w:sz="0" w:space="0" w:color="auto"/>
        <w:bottom w:val="none" w:sz="0" w:space="0" w:color="auto"/>
        <w:right w:val="none" w:sz="0" w:space="0" w:color="auto"/>
      </w:divBdr>
    </w:div>
    <w:div w:id="361824973">
      <w:bodyDiv w:val="1"/>
      <w:marLeft w:val="0"/>
      <w:marRight w:val="0"/>
      <w:marTop w:val="0"/>
      <w:marBottom w:val="0"/>
      <w:divBdr>
        <w:top w:val="none" w:sz="0" w:space="0" w:color="auto"/>
        <w:left w:val="none" w:sz="0" w:space="0" w:color="auto"/>
        <w:bottom w:val="none" w:sz="0" w:space="0" w:color="auto"/>
        <w:right w:val="none" w:sz="0" w:space="0" w:color="auto"/>
      </w:divBdr>
    </w:div>
    <w:div w:id="361831490">
      <w:bodyDiv w:val="1"/>
      <w:marLeft w:val="0"/>
      <w:marRight w:val="0"/>
      <w:marTop w:val="0"/>
      <w:marBottom w:val="0"/>
      <w:divBdr>
        <w:top w:val="none" w:sz="0" w:space="0" w:color="auto"/>
        <w:left w:val="none" w:sz="0" w:space="0" w:color="auto"/>
        <w:bottom w:val="none" w:sz="0" w:space="0" w:color="auto"/>
        <w:right w:val="none" w:sz="0" w:space="0" w:color="auto"/>
      </w:divBdr>
    </w:div>
    <w:div w:id="364062107">
      <w:bodyDiv w:val="1"/>
      <w:marLeft w:val="0"/>
      <w:marRight w:val="0"/>
      <w:marTop w:val="0"/>
      <w:marBottom w:val="0"/>
      <w:divBdr>
        <w:top w:val="none" w:sz="0" w:space="0" w:color="auto"/>
        <w:left w:val="none" w:sz="0" w:space="0" w:color="auto"/>
        <w:bottom w:val="none" w:sz="0" w:space="0" w:color="auto"/>
        <w:right w:val="none" w:sz="0" w:space="0" w:color="auto"/>
      </w:divBdr>
    </w:div>
    <w:div w:id="364865229">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65714019">
      <w:bodyDiv w:val="1"/>
      <w:marLeft w:val="0"/>
      <w:marRight w:val="0"/>
      <w:marTop w:val="0"/>
      <w:marBottom w:val="0"/>
      <w:divBdr>
        <w:top w:val="none" w:sz="0" w:space="0" w:color="auto"/>
        <w:left w:val="none" w:sz="0" w:space="0" w:color="auto"/>
        <w:bottom w:val="none" w:sz="0" w:space="0" w:color="auto"/>
        <w:right w:val="none" w:sz="0" w:space="0" w:color="auto"/>
      </w:divBdr>
    </w:div>
    <w:div w:id="367148007">
      <w:bodyDiv w:val="1"/>
      <w:marLeft w:val="0"/>
      <w:marRight w:val="0"/>
      <w:marTop w:val="0"/>
      <w:marBottom w:val="0"/>
      <w:divBdr>
        <w:top w:val="none" w:sz="0" w:space="0" w:color="auto"/>
        <w:left w:val="none" w:sz="0" w:space="0" w:color="auto"/>
        <w:bottom w:val="none" w:sz="0" w:space="0" w:color="auto"/>
        <w:right w:val="none" w:sz="0" w:space="0" w:color="auto"/>
      </w:divBdr>
    </w:div>
    <w:div w:id="367415650">
      <w:bodyDiv w:val="1"/>
      <w:marLeft w:val="0"/>
      <w:marRight w:val="0"/>
      <w:marTop w:val="0"/>
      <w:marBottom w:val="0"/>
      <w:divBdr>
        <w:top w:val="none" w:sz="0" w:space="0" w:color="auto"/>
        <w:left w:val="none" w:sz="0" w:space="0" w:color="auto"/>
        <w:bottom w:val="none" w:sz="0" w:space="0" w:color="auto"/>
        <w:right w:val="none" w:sz="0" w:space="0" w:color="auto"/>
      </w:divBdr>
    </w:div>
    <w:div w:id="367416764">
      <w:bodyDiv w:val="1"/>
      <w:marLeft w:val="0"/>
      <w:marRight w:val="0"/>
      <w:marTop w:val="0"/>
      <w:marBottom w:val="0"/>
      <w:divBdr>
        <w:top w:val="none" w:sz="0" w:space="0" w:color="auto"/>
        <w:left w:val="none" w:sz="0" w:space="0" w:color="auto"/>
        <w:bottom w:val="none" w:sz="0" w:space="0" w:color="auto"/>
        <w:right w:val="none" w:sz="0" w:space="0" w:color="auto"/>
      </w:divBdr>
    </w:div>
    <w:div w:id="367724393">
      <w:bodyDiv w:val="1"/>
      <w:marLeft w:val="0"/>
      <w:marRight w:val="0"/>
      <w:marTop w:val="0"/>
      <w:marBottom w:val="0"/>
      <w:divBdr>
        <w:top w:val="none" w:sz="0" w:space="0" w:color="auto"/>
        <w:left w:val="none" w:sz="0" w:space="0" w:color="auto"/>
        <w:bottom w:val="none" w:sz="0" w:space="0" w:color="auto"/>
        <w:right w:val="none" w:sz="0" w:space="0" w:color="auto"/>
      </w:divBdr>
    </w:div>
    <w:div w:id="369034903">
      <w:bodyDiv w:val="1"/>
      <w:marLeft w:val="0"/>
      <w:marRight w:val="0"/>
      <w:marTop w:val="0"/>
      <w:marBottom w:val="0"/>
      <w:divBdr>
        <w:top w:val="none" w:sz="0" w:space="0" w:color="auto"/>
        <w:left w:val="none" w:sz="0" w:space="0" w:color="auto"/>
        <w:bottom w:val="none" w:sz="0" w:space="0" w:color="auto"/>
        <w:right w:val="none" w:sz="0" w:space="0" w:color="auto"/>
      </w:divBdr>
    </w:div>
    <w:div w:id="371197466">
      <w:bodyDiv w:val="1"/>
      <w:marLeft w:val="0"/>
      <w:marRight w:val="0"/>
      <w:marTop w:val="0"/>
      <w:marBottom w:val="0"/>
      <w:divBdr>
        <w:top w:val="none" w:sz="0" w:space="0" w:color="auto"/>
        <w:left w:val="none" w:sz="0" w:space="0" w:color="auto"/>
        <w:bottom w:val="none" w:sz="0" w:space="0" w:color="auto"/>
        <w:right w:val="none" w:sz="0" w:space="0" w:color="auto"/>
      </w:divBdr>
    </w:div>
    <w:div w:id="372311431">
      <w:bodyDiv w:val="1"/>
      <w:marLeft w:val="0"/>
      <w:marRight w:val="0"/>
      <w:marTop w:val="0"/>
      <w:marBottom w:val="0"/>
      <w:divBdr>
        <w:top w:val="none" w:sz="0" w:space="0" w:color="auto"/>
        <w:left w:val="none" w:sz="0" w:space="0" w:color="auto"/>
        <w:bottom w:val="none" w:sz="0" w:space="0" w:color="auto"/>
        <w:right w:val="none" w:sz="0" w:space="0" w:color="auto"/>
      </w:divBdr>
    </w:div>
    <w:div w:id="373240573">
      <w:bodyDiv w:val="1"/>
      <w:marLeft w:val="0"/>
      <w:marRight w:val="0"/>
      <w:marTop w:val="0"/>
      <w:marBottom w:val="0"/>
      <w:divBdr>
        <w:top w:val="none" w:sz="0" w:space="0" w:color="auto"/>
        <w:left w:val="none" w:sz="0" w:space="0" w:color="auto"/>
        <w:bottom w:val="none" w:sz="0" w:space="0" w:color="auto"/>
        <w:right w:val="none" w:sz="0" w:space="0" w:color="auto"/>
      </w:divBdr>
    </w:div>
    <w:div w:id="373624631">
      <w:bodyDiv w:val="1"/>
      <w:marLeft w:val="0"/>
      <w:marRight w:val="0"/>
      <w:marTop w:val="0"/>
      <w:marBottom w:val="0"/>
      <w:divBdr>
        <w:top w:val="none" w:sz="0" w:space="0" w:color="auto"/>
        <w:left w:val="none" w:sz="0" w:space="0" w:color="auto"/>
        <w:bottom w:val="none" w:sz="0" w:space="0" w:color="auto"/>
        <w:right w:val="none" w:sz="0" w:space="0" w:color="auto"/>
      </w:divBdr>
    </w:div>
    <w:div w:id="374619807">
      <w:bodyDiv w:val="1"/>
      <w:marLeft w:val="0"/>
      <w:marRight w:val="0"/>
      <w:marTop w:val="0"/>
      <w:marBottom w:val="0"/>
      <w:divBdr>
        <w:top w:val="none" w:sz="0" w:space="0" w:color="auto"/>
        <w:left w:val="none" w:sz="0" w:space="0" w:color="auto"/>
        <w:bottom w:val="none" w:sz="0" w:space="0" w:color="auto"/>
        <w:right w:val="none" w:sz="0" w:space="0" w:color="auto"/>
      </w:divBdr>
    </w:div>
    <w:div w:id="374745174">
      <w:bodyDiv w:val="1"/>
      <w:marLeft w:val="0"/>
      <w:marRight w:val="0"/>
      <w:marTop w:val="0"/>
      <w:marBottom w:val="0"/>
      <w:divBdr>
        <w:top w:val="none" w:sz="0" w:space="0" w:color="auto"/>
        <w:left w:val="none" w:sz="0" w:space="0" w:color="auto"/>
        <w:bottom w:val="none" w:sz="0" w:space="0" w:color="auto"/>
        <w:right w:val="none" w:sz="0" w:space="0" w:color="auto"/>
      </w:divBdr>
    </w:div>
    <w:div w:id="375206568">
      <w:bodyDiv w:val="1"/>
      <w:marLeft w:val="0"/>
      <w:marRight w:val="0"/>
      <w:marTop w:val="0"/>
      <w:marBottom w:val="0"/>
      <w:divBdr>
        <w:top w:val="none" w:sz="0" w:space="0" w:color="auto"/>
        <w:left w:val="none" w:sz="0" w:space="0" w:color="auto"/>
        <w:bottom w:val="none" w:sz="0" w:space="0" w:color="auto"/>
        <w:right w:val="none" w:sz="0" w:space="0" w:color="auto"/>
      </w:divBdr>
    </w:div>
    <w:div w:id="377707589">
      <w:bodyDiv w:val="1"/>
      <w:marLeft w:val="0"/>
      <w:marRight w:val="0"/>
      <w:marTop w:val="0"/>
      <w:marBottom w:val="0"/>
      <w:divBdr>
        <w:top w:val="none" w:sz="0" w:space="0" w:color="auto"/>
        <w:left w:val="none" w:sz="0" w:space="0" w:color="auto"/>
        <w:bottom w:val="none" w:sz="0" w:space="0" w:color="auto"/>
        <w:right w:val="none" w:sz="0" w:space="0" w:color="auto"/>
      </w:divBdr>
    </w:div>
    <w:div w:id="379280006">
      <w:bodyDiv w:val="1"/>
      <w:marLeft w:val="0"/>
      <w:marRight w:val="0"/>
      <w:marTop w:val="0"/>
      <w:marBottom w:val="0"/>
      <w:divBdr>
        <w:top w:val="none" w:sz="0" w:space="0" w:color="auto"/>
        <w:left w:val="none" w:sz="0" w:space="0" w:color="auto"/>
        <w:bottom w:val="none" w:sz="0" w:space="0" w:color="auto"/>
        <w:right w:val="none" w:sz="0" w:space="0" w:color="auto"/>
      </w:divBdr>
    </w:div>
    <w:div w:id="379287661">
      <w:bodyDiv w:val="1"/>
      <w:marLeft w:val="0"/>
      <w:marRight w:val="0"/>
      <w:marTop w:val="0"/>
      <w:marBottom w:val="0"/>
      <w:divBdr>
        <w:top w:val="none" w:sz="0" w:space="0" w:color="auto"/>
        <w:left w:val="none" w:sz="0" w:space="0" w:color="auto"/>
        <w:bottom w:val="none" w:sz="0" w:space="0" w:color="auto"/>
        <w:right w:val="none" w:sz="0" w:space="0" w:color="auto"/>
      </w:divBdr>
    </w:div>
    <w:div w:id="380057022">
      <w:bodyDiv w:val="1"/>
      <w:marLeft w:val="0"/>
      <w:marRight w:val="0"/>
      <w:marTop w:val="0"/>
      <w:marBottom w:val="0"/>
      <w:divBdr>
        <w:top w:val="none" w:sz="0" w:space="0" w:color="auto"/>
        <w:left w:val="none" w:sz="0" w:space="0" w:color="auto"/>
        <w:bottom w:val="none" w:sz="0" w:space="0" w:color="auto"/>
        <w:right w:val="none" w:sz="0" w:space="0" w:color="auto"/>
      </w:divBdr>
    </w:div>
    <w:div w:id="380441184">
      <w:bodyDiv w:val="1"/>
      <w:marLeft w:val="0"/>
      <w:marRight w:val="0"/>
      <w:marTop w:val="0"/>
      <w:marBottom w:val="0"/>
      <w:divBdr>
        <w:top w:val="none" w:sz="0" w:space="0" w:color="auto"/>
        <w:left w:val="none" w:sz="0" w:space="0" w:color="auto"/>
        <w:bottom w:val="none" w:sz="0" w:space="0" w:color="auto"/>
        <w:right w:val="none" w:sz="0" w:space="0" w:color="auto"/>
      </w:divBdr>
    </w:div>
    <w:div w:id="380633869">
      <w:bodyDiv w:val="1"/>
      <w:marLeft w:val="0"/>
      <w:marRight w:val="0"/>
      <w:marTop w:val="0"/>
      <w:marBottom w:val="0"/>
      <w:divBdr>
        <w:top w:val="none" w:sz="0" w:space="0" w:color="auto"/>
        <w:left w:val="none" w:sz="0" w:space="0" w:color="auto"/>
        <w:bottom w:val="none" w:sz="0" w:space="0" w:color="auto"/>
        <w:right w:val="none" w:sz="0" w:space="0" w:color="auto"/>
      </w:divBdr>
    </w:div>
    <w:div w:id="380793146">
      <w:bodyDiv w:val="1"/>
      <w:marLeft w:val="0"/>
      <w:marRight w:val="0"/>
      <w:marTop w:val="0"/>
      <w:marBottom w:val="0"/>
      <w:divBdr>
        <w:top w:val="none" w:sz="0" w:space="0" w:color="auto"/>
        <w:left w:val="none" w:sz="0" w:space="0" w:color="auto"/>
        <w:bottom w:val="none" w:sz="0" w:space="0" w:color="auto"/>
        <w:right w:val="none" w:sz="0" w:space="0" w:color="auto"/>
      </w:divBdr>
    </w:div>
    <w:div w:id="380903781">
      <w:bodyDiv w:val="1"/>
      <w:marLeft w:val="0"/>
      <w:marRight w:val="0"/>
      <w:marTop w:val="0"/>
      <w:marBottom w:val="0"/>
      <w:divBdr>
        <w:top w:val="none" w:sz="0" w:space="0" w:color="auto"/>
        <w:left w:val="none" w:sz="0" w:space="0" w:color="auto"/>
        <w:bottom w:val="none" w:sz="0" w:space="0" w:color="auto"/>
        <w:right w:val="none" w:sz="0" w:space="0" w:color="auto"/>
      </w:divBdr>
    </w:div>
    <w:div w:id="381174015">
      <w:bodyDiv w:val="1"/>
      <w:marLeft w:val="0"/>
      <w:marRight w:val="0"/>
      <w:marTop w:val="0"/>
      <w:marBottom w:val="0"/>
      <w:divBdr>
        <w:top w:val="none" w:sz="0" w:space="0" w:color="auto"/>
        <w:left w:val="none" w:sz="0" w:space="0" w:color="auto"/>
        <w:bottom w:val="none" w:sz="0" w:space="0" w:color="auto"/>
        <w:right w:val="none" w:sz="0" w:space="0" w:color="auto"/>
      </w:divBdr>
    </w:div>
    <w:div w:id="382559379">
      <w:bodyDiv w:val="1"/>
      <w:marLeft w:val="0"/>
      <w:marRight w:val="0"/>
      <w:marTop w:val="0"/>
      <w:marBottom w:val="0"/>
      <w:divBdr>
        <w:top w:val="none" w:sz="0" w:space="0" w:color="auto"/>
        <w:left w:val="none" w:sz="0" w:space="0" w:color="auto"/>
        <w:bottom w:val="none" w:sz="0" w:space="0" w:color="auto"/>
        <w:right w:val="none" w:sz="0" w:space="0" w:color="auto"/>
      </w:divBdr>
    </w:div>
    <w:div w:id="382683776">
      <w:bodyDiv w:val="1"/>
      <w:marLeft w:val="0"/>
      <w:marRight w:val="0"/>
      <w:marTop w:val="0"/>
      <w:marBottom w:val="0"/>
      <w:divBdr>
        <w:top w:val="none" w:sz="0" w:space="0" w:color="auto"/>
        <w:left w:val="none" w:sz="0" w:space="0" w:color="auto"/>
        <w:bottom w:val="none" w:sz="0" w:space="0" w:color="auto"/>
        <w:right w:val="none" w:sz="0" w:space="0" w:color="auto"/>
      </w:divBdr>
    </w:div>
    <w:div w:id="383412341">
      <w:bodyDiv w:val="1"/>
      <w:marLeft w:val="0"/>
      <w:marRight w:val="0"/>
      <w:marTop w:val="0"/>
      <w:marBottom w:val="0"/>
      <w:divBdr>
        <w:top w:val="none" w:sz="0" w:space="0" w:color="auto"/>
        <w:left w:val="none" w:sz="0" w:space="0" w:color="auto"/>
        <w:bottom w:val="none" w:sz="0" w:space="0" w:color="auto"/>
        <w:right w:val="none" w:sz="0" w:space="0" w:color="auto"/>
      </w:divBdr>
    </w:div>
    <w:div w:id="384065155">
      <w:bodyDiv w:val="1"/>
      <w:marLeft w:val="0"/>
      <w:marRight w:val="0"/>
      <w:marTop w:val="0"/>
      <w:marBottom w:val="0"/>
      <w:divBdr>
        <w:top w:val="none" w:sz="0" w:space="0" w:color="auto"/>
        <w:left w:val="none" w:sz="0" w:space="0" w:color="auto"/>
        <w:bottom w:val="none" w:sz="0" w:space="0" w:color="auto"/>
        <w:right w:val="none" w:sz="0" w:space="0" w:color="auto"/>
      </w:divBdr>
    </w:div>
    <w:div w:id="384447269">
      <w:bodyDiv w:val="1"/>
      <w:marLeft w:val="0"/>
      <w:marRight w:val="0"/>
      <w:marTop w:val="0"/>
      <w:marBottom w:val="0"/>
      <w:divBdr>
        <w:top w:val="none" w:sz="0" w:space="0" w:color="auto"/>
        <w:left w:val="none" w:sz="0" w:space="0" w:color="auto"/>
        <w:bottom w:val="none" w:sz="0" w:space="0" w:color="auto"/>
        <w:right w:val="none" w:sz="0" w:space="0" w:color="auto"/>
      </w:divBdr>
    </w:div>
    <w:div w:id="384842086">
      <w:bodyDiv w:val="1"/>
      <w:marLeft w:val="0"/>
      <w:marRight w:val="0"/>
      <w:marTop w:val="0"/>
      <w:marBottom w:val="0"/>
      <w:divBdr>
        <w:top w:val="none" w:sz="0" w:space="0" w:color="auto"/>
        <w:left w:val="none" w:sz="0" w:space="0" w:color="auto"/>
        <w:bottom w:val="none" w:sz="0" w:space="0" w:color="auto"/>
        <w:right w:val="none" w:sz="0" w:space="0" w:color="auto"/>
      </w:divBdr>
    </w:div>
    <w:div w:id="385497688">
      <w:bodyDiv w:val="1"/>
      <w:marLeft w:val="0"/>
      <w:marRight w:val="0"/>
      <w:marTop w:val="0"/>
      <w:marBottom w:val="0"/>
      <w:divBdr>
        <w:top w:val="none" w:sz="0" w:space="0" w:color="auto"/>
        <w:left w:val="none" w:sz="0" w:space="0" w:color="auto"/>
        <w:bottom w:val="none" w:sz="0" w:space="0" w:color="auto"/>
        <w:right w:val="none" w:sz="0" w:space="0" w:color="auto"/>
      </w:divBdr>
    </w:div>
    <w:div w:id="386877221">
      <w:bodyDiv w:val="1"/>
      <w:marLeft w:val="0"/>
      <w:marRight w:val="0"/>
      <w:marTop w:val="0"/>
      <w:marBottom w:val="0"/>
      <w:divBdr>
        <w:top w:val="none" w:sz="0" w:space="0" w:color="auto"/>
        <w:left w:val="none" w:sz="0" w:space="0" w:color="auto"/>
        <w:bottom w:val="none" w:sz="0" w:space="0" w:color="auto"/>
        <w:right w:val="none" w:sz="0" w:space="0" w:color="auto"/>
      </w:divBdr>
    </w:div>
    <w:div w:id="387459822">
      <w:bodyDiv w:val="1"/>
      <w:marLeft w:val="0"/>
      <w:marRight w:val="0"/>
      <w:marTop w:val="0"/>
      <w:marBottom w:val="0"/>
      <w:divBdr>
        <w:top w:val="none" w:sz="0" w:space="0" w:color="auto"/>
        <w:left w:val="none" w:sz="0" w:space="0" w:color="auto"/>
        <w:bottom w:val="none" w:sz="0" w:space="0" w:color="auto"/>
        <w:right w:val="none" w:sz="0" w:space="0" w:color="auto"/>
      </w:divBdr>
    </w:div>
    <w:div w:id="387991949">
      <w:bodyDiv w:val="1"/>
      <w:marLeft w:val="0"/>
      <w:marRight w:val="0"/>
      <w:marTop w:val="0"/>
      <w:marBottom w:val="0"/>
      <w:divBdr>
        <w:top w:val="none" w:sz="0" w:space="0" w:color="auto"/>
        <w:left w:val="none" w:sz="0" w:space="0" w:color="auto"/>
        <w:bottom w:val="none" w:sz="0" w:space="0" w:color="auto"/>
        <w:right w:val="none" w:sz="0" w:space="0" w:color="auto"/>
      </w:divBdr>
    </w:div>
    <w:div w:id="388194488">
      <w:bodyDiv w:val="1"/>
      <w:marLeft w:val="0"/>
      <w:marRight w:val="0"/>
      <w:marTop w:val="0"/>
      <w:marBottom w:val="0"/>
      <w:divBdr>
        <w:top w:val="none" w:sz="0" w:space="0" w:color="auto"/>
        <w:left w:val="none" w:sz="0" w:space="0" w:color="auto"/>
        <w:bottom w:val="none" w:sz="0" w:space="0" w:color="auto"/>
        <w:right w:val="none" w:sz="0" w:space="0" w:color="auto"/>
      </w:divBdr>
    </w:div>
    <w:div w:id="388383946">
      <w:bodyDiv w:val="1"/>
      <w:marLeft w:val="0"/>
      <w:marRight w:val="0"/>
      <w:marTop w:val="0"/>
      <w:marBottom w:val="0"/>
      <w:divBdr>
        <w:top w:val="none" w:sz="0" w:space="0" w:color="auto"/>
        <w:left w:val="none" w:sz="0" w:space="0" w:color="auto"/>
        <w:bottom w:val="none" w:sz="0" w:space="0" w:color="auto"/>
        <w:right w:val="none" w:sz="0" w:space="0" w:color="auto"/>
      </w:divBdr>
    </w:div>
    <w:div w:id="389890620">
      <w:bodyDiv w:val="1"/>
      <w:marLeft w:val="0"/>
      <w:marRight w:val="0"/>
      <w:marTop w:val="0"/>
      <w:marBottom w:val="0"/>
      <w:divBdr>
        <w:top w:val="none" w:sz="0" w:space="0" w:color="auto"/>
        <w:left w:val="none" w:sz="0" w:space="0" w:color="auto"/>
        <w:bottom w:val="none" w:sz="0" w:space="0" w:color="auto"/>
        <w:right w:val="none" w:sz="0" w:space="0" w:color="auto"/>
      </w:divBdr>
    </w:div>
    <w:div w:id="390157768">
      <w:bodyDiv w:val="1"/>
      <w:marLeft w:val="0"/>
      <w:marRight w:val="0"/>
      <w:marTop w:val="0"/>
      <w:marBottom w:val="0"/>
      <w:divBdr>
        <w:top w:val="none" w:sz="0" w:space="0" w:color="auto"/>
        <w:left w:val="none" w:sz="0" w:space="0" w:color="auto"/>
        <w:bottom w:val="none" w:sz="0" w:space="0" w:color="auto"/>
        <w:right w:val="none" w:sz="0" w:space="0" w:color="auto"/>
      </w:divBdr>
    </w:div>
    <w:div w:id="390352108">
      <w:bodyDiv w:val="1"/>
      <w:marLeft w:val="0"/>
      <w:marRight w:val="0"/>
      <w:marTop w:val="0"/>
      <w:marBottom w:val="0"/>
      <w:divBdr>
        <w:top w:val="none" w:sz="0" w:space="0" w:color="auto"/>
        <w:left w:val="none" w:sz="0" w:space="0" w:color="auto"/>
        <w:bottom w:val="none" w:sz="0" w:space="0" w:color="auto"/>
        <w:right w:val="none" w:sz="0" w:space="0" w:color="auto"/>
      </w:divBdr>
    </w:div>
    <w:div w:id="390540803">
      <w:bodyDiv w:val="1"/>
      <w:marLeft w:val="0"/>
      <w:marRight w:val="0"/>
      <w:marTop w:val="0"/>
      <w:marBottom w:val="0"/>
      <w:divBdr>
        <w:top w:val="none" w:sz="0" w:space="0" w:color="auto"/>
        <w:left w:val="none" w:sz="0" w:space="0" w:color="auto"/>
        <w:bottom w:val="none" w:sz="0" w:space="0" w:color="auto"/>
        <w:right w:val="none" w:sz="0" w:space="0" w:color="auto"/>
      </w:divBdr>
    </w:div>
    <w:div w:id="390664983">
      <w:bodyDiv w:val="1"/>
      <w:marLeft w:val="0"/>
      <w:marRight w:val="0"/>
      <w:marTop w:val="0"/>
      <w:marBottom w:val="0"/>
      <w:divBdr>
        <w:top w:val="none" w:sz="0" w:space="0" w:color="auto"/>
        <w:left w:val="none" w:sz="0" w:space="0" w:color="auto"/>
        <w:bottom w:val="none" w:sz="0" w:space="0" w:color="auto"/>
        <w:right w:val="none" w:sz="0" w:space="0" w:color="auto"/>
      </w:divBdr>
    </w:div>
    <w:div w:id="391008289">
      <w:bodyDiv w:val="1"/>
      <w:marLeft w:val="0"/>
      <w:marRight w:val="0"/>
      <w:marTop w:val="0"/>
      <w:marBottom w:val="0"/>
      <w:divBdr>
        <w:top w:val="none" w:sz="0" w:space="0" w:color="auto"/>
        <w:left w:val="none" w:sz="0" w:space="0" w:color="auto"/>
        <w:bottom w:val="none" w:sz="0" w:space="0" w:color="auto"/>
        <w:right w:val="none" w:sz="0" w:space="0" w:color="auto"/>
      </w:divBdr>
    </w:div>
    <w:div w:id="393085375">
      <w:bodyDiv w:val="1"/>
      <w:marLeft w:val="0"/>
      <w:marRight w:val="0"/>
      <w:marTop w:val="0"/>
      <w:marBottom w:val="0"/>
      <w:divBdr>
        <w:top w:val="none" w:sz="0" w:space="0" w:color="auto"/>
        <w:left w:val="none" w:sz="0" w:space="0" w:color="auto"/>
        <w:bottom w:val="none" w:sz="0" w:space="0" w:color="auto"/>
        <w:right w:val="none" w:sz="0" w:space="0" w:color="auto"/>
      </w:divBdr>
    </w:div>
    <w:div w:id="393625023">
      <w:bodyDiv w:val="1"/>
      <w:marLeft w:val="0"/>
      <w:marRight w:val="0"/>
      <w:marTop w:val="0"/>
      <w:marBottom w:val="0"/>
      <w:divBdr>
        <w:top w:val="none" w:sz="0" w:space="0" w:color="auto"/>
        <w:left w:val="none" w:sz="0" w:space="0" w:color="auto"/>
        <w:bottom w:val="none" w:sz="0" w:space="0" w:color="auto"/>
        <w:right w:val="none" w:sz="0" w:space="0" w:color="auto"/>
      </w:divBdr>
    </w:div>
    <w:div w:id="396823122">
      <w:bodyDiv w:val="1"/>
      <w:marLeft w:val="0"/>
      <w:marRight w:val="0"/>
      <w:marTop w:val="0"/>
      <w:marBottom w:val="0"/>
      <w:divBdr>
        <w:top w:val="none" w:sz="0" w:space="0" w:color="auto"/>
        <w:left w:val="none" w:sz="0" w:space="0" w:color="auto"/>
        <w:bottom w:val="none" w:sz="0" w:space="0" w:color="auto"/>
        <w:right w:val="none" w:sz="0" w:space="0" w:color="auto"/>
      </w:divBdr>
    </w:div>
    <w:div w:id="397288548">
      <w:bodyDiv w:val="1"/>
      <w:marLeft w:val="0"/>
      <w:marRight w:val="0"/>
      <w:marTop w:val="0"/>
      <w:marBottom w:val="0"/>
      <w:divBdr>
        <w:top w:val="none" w:sz="0" w:space="0" w:color="auto"/>
        <w:left w:val="none" w:sz="0" w:space="0" w:color="auto"/>
        <w:bottom w:val="none" w:sz="0" w:space="0" w:color="auto"/>
        <w:right w:val="none" w:sz="0" w:space="0" w:color="auto"/>
      </w:divBdr>
    </w:div>
    <w:div w:id="397900683">
      <w:bodyDiv w:val="1"/>
      <w:marLeft w:val="0"/>
      <w:marRight w:val="0"/>
      <w:marTop w:val="0"/>
      <w:marBottom w:val="0"/>
      <w:divBdr>
        <w:top w:val="none" w:sz="0" w:space="0" w:color="auto"/>
        <w:left w:val="none" w:sz="0" w:space="0" w:color="auto"/>
        <w:bottom w:val="none" w:sz="0" w:space="0" w:color="auto"/>
        <w:right w:val="none" w:sz="0" w:space="0" w:color="auto"/>
      </w:divBdr>
    </w:div>
    <w:div w:id="400057113">
      <w:bodyDiv w:val="1"/>
      <w:marLeft w:val="0"/>
      <w:marRight w:val="0"/>
      <w:marTop w:val="0"/>
      <w:marBottom w:val="0"/>
      <w:divBdr>
        <w:top w:val="none" w:sz="0" w:space="0" w:color="auto"/>
        <w:left w:val="none" w:sz="0" w:space="0" w:color="auto"/>
        <w:bottom w:val="none" w:sz="0" w:space="0" w:color="auto"/>
        <w:right w:val="none" w:sz="0" w:space="0" w:color="auto"/>
      </w:divBdr>
    </w:div>
    <w:div w:id="403383222">
      <w:bodyDiv w:val="1"/>
      <w:marLeft w:val="0"/>
      <w:marRight w:val="0"/>
      <w:marTop w:val="0"/>
      <w:marBottom w:val="0"/>
      <w:divBdr>
        <w:top w:val="none" w:sz="0" w:space="0" w:color="auto"/>
        <w:left w:val="none" w:sz="0" w:space="0" w:color="auto"/>
        <w:bottom w:val="none" w:sz="0" w:space="0" w:color="auto"/>
        <w:right w:val="none" w:sz="0" w:space="0" w:color="auto"/>
      </w:divBdr>
    </w:div>
    <w:div w:id="408969780">
      <w:bodyDiv w:val="1"/>
      <w:marLeft w:val="0"/>
      <w:marRight w:val="0"/>
      <w:marTop w:val="0"/>
      <w:marBottom w:val="0"/>
      <w:divBdr>
        <w:top w:val="none" w:sz="0" w:space="0" w:color="auto"/>
        <w:left w:val="none" w:sz="0" w:space="0" w:color="auto"/>
        <w:bottom w:val="none" w:sz="0" w:space="0" w:color="auto"/>
        <w:right w:val="none" w:sz="0" w:space="0" w:color="auto"/>
      </w:divBdr>
    </w:div>
    <w:div w:id="409354341">
      <w:bodyDiv w:val="1"/>
      <w:marLeft w:val="0"/>
      <w:marRight w:val="0"/>
      <w:marTop w:val="0"/>
      <w:marBottom w:val="0"/>
      <w:divBdr>
        <w:top w:val="none" w:sz="0" w:space="0" w:color="auto"/>
        <w:left w:val="none" w:sz="0" w:space="0" w:color="auto"/>
        <w:bottom w:val="none" w:sz="0" w:space="0" w:color="auto"/>
        <w:right w:val="none" w:sz="0" w:space="0" w:color="auto"/>
      </w:divBdr>
    </w:div>
    <w:div w:id="410197069">
      <w:bodyDiv w:val="1"/>
      <w:marLeft w:val="0"/>
      <w:marRight w:val="0"/>
      <w:marTop w:val="0"/>
      <w:marBottom w:val="0"/>
      <w:divBdr>
        <w:top w:val="none" w:sz="0" w:space="0" w:color="auto"/>
        <w:left w:val="none" w:sz="0" w:space="0" w:color="auto"/>
        <w:bottom w:val="none" w:sz="0" w:space="0" w:color="auto"/>
        <w:right w:val="none" w:sz="0" w:space="0" w:color="auto"/>
      </w:divBdr>
    </w:div>
    <w:div w:id="411901217">
      <w:bodyDiv w:val="1"/>
      <w:marLeft w:val="0"/>
      <w:marRight w:val="0"/>
      <w:marTop w:val="0"/>
      <w:marBottom w:val="0"/>
      <w:divBdr>
        <w:top w:val="none" w:sz="0" w:space="0" w:color="auto"/>
        <w:left w:val="none" w:sz="0" w:space="0" w:color="auto"/>
        <w:bottom w:val="none" w:sz="0" w:space="0" w:color="auto"/>
        <w:right w:val="none" w:sz="0" w:space="0" w:color="auto"/>
      </w:divBdr>
    </w:div>
    <w:div w:id="412317999">
      <w:bodyDiv w:val="1"/>
      <w:marLeft w:val="0"/>
      <w:marRight w:val="0"/>
      <w:marTop w:val="0"/>
      <w:marBottom w:val="0"/>
      <w:divBdr>
        <w:top w:val="none" w:sz="0" w:space="0" w:color="auto"/>
        <w:left w:val="none" w:sz="0" w:space="0" w:color="auto"/>
        <w:bottom w:val="none" w:sz="0" w:space="0" w:color="auto"/>
        <w:right w:val="none" w:sz="0" w:space="0" w:color="auto"/>
      </w:divBdr>
    </w:div>
    <w:div w:id="412508005">
      <w:bodyDiv w:val="1"/>
      <w:marLeft w:val="0"/>
      <w:marRight w:val="0"/>
      <w:marTop w:val="0"/>
      <w:marBottom w:val="0"/>
      <w:divBdr>
        <w:top w:val="none" w:sz="0" w:space="0" w:color="auto"/>
        <w:left w:val="none" w:sz="0" w:space="0" w:color="auto"/>
        <w:bottom w:val="none" w:sz="0" w:space="0" w:color="auto"/>
        <w:right w:val="none" w:sz="0" w:space="0" w:color="auto"/>
      </w:divBdr>
    </w:div>
    <w:div w:id="412774664">
      <w:bodyDiv w:val="1"/>
      <w:marLeft w:val="0"/>
      <w:marRight w:val="0"/>
      <w:marTop w:val="0"/>
      <w:marBottom w:val="0"/>
      <w:divBdr>
        <w:top w:val="none" w:sz="0" w:space="0" w:color="auto"/>
        <w:left w:val="none" w:sz="0" w:space="0" w:color="auto"/>
        <w:bottom w:val="none" w:sz="0" w:space="0" w:color="auto"/>
        <w:right w:val="none" w:sz="0" w:space="0" w:color="auto"/>
      </w:divBdr>
    </w:div>
    <w:div w:id="414522351">
      <w:bodyDiv w:val="1"/>
      <w:marLeft w:val="0"/>
      <w:marRight w:val="0"/>
      <w:marTop w:val="0"/>
      <w:marBottom w:val="0"/>
      <w:divBdr>
        <w:top w:val="none" w:sz="0" w:space="0" w:color="auto"/>
        <w:left w:val="none" w:sz="0" w:space="0" w:color="auto"/>
        <w:bottom w:val="none" w:sz="0" w:space="0" w:color="auto"/>
        <w:right w:val="none" w:sz="0" w:space="0" w:color="auto"/>
      </w:divBdr>
    </w:div>
    <w:div w:id="414787302">
      <w:bodyDiv w:val="1"/>
      <w:marLeft w:val="0"/>
      <w:marRight w:val="0"/>
      <w:marTop w:val="0"/>
      <w:marBottom w:val="0"/>
      <w:divBdr>
        <w:top w:val="none" w:sz="0" w:space="0" w:color="auto"/>
        <w:left w:val="none" w:sz="0" w:space="0" w:color="auto"/>
        <w:bottom w:val="none" w:sz="0" w:space="0" w:color="auto"/>
        <w:right w:val="none" w:sz="0" w:space="0" w:color="auto"/>
      </w:divBdr>
    </w:div>
    <w:div w:id="414940693">
      <w:bodyDiv w:val="1"/>
      <w:marLeft w:val="0"/>
      <w:marRight w:val="0"/>
      <w:marTop w:val="0"/>
      <w:marBottom w:val="0"/>
      <w:divBdr>
        <w:top w:val="none" w:sz="0" w:space="0" w:color="auto"/>
        <w:left w:val="none" w:sz="0" w:space="0" w:color="auto"/>
        <w:bottom w:val="none" w:sz="0" w:space="0" w:color="auto"/>
        <w:right w:val="none" w:sz="0" w:space="0" w:color="auto"/>
      </w:divBdr>
    </w:div>
    <w:div w:id="415909221">
      <w:bodyDiv w:val="1"/>
      <w:marLeft w:val="0"/>
      <w:marRight w:val="0"/>
      <w:marTop w:val="0"/>
      <w:marBottom w:val="0"/>
      <w:divBdr>
        <w:top w:val="none" w:sz="0" w:space="0" w:color="auto"/>
        <w:left w:val="none" w:sz="0" w:space="0" w:color="auto"/>
        <w:bottom w:val="none" w:sz="0" w:space="0" w:color="auto"/>
        <w:right w:val="none" w:sz="0" w:space="0" w:color="auto"/>
      </w:divBdr>
    </w:div>
    <w:div w:id="416439803">
      <w:bodyDiv w:val="1"/>
      <w:marLeft w:val="0"/>
      <w:marRight w:val="0"/>
      <w:marTop w:val="0"/>
      <w:marBottom w:val="0"/>
      <w:divBdr>
        <w:top w:val="none" w:sz="0" w:space="0" w:color="auto"/>
        <w:left w:val="none" w:sz="0" w:space="0" w:color="auto"/>
        <w:bottom w:val="none" w:sz="0" w:space="0" w:color="auto"/>
        <w:right w:val="none" w:sz="0" w:space="0" w:color="auto"/>
      </w:divBdr>
    </w:div>
    <w:div w:id="416484615">
      <w:bodyDiv w:val="1"/>
      <w:marLeft w:val="0"/>
      <w:marRight w:val="0"/>
      <w:marTop w:val="0"/>
      <w:marBottom w:val="0"/>
      <w:divBdr>
        <w:top w:val="none" w:sz="0" w:space="0" w:color="auto"/>
        <w:left w:val="none" w:sz="0" w:space="0" w:color="auto"/>
        <w:bottom w:val="none" w:sz="0" w:space="0" w:color="auto"/>
        <w:right w:val="none" w:sz="0" w:space="0" w:color="auto"/>
      </w:divBdr>
    </w:div>
    <w:div w:id="417364165">
      <w:bodyDiv w:val="1"/>
      <w:marLeft w:val="0"/>
      <w:marRight w:val="0"/>
      <w:marTop w:val="0"/>
      <w:marBottom w:val="0"/>
      <w:divBdr>
        <w:top w:val="none" w:sz="0" w:space="0" w:color="auto"/>
        <w:left w:val="none" w:sz="0" w:space="0" w:color="auto"/>
        <w:bottom w:val="none" w:sz="0" w:space="0" w:color="auto"/>
        <w:right w:val="none" w:sz="0" w:space="0" w:color="auto"/>
      </w:divBdr>
    </w:div>
    <w:div w:id="418674218">
      <w:bodyDiv w:val="1"/>
      <w:marLeft w:val="0"/>
      <w:marRight w:val="0"/>
      <w:marTop w:val="0"/>
      <w:marBottom w:val="0"/>
      <w:divBdr>
        <w:top w:val="none" w:sz="0" w:space="0" w:color="auto"/>
        <w:left w:val="none" w:sz="0" w:space="0" w:color="auto"/>
        <w:bottom w:val="none" w:sz="0" w:space="0" w:color="auto"/>
        <w:right w:val="none" w:sz="0" w:space="0" w:color="auto"/>
      </w:divBdr>
    </w:div>
    <w:div w:id="418990135">
      <w:bodyDiv w:val="1"/>
      <w:marLeft w:val="0"/>
      <w:marRight w:val="0"/>
      <w:marTop w:val="0"/>
      <w:marBottom w:val="0"/>
      <w:divBdr>
        <w:top w:val="none" w:sz="0" w:space="0" w:color="auto"/>
        <w:left w:val="none" w:sz="0" w:space="0" w:color="auto"/>
        <w:bottom w:val="none" w:sz="0" w:space="0" w:color="auto"/>
        <w:right w:val="none" w:sz="0" w:space="0" w:color="auto"/>
      </w:divBdr>
    </w:div>
    <w:div w:id="419378193">
      <w:bodyDiv w:val="1"/>
      <w:marLeft w:val="0"/>
      <w:marRight w:val="0"/>
      <w:marTop w:val="0"/>
      <w:marBottom w:val="0"/>
      <w:divBdr>
        <w:top w:val="none" w:sz="0" w:space="0" w:color="auto"/>
        <w:left w:val="none" w:sz="0" w:space="0" w:color="auto"/>
        <w:bottom w:val="none" w:sz="0" w:space="0" w:color="auto"/>
        <w:right w:val="none" w:sz="0" w:space="0" w:color="auto"/>
      </w:divBdr>
    </w:div>
    <w:div w:id="420681237">
      <w:bodyDiv w:val="1"/>
      <w:marLeft w:val="0"/>
      <w:marRight w:val="0"/>
      <w:marTop w:val="0"/>
      <w:marBottom w:val="0"/>
      <w:divBdr>
        <w:top w:val="none" w:sz="0" w:space="0" w:color="auto"/>
        <w:left w:val="none" w:sz="0" w:space="0" w:color="auto"/>
        <w:bottom w:val="none" w:sz="0" w:space="0" w:color="auto"/>
        <w:right w:val="none" w:sz="0" w:space="0" w:color="auto"/>
      </w:divBdr>
    </w:div>
    <w:div w:id="421729053">
      <w:bodyDiv w:val="1"/>
      <w:marLeft w:val="0"/>
      <w:marRight w:val="0"/>
      <w:marTop w:val="0"/>
      <w:marBottom w:val="0"/>
      <w:divBdr>
        <w:top w:val="none" w:sz="0" w:space="0" w:color="auto"/>
        <w:left w:val="none" w:sz="0" w:space="0" w:color="auto"/>
        <w:bottom w:val="none" w:sz="0" w:space="0" w:color="auto"/>
        <w:right w:val="none" w:sz="0" w:space="0" w:color="auto"/>
      </w:divBdr>
    </w:div>
    <w:div w:id="422608405">
      <w:bodyDiv w:val="1"/>
      <w:marLeft w:val="0"/>
      <w:marRight w:val="0"/>
      <w:marTop w:val="0"/>
      <w:marBottom w:val="0"/>
      <w:divBdr>
        <w:top w:val="none" w:sz="0" w:space="0" w:color="auto"/>
        <w:left w:val="none" w:sz="0" w:space="0" w:color="auto"/>
        <w:bottom w:val="none" w:sz="0" w:space="0" w:color="auto"/>
        <w:right w:val="none" w:sz="0" w:space="0" w:color="auto"/>
      </w:divBdr>
    </w:div>
    <w:div w:id="423065737">
      <w:bodyDiv w:val="1"/>
      <w:marLeft w:val="0"/>
      <w:marRight w:val="0"/>
      <w:marTop w:val="0"/>
      <w:marBottom w:val="0"/>
      <w:divBdr>
        <w:top w:val="none" w:sz="0" w:space="0" w:color="auto"/>
        <w:left w:val="none" w:sz="0" w:space="0" w:color="auto"/>
        <w:bottom w:val="none" w:sz="0" w:space="0" w:color="auto"/>
        <w:right w:val="none" w:sz="0" w:space="0" w:color="auto"/>
      </w:divBdr>
    </w:div>
    <w:div w:id="423110667">
      <w:bodyDiv w:val="1"/>
      <w:marLeft w:val="0"/>
      <w:marRight w:val="0"/>
      <w:marTop w:val="0"/>
      <w:marBottom w:val="0"/>
      <w:divBdr>
        <w:top w:val="none" w:sz="0" w:space="0" w:color="auto"/>
        <w:left w:val="none" w:sz="0" w:space="0" w:color="auto"/>
        <w:bottom w:val="none" w:sz="0" w:space="0" w:color="auto"/>
        <w:right w:val="none" w:sz="0" w:space="0" w:color="auto"/>
      </w:divBdr>
    </w:div>
    <w:div w:id="425198794">
      <w:bodyDiv w:val="1"/>
      <w:marLeft w:val="0"/>
      <w:marRight w:val="0"/>
      <w:marTop w:val="0"/>
      <w:marBottom w:val="0"/>
      <w:divBdr>
        <w:top w:val="none" w:sz="0" w:space="0" w:color="auto"/>
        <w:left w:val="none" w:sz="0" w:space="0" w:color="auto"/>
        <w:bottom w:val="none" w:sz="0" w:space="0" w:color="auto"/>
        <w:right w:val="none" w:sz="0" w:space="0" w:color="auto"/>
      </w:divBdr>
    </w:div>
    <w:div w:id="426972464">
      <w:bodyDiv w:val="1"/>
      <w:marLeft w:val="0"/>
      <w:marRight w:val="0"/>
      <w:marTop w:val="0"/>
      <w:marBottom w:val="0"/>
      <w:divBdr>
        <w:top w:val="none" w:sz="0" w:space="0" w:color="auto"/>
        <w:left w:val="none" w:sz="0" w:space="0" w:color="auto"/>
        <w:bottom w:val="none" w:sz="0" w:space="0" w:color="auto"/>
        <w:right w:val="none" w:sz="0" w:space="0" w:color="auto"/>
      </w:divBdr>
    </w:div>
    <w:div w:id="427628624">
      <w:bodyDiv w:val="1"/>
      <w:marLeft w:val="0"/>
      <w:marRight w:val="0"/>
      <w:marTop w:val="0"/>
      <w:marBottom w:val="0"/>
      <w:divBdr>
        <w:top w:val="none" w:sz="0" w:space="0" w:color="auto"/>
        <w:left w:val="none" w:sz="0" w:space="0" w:color="auto"/>
        <w:bottom w:val="none" w:sz="0" w:space="0" w:color="auto"/>
        <w:right w:val="none" w:sz="0" w:space="0" w:color="auto"/>
      </w:divBdr>
    </w:div>
    <w:div w:id="428239018">
      <w:bodyDiv w:val="1"/>
      <w:marLeft w:val="0"/>
      <w:marRight w:val="0"/>
      <w:marTop w:val="0"/>
      <w:marBottom w:val="0"/>
      <w:divBdr>
        <w:top w:val="none" w:sz="0" w:space="0" w:color="auto"/>
        <w:left w:val="none" w:sz="0" w:space="0" w:color="auto"/>
        <w:bottom w:val="none" w:sz="0" w:space="0" w:color="auto"/>
        <w:right w:val="none" w:sz="0" w:space="0" w:color="auto"/>
      </w:divBdr>
    </w:div>
    <w:div w:id="429208100">
      <w:bodyDiv w:val="1"/>
      <w:marLeft w:val="0"/>
      <w:marRight w:val="0"/>
      <w:marTop w:val="0"/>
      <w:marBottom w:val="0"/>
      <w:divBdr>
        <w:top w:val="none" w:sz="0" w:space="0" w:color="auto"/>
        <w:left w:val="none" w:sz="0" w:space="0" w:color="auto"/>
        <w:bottom w:val="none" w:sz="0" w:space="0" w:color="auto"/>
        <w:right w:val="none" w:sz="0" w:space="0" w:color="auto"/>
      </w:divBdr>
    </w:div>
    <w:div w:id="432214049">
      <w:bodyDiv w:val="1"/>
      <w:marLeft w:val="0"/>
      <w:marRight w:val="0"/>
      <w:marTop w:val="0"/>
      <w:marBottom w:val="0"/>
      <w:divBdr>
        <w:top w:val="none" w:sz="0" w:space="0" w:color="auto"/>
        <w:left w:val="none" w:sz="0" w:space="0" w:color="auto"/>
        <w:bottom w:val="none" w:sz="0" w:space="0" w:color="auto"/>
        <w:right w:val="none" w:sz="0" w:space="0" w:color="auto"/>
      </w:divBdr>
    </w:div>
    <w:div w:id="432867998">
      <w:bodyDiv w:val="1"/>
      <w:marLeft w:val="0"/>
      <w:marRight w:val="0"/>
      <w:marTop w:val="0"/>
      <w:marBottom w:val="0"/>
      <w:divBdr>
        <w:top w:val="none" w:sz="0" w:space="0" w:color="auto"/>
        <w:left w:val="none" w:sz="0" w:space="0" w:color="auto"/>
        <w:bottom w:val="none" w:sz="0" w:space="0" w:color="auto"/>
        <w:right w:val="none" w:sz="0" w:space="0" w:color="auto"/>
      </w:divBdr>
    </w:div>
    <w:div w:id="433481237">
      <w:bodyDiv w:val="1"/>
      <w:marLeft w:val="0"/>
      <w:marRight w:val="0"/>
      <w:marTop w:val="0"/>
      <w:marBottom w:val="0"/>
      <w:divBdr>
        <w:top w:val="none" w:sz="0" w:space="0" w:color="auto"/>
        <w:left w:val="none" w:sz="0" w:space="0" w:color="auto"/>
        <w:bottom w:val="none" w:sz="0" w:space="0" w:color="auto"/>
        <w:right w:val="none" w:sz="0" w:space="0" w:color="auto"/>
      </w:divBdr>
    </w:div>
    <w:div w:id="435322069">
      <w:bodyDiv w:val="1"/>
      <w:marLeft w:val="0"/>
      <w:marRight w:val="0"/>
      <w:marTop w:val="0"/>
      <w:marBottom w:val="0"/>
      <w:divBdr>
        <w:top w:val="none" w:sz="0" w:space="0" w:color="auto"/>
        <w:left w:val="none" w:sz="0" w:space="0" w:color="auto"/>
        <w:bottom w:val="none" w:sz="0" w:space="0" w:color="auto"/>
        <w:right w:val="none" w:sz="0" w:space="0" w:color="auto"/>
      </w:divBdr>
    </w:div>
    <w:div w:id="435444568">
      <w:bodyDiv w:val="1"/>
      <w:marLeft w:val="0"/>
      <w:marRight w:val="0"/>
      <w:marTop w:val="0"/>
      <w:marBottom w:val="0"/>
      <w:divBdr>
        <w:top w:val="none" w:sz="0" w:space="0" w:color="auto"/>
        <w:left w:val="none" w:sz="0" w:space="0" w:color="auto"/>
        <w:bottom w:val="none" w:sz="0" w:space="0" w:color="auto"/>
        <w:right w:val="none" w:sz="0" w:space="0" w:color="auto"/>
      </w:divBdr>
    </w:div>
    <w:div w:id="435709464">
      <w:bodyDiv w:val="1"/>
      <w:marLeft w:val="0"/>
      <w:marRight w:val="0"/>
      <w:marTop w:val="0"/>
      <w:marBottom w:val="0"/>
      <w:divBdr>
        <w:top w:val="none" w:sz="0" w:space="0" w:color="auto"/>
        <w:left w:val="none" w:sz="0" w:space="0" w:color="auto"/>
        <w:bottom w:val="none" w:sz="0" w:space="0" w:color="auto"/>
        <w:right w:val="none" w:sz="0" w:space="0" w:color="auto"/>
      </w:divBdr>
    </w:div>
    <w:div w:id="436945311">
      <w:bodyDiv w:val="1"/>
      <w:marLeft w:val="0"/>
      <w:marRight w:val="0"/>
      <w:marTop w:val="0"/>
      <w:marBottom w:val="0"/>
      <w:divBdr>
        <w:top w:val="none" w:sz="0" w:space="0" w:color="auto"/>
        <w:left w:val="none" w:sz="0" w:space="0" w:color="auto"/>
        <w:bottom w:val="none" w:sz="0" w:space="0" w:color="auto"/>
        <w:right w:val="none" w:sz="0" w:space="0" w:color="auto"/>
      </w:divBdr>
    </w:div>
    <w:div w:id="437216510">
      <w:bodyDiv w:val="1"/>
      <w:marLeft w:val="0"/>
      <w:marRight w:val="0"/>
      <w:marTop w:val="0"/>
      <w:marBottom w:val="0"/>
      <w:divBdr>
        <w:top w:val="none" w:sz="0" w:space="0" w:color="auto"/>
        <w:left w:val="none" w:sz="0" w:space="0" w:color="auto"/>
        <w:bottom w:val="none" w:sz="0" w:space="0" w:color="auto"/>
        <w:right w:val="none" w:sz="0" w:space="0" w:color="auto"/>
      </w:divBdr>
    </w:div>
    <w:div w:id="438136873">
      <w:bodyDiv w:val="1"/>
      <w:marLeft w:val="0"/>
      <w:marRight w:val="0"/>
      <w:marTop w:val="0"/>
      <w:marBottom w:val="0"/>
      <w:divBdr>
        <w:top w:val="none" w:sz="0" w:space="0" w:color="auto"/>
        <w:left w:val="none" w:sz="0" w:space="0" w:color="auto"/>
        <w:bottom w:val="none" w:sz="0" w:space="0" w:color="auto"/>
        <w:right w:val="none" w:sz="0" w:space="0" w:color="auto"/>
      </w:divBdr>
    </w:div>
    <w:div w:id="438374999">
      <w:bodyDiv w:val="1"/>
      <w:marLeft w:val="0"/>
      <w:marRight w:val="0"/>
      <w:marTop w:val="0"/>
      <w:marBottom w:val="0"/>
      <w:divBdr>
        <w:top w:val="none" w:sz="0" w:space="0" w:color="auto"/>
        <w:left w:val="none" w:sz="0" w:space="0" w:color="auto"/>
        <w:bottom w:val="none" w:sz="0" w:space="0" w:color="auto"/>
        <w:right w:val="none" w:sz="0" w:space="0" w:color="auto"/>
      </w:divBdr>
    </w:div>
    <w:div w:id="439570727">
      <w:bodyDiv w:val="1"/>
      <w:marLeft w:val="0"/>
      <w:marRight w:val="0"/>
      <w:marTop w:val="0"/>
      <w:marBottom w:val="0"/>
      <w:divBdr>
        <w:top w:val="none" w:sz="0" w:space="0" w:color="auto"/>
        <w:left w:val="none" w:sz="0" w:space="0" w:color="auto"/>
        <w:bottom w:val="none" w:sz="0" w:space="0" w:color="auto"/>
        <w:right w:val="none" w:sz="0" w:space="0" w:color="auto"/>
      </w:divBdr>
    </w:div>
    <w:div w:id="439572344">
      <w:bodyDiv w:val="1"/>
      <w:marLeft w:val="0"/>
      <w:marRight w:val="0"/>
      <w:marTop w:val="0"/>
      <w:marBottom w:val="0"/>
      <w:divBdr>
        <w:top w:val="none" w:sz="0" w:space="0" w:color="auto"/>
        <w:left w:val="none" w:sz="0" w:space="0" w:color="auto"/>
        <w:bottom w:val="none" w:sz="0" w:space="0" w:color="auto"/>
        <w:right w:val="none" w:sz="0" w:space="0" w:color="auto"/>
      </w:divBdr>
    </w:div>
    <w:div w:id="440028241">
      <w:bodyDiv w:val="1"/>
      <w:marLeft w:val="0"/>
      <w:marRight w:val="0"/>
      <w:marTop w:val="0"/>
      <w:marBottom w:val="0"/>
      <w:divBdr>
        <w:top w:val="none" w:sz="0" w:space="0" w:color="auto"/>
        <w:left w:val="none" w:sz="0" w:space="0" w:color="auto"/>
        <w:bottom w:val="none" w:sz="0" w:space="0" w:color="auto"/>
        <w:right w:val="none" w:sz="0" w:space="0" w:color="auto"/>
      </w:divBdr>
    </w:div>
    <w:div w:id="440105779">
      <w:bodyDiv w:val="1"/>
      <w:marLeft w:val="0"/>
      <w:marRight w:val="0"/>
      <w:marTop w:val="0"/>
      <w:marBottom w:val="0"/>
      <w:divBdr>
        <w:top w:val="none" w:sz="0" w:space="0" w:color="auto"/>
        <w:left w:val="none" w:sz="0" w:space="0" w:color="auto"/>
        <w:bottom w:val="none" w:sz="0" w:space="0" w:color="auto"/>
        <w:right w:val="none" w:sz="0" w:space="0" w:color="auto"/>
      </w:divBdr>
    </w:div>
    <w:div w:id="440803590">
      <w:bodyDiv w:val="1"/>
      <w:marLeft w:val="0"/>
      <w:marRight w:val="0"/>
      <w:marTop w:val="0"/>
      <w:marBottom w:val="0"/>
      <w:divBdr>
        <w:top w:val="none" w:sz="0" w:space="0" w:color="auto"/>
        <w:left w:val="none" w:sz="0" w:space="0" w:color="auto"/>
        <w:bottom w:val="none" w:sz="0" w:space="0" w:color="auto"/>
        <w:right w:val="none" w:sz="0" w:space="0" w:color="auto"/>
      </w:divBdr>
    </w:div>
    <w:div w:id="441145685">
      <w:bodyDiv w:val="1"/>
      <w:marLeft w:val="0"/>
      <w:marRight w:val="0"/>
      <w:marTop w:val="0"/>
      <w:marBottom w:val="0"/>
      <w:divBdr>
        <w:top w:val="none" w:sz="0" w:space="0" w:color="auto"/>
        <w:left w:val="none" w:sz="0" w:space="0" w:color="auto"/>
        <w:bottom w:val="none" w:sz="0" w:space="0" w:color="auto"/>
        <w:right w:val="none" w:sz="0" w:space="0" w:color="auto"/>
      </w:divBdr>
    </w:div>
    <w:div w:id="441655885">
      <w:bodyDiv w:val="1"/>
      <w:marLeft w:val="0"/>
      <w:marRight w:val="0"/>
      <w:marTop w:val="0"/>
      <w:marBottom w:val="0"/>
      <w:divBdr>
        <w:top w:val="none" w:sz="0" w:space="0" w:color="auto"/>
        <w:left w:val="none" w:sz="0" w:space="0" w:color="auto"/>
        <w:bottom w:val="none" w:sz="0" w:space="0" w:color="auto"/>
        <w:right w:val="none" w:sz="0" w:space="0" w:color="auto"/>
      </w:divBdr>
    </w:div>
    <w:div w:id="442042675">
      <w:bodyDiv w:val="1"/>
      <w:marLeft w:val="0"/>
      <w:marRight w:val="0"/>
      <w:marTop w:val="0"/>
      <w:marBottom w:val="0"/>
      <w:divBdr>
        <w:top w:val="none" w:sz="0" w:space="0" w:color="auto"/>
        <w:left w:val="none" w:sz="0" w:space="0" w:color="auto"/>
        <w:bottom w:val="none" w:sz="0" w:space="0" w:color="auto"/>
        <w:right w:val="none" w:sz="0" w:space="0" w:color="auto"/>
      </w:divBdr>
    </w:div>
    <w:div w:id="442113856">
      <w:bodyDiv w:val="1"/>
      <w:marLeft w:val="0"/>
      <w:marRight w:val="0"/>
      <w:marTop w:val="0"/>
      <w:marBottom w:val="0"/>
      <w:divBdr>
        <w:top w:val="none" w:sz="0" w:space="0" w:color="auto"/>
        <w:left w:val="none" w:sz="0" w:space="0" w:color="auto"/>
        <w:bottom w:val="none" w:sz="0" w:space="0" w:color="auto"/>
        <w:right w:val="none" w:sz="0" w:space="0" w:color="auto"/>
      </w:divBdr>
    </w:div>
    <w:div w:id="443773671">
      <w:bodyDiv w:val="1"/>
      <w:marLeft w:val="0"/>
      <w:marRight w:val="0"/>
      <w:marTop w:val="0"/>
      <w:marBottom w:val="0"/>
      <w:divBdr>
        <w:top w:val="none" w:sz="0" w:space="0" w:color="auto"/>
        <w:left w:val="none" w:sz="0" w:space="0" w:color="auto"/>
        <w:bottom w:val="none" w:sz="0" w:space="0" w:color="auto"/>
        <w:right w:val="none" w:sz="0" w:space="0" w:color="auto"/>
      </w:divBdr>
    </w:div>
    <w:div w:id="443842187">
      <w:bodyDiv w:val="1"/>
      <w:marLeft w:val="0"/>
      <w:marRight w:val="0"/>
      <w:marTop w:val="0"/>
      <w:marBottom w:val="0"/>
      <w:divBdr>
        <w:top w:val="none" w:sz="0" w:space="0" w:color="auto"/>
        <w:left w:val="none" w:sz="0" w:space="0" w:color="auto"/>
        <w:bottom w:val="none" w:sz="0" w:space="0" w:color="auto"/>
        <w:right w:val="none" w:sz="0" w:space="0" w:color="auto"/>
      </w:divBdr>
    </w:div>
    <w:div w:id="444929993">
      <w:bodyDiv w:val="1"/>
      <w:marLeft w:val="0"/>
      <w:marRight w:val="0"/>
      <w:marTop w:val="0"/>
      <w:marBottom w:val="0"/>
      <w:divBdr>
        <w:top w:val="none" w:sz="0" w:space="0" w:color="auto"/>
        <w:left w:val="none" w:sz="0" w:space="0" w:color="auto"/>
        <w:bottom w:val="none" w:sz="0" w:space="0" w:color="auto"/>
        <w:right w:val="none" w:sz="0" w:space="0" w:color="auto"/>
      </w:divBdr>
    </w:div>
    <w:div w:id="445659363">
      <w:bodyDiv w:val="1"/>
      <w:marLeft w:val="0"/>
      <w:marRight w:val="0"/>
      <w:marTop w:val="0"/>
      <w:marBottom w:val="0"/>
      <w:divBdr>
        <w:top w:val="none" w:sz="0" w:space="0" w:color="auto"/>
        <w:left w:val="none" w:sz="0" w:space="0" w:color="auto"/>
        <w:bottom w:val="none" w:sz="0" w:space="0" w:color="auto"/>
        <w:right w:val="none" w:sz="0" w:space="0" w:color="auto"/>
      </w:divBdr>
    </w:div>
    <w:div w:id="447967126">
      <w:bodyDiv w:val="1"/>
      <w:marLeft w:val="0"/>
      <w:marRight w:val="0"/>
      <w:marTop w:val="0"/>
      <w:marBottom w:val="0"/>
      <w:divBdr>
        <w:top w:val="none" w:sz="0" w:space="0" w:color="auto"/>
        <w:left w:val="none" w:sz="0" w:space="0" w:color="auto"/>
        <w:bottom w:val="none" w:sz="0" w:space="0" w:color="auto"/>
        <w:right w:val="none" w:sz="0" w:space="0" w:color="auto"/>
      </w:divBdr>
    </w:div>
    <w:div w:id="447970597">
      <w:bodyDiv w:val="1"/>
      <w:marLeft w:val="0"/>
      <w:marRight w:val="0"/>
      <w:marTop w:val="0"/>
      <w:marBottom w:val="0"/>
      <w:divBdr>
        <w:top w:val="none" w:sz="0" w:space="0" w:color="auto"/>
        <w:left w:val="none" w:sz="0" w:space="0" w:color="auto"/>
        <w:bottom w:val="none" w:sz="0" w:space="0" w:color="auto"/>
        <w:right w:val="none" w:sz="0" w:space="0" w:color="auto"/>
      </w:divBdr>
    </w:div>
    <w:div w:id="448403711">
      <w:bodyDiv w:val="1"/>
      <w:marLeft w:val="0"/>
      <w:marRight w:val="0"/>
      <w:marTop w:val="0"/>
      <w:marBottom w:val="0"/>
      <w:divBdr>
        <w:top w:val="none" w:sz="0" w:space="0" w:color="auto"/>
        <w:left w:val="none" w:sz="0" w:space="0" w:color="auto"/>
        <w:bottom w:val="none" w:sz="0" w:space="0" w:color="auto"/>
        <w:right w:val="none" w:sz="0" w:space="0" w:color="auto"/>
      </w:divBdr>
    </w:div>
    <w:div w:id="450512096">
      <w:bodyDiv w:val="1"/>
      <w:marLeft w:val="0"/>
      <w:marRight w:val="0"/>
      <w:marTop w:val="0"/>
      <w:marBottom w:val="0"/>
      <w:divBdr>
        <w:top w:val="none" w:sz="0" w:space="0" w:color="auto"/>
        <w:left w:val="none" w:sz="0" w:space="0" w:color="auto"/>
        <w:bottom w:val="none" w:sz="0" w:space="0" w:color="auto"/>
        <w:right w:val="none" w:sz="0" w:space="0" w:color="auto"/>
      </w:divBdr>
    </w:div>
    <w:div w:id="450828619">
      <w:bodyDiv w:val="1"/>
      <w:marLeft w:val="0"/>
      <w:marRight w:val="0"/>
      <w:marTop w:val="0"/>
      <w:marBottom w:val="0"/>
      <w:divBdr>
        <w:top w:val="none" w:sz="0" w:space="0" w:color="auto"/>
        <w:left w:val="none" w:sz="0" w:space="0" w:color="auto"/>
        <w:bottom w:val="none" w:sz="0" w:space="0" w:color="auto"/>
        <w:right w:val="none" w:sz="0" w:space="0" w:color="auto"/>
      </w:divBdr>
    </w:div>
    <w:div w:id="452792040">
      <w:bodyDiv w:val="1"/>
      <w:marLeft w:val="0"/>
      <w:marRight w:val="0"/>
      <w:marTop w:val="0"/>
      <w:marBottom w:val="0"/>
      <w:divBdr>
        <w:top w:val="none" w:sz="0" w:space="0" w:color="auto"/>
        <w:left w:val="none" w:sz="0" w:space="0" w:color="auto"/>
        <w:bottom w:val="none" w:sz="0" w:space="0" w:color="auto"/>
        <w:right w:val="none" w:sz="0" w:space="0" w:color="auto"/>
      </w:divBdr>
    </w:div>
    <w:div w:id="453910785">
      <w:bodyDiv w:val="1"/>
      <w:marLeft w:val="0"/>
      <w:marRight w:val="0"/>
      <w:marTop w:val="0"/>
      <w:marBottom w:val="0"/>
      <w:divBdr>
        <w:top w:val="none" w:sz="0" w:space="0" w:color="auto"/>
        <w:left w:val="none" w:sz="0" w:space="0" w:color="auto"/>
        <w:bottom w:val="none" w:sz="0" w:space="0" w:color="auto"/>
        <w:right w:val="none" w:sz="0" w:space="0" w:color="auto"/>
      </w:divBdr>
    </w:div>
    <w:div w:id="454061706">
      <w:bodyDiv w:val="1"/>
      <w:marLeft w:val="0"/>
      <w:marRight w:val="0"/>
      <w:marTop w:val="0"/>
      <w:marBottom w:val="0"/>
      <w:divBdr>
        <w:top w:val="none" w:sz="0" w:space="0" w:color="auto"/>
        <w:left w:val="none" w:sz="0" w:space="0" w:color="auto"/>
        <w:bottom w:val="none" w:sz="0" w:space="0" w:color="auto"/>
        <w:right w:val="none" w:sz="0" w:space="0" w:color="auto"/>
      </w:divBdr>
    </w:div>
    <w:div w:id="457072717">
      <w:bodyDiv w:val="1"/>
      <w:marLeft w:val="0"/>
      <w:marRight w:val="0"/>
      <w:marTop w:val="0"/>
      <w:marBottom w:val="0"/>
      <w:divBdr>
        <w:top w:val="none" w:sz="0" w:space="0" w:color="auto"/>
        <w:left w:val="none" w:sz="0" w:space="0" w:color="auto"/>
        <w:bottom w:val="none" w:sz="0" w:space="0" w:color="auto"/>
        <w:right w:val="none" w:sz="0" w:space="0" w:color="auto"/>
      </w:divBdr>
    </w:div>
    <w:div w:id="457335653">
      <w:bodyDiv w:val="1"/>
      <w:marLeft w:val="0"/>
      <w:marRight w:val="0"/>
      <w:marTop w:val="0"/>
      <w:marBottom w:val="0"/>
      <w:divBdr>
        <w:top w:val="none" w:sz="0" w:space="0" w:color="auto"/>
        <w:left w:val="none" w:sz="0" w:space="0" w:color="auto"/>
        <w:bottom w:val="none" w:sz="0" w:space="0" w:color="auto"/>
        <w:right w:val="none" w:sz="0" w:space="0" w:color="auto"/>
      </w:divBdr>
    </w:div>
    <w:div w:id="457458765">
      <w:bodyDiv w:val="1"/>
      <w:marLeft w:val="0"/>
      <w:marRight w:val="0"/>
      <w:marTop w:val="0"/>
      <w:marBottom w:val="0"/>
      <w:divBdr>
        <w:top w:val="none" w:sz="0" w:space="0" w:color="auto"/>
        <w:left w:val="none" w:sz="0" w:space="0" w:color="auto"/>
        <w:bottom w:val="none" w:sz="0" w:space="0" w:color="auto"/>
        <w:right w:val="none" w:sz="0" w:space="0" w:color="auto"/>
      </w:divBdr>
    </w:div>
    <w:div w:id="457652358">
      <w:bodyDiv w:val="1"/>
      <w:marLeft w:val="0"/>
      <w:marRight w:val="0"/>
      <w:marTop w:val="0"/>
      <w:marBottom w:val="0"/>
      <w:divBdr>
        <w:top w:val="none" w:sz="0" w:space="0" w:color="auto"/>
        <w:left w:val="none" w:sz="0" w:space="0" w:color="auto"/>
        <w:bottom w:val="none" w:sz="0" w:space="0" w:color="auto"/>
        <w:right w:val="none" w:sz="0" w:space="0" w:color="auto"/>
      </w:divBdr>
    </w:div>
    <w:div w:id="458687386">
      <w:bodyDiv w:val="1"/>
      <w:marLeft w:val="0"/>
      <w:marRight w:val="0"/>
      <w:marTop w:val="0"/>
      <w:marBottom w:val="0"/>
      <w:divBdr>
        <w:top w:val="none" w:sz="0" w:space="0" w:color="auto"/>
        <w:left w:val="none" w:sz="0" w:space="0" w:color="auto"/>
        <w:bottom w:val="none" w:sz="0" w:space="0" w:color="auto"/>
        <w:right w:val="none" w:sz="0" w:space="0" w:color="auto"/>
      </w:divBdr>
    </w:div>
    <w:div w:id="459762334">
      <w:bodyDiv w:val="1"/>
      <w:marLeft w:val="0"/>
      <w:marRight w:val="0"/>
      <w:marTop w:val="0"/>
      <w:marBottom w:val="0"/>
      <w:divBdr>
        <w:top w:val="none" w:sz="0" w:space="0" w:color="auto"/>
        <w:left w:val="none" w:sz="0" w:space="0" w:color="auto"/>
        <w:bottom w:val="none" w:sz="0" w:space="0" w:color="auto"/>
        <w:right w:val="none" w:sz="0" w:space="0" w:color="auto"/>
      </w:divBdr>
    </w:div>
    <w:div w:id="461271630">
      <w:bodyDiv w:val="1"/>
      <w:marLeft w:val="0"/>
      <w:marRight w:val="0"/>
      <w:marTop w:val="0"/>
      <w:marBottom w:val="0"/>
      <w:divBdr>
        <w:top w:val="none" w:sz="0" w:space="0" w:color="auto"/>
        <w:left w:val="none" w:sz="0" w:space="0" w:color="auto"/>
        <w:bottom w:val="none" w:sz="0" w:space="0" w:color="auto"/>
        <w:right w:val="none" w:sz="0" w:space="0" w:color="auto"/>
      </w:divBdr>
    </w:div>
    <w:div w:id="462116286">
      <w:bodyDiv w:val="1"/>
      <w:marLeft w:val="0"/>
      <w:marRight w:val="0"/>
      <w:marTop w:val="0"/>
      <w:marBottom w:val="0"/>
      <w:divBdr>
        <w:top w:val="none" w:sz="0" w:space="0" w:color="auto"/>
        <w:left w:val="none" w:sz="0" w:space="0" w:color="auto"/>
        <w:bottom w:val="none" w:sz="0" w:space="0" w:color="auto"/>
        <w:right w:val="none" w:sz="0" w:space="0" w:color="auto"/>
      </w:divBdr>
    </w:div>
    <w:div w:id="463086740">
      <w:bodyDiv w:val="1"/>
      <w:marLeft w:val="0"/>
      <w:marRight w:val="0"/>
      <w:marTop w:val="0"/>
      <w:marBottom w:val="0"/>
      <w:divBdr>
        <w:top w:val="none" w:sz="0" w:space="0" w:color="auto"/>
        <w:left w:val="none" w:sz="0" w:space="0" w:color="auto"/>
        <w:bottom w:val="none" w:sz="0" w:space="0" w:color="auto"/>
        <w:right w:val="none" w:sz="0" w:space="0" w:color="auto"/>
      </w:divBdr>
    </w:div>
    <w:div w:id="463887866">
      <w:bodyDiv w:val="1"/>
      <w:marLeft w:val="0"/>
      <w:marRight w:val="0"/>
      <w:marTop w:val="0"/>
      <w:marBottom w:val="0"/>
      <w:divBdr>
        <w:top w:val="none" w:sz="0" w:space="0" w:color="auto"/>
        <w:left w:val="none" w:sz="0" w:space="0" w:color="auto"/>
        <w:bottom w:val="none" w:sz="0" w:space="0" w:color="auto"/>
        <w:right w:val="none" w:sz="0" w:space="0" w:color="auto"/>
      </w:divBdr>
    </w:div>
    <w:div w:id="465197604">
      <w:bodyDiv w:val="1"/>
      <w:marLeft w:val="0"/>
      <w:marRight w:val="0"/>
      <w:marTop w:val="0"/>
      <w:marBottom w:val="0"/>
      <w:divBdr>
        <w:top w:val="none" w:sz="0" w:space="0" w:color="auto"/>
        <w:left w:val="none" w:sz="0" w:space="0" w:color="auto"/>
        <w:bottom w:val="none" w:sz="0" w:space="0" w:color="auto"/>
        <w:right w:val="none" w:sz="0" w:space="0" w:color="auto"/>
      </w:divBdr>
    </w:div>
    <w:div w:id="465245506">
      <w:bodyDiv w:val="1"/>
      <w:marLeft w:val="0"/>
      <w:marRight w:val="0"/>
      <w:marTop w:val="0"/>
      <w:marBottom w:val="0"/>
      <w:divBdr>
        <w:top w:val="none" w:sz="0" w:space="0" w:color="auto"/>
        <w:left w:val="none" w:sz="0" w:space="0" w:color="auto"/>
        <w:bottom w:val="none" w:sz="0" w:space="0" w:color="auto"/>
        <w:right w:val="none" w:sz="0" w:space="0" w:color="auto"/>
      </w:divBdr>
    </w:div>
    <w:div w:id="466357251">
      <w:bodyDiv w:val="1"/>
      <w:marLeft w:val="0"/>
      <w:marRight w:val="0"/>
      <w:marTop w:val="0"/>
      <w:marBottom w:val="0"/>
      <w:divBdr>
        <w:top w:val="none" w:sz="0" w:space="0" w:color="auto"/>
        <w:left w:val="none" w:sz="0" w:space="0" w:color="auto"/>
        <w:bottom w:val="none" w:sz="0" w:space="0" w:color="auto"/>
        <w:right w:val="none" w:sz="0" w:space="0" w:color="auto"/>
      </w:divBdr>
    </w:div>
    <w:div w:id="467473760">
      <w:bodyDiv w:val="1"/>
      <w:marLeft w:val="0"/>
      <w:marRight w:val="0"/>
      <w:marTop w:val="0"/>
      <w:marBottom w:val="0"/>
      <w:divBdr>
        <w:top w:val="none" w:sz="0" w:space="0" w:color="auto"/>
        <w:left w:val="none" w:sz="0" w:space="0" w:color="auto"/>
        <w:bottom w:val="none" w:sz="0" w:space="0" w:color="auto"/>
        <w:right w:val="none" w:sz="0" w:space="0" w:color="auto"/>
      </w:divBdr>
    </w:div>
    <w:div w:id="469519789">
      <w:bodyDiv w:val="1"/>
      <w:marLeft w:val="0"/>
      <w:marRight w:val="0"/>
      <w:marTop w:val="0"/>
      <w:marBottom w:val="0"/>
      <w:divBdr>
        <w:top w:val="none" w:sz="0" w:space="0" w:color="auto"/>
        <w:left w:val="none" w:sz="0" w:space="0" w:color="auto"/>
        <w:bottom w:val="none" w:sz="0" w:space="0" w:color="auto"/>
        <w:right w:val="none" w:sz="0" w:space="0" w:color="auto"/>
      </w:divBdr>
    </w:div>
    <w:div w:id="469900382">
      <w:bodyDiv w:val="1"/>
      <w:marLeft w:val="0"/>
      <w:marRight w:val="0"/>
      <w:marTop w:val="0"/>
      <w:marBottom w:val="0"/>
      <w:divBdr>
        <w:top w:val="none" w:sz="0" w:space="0" w:color="auto"/>
        <w:left w:val="none" w:sz="0" w:space="0" w:color="auto"/>
        <w:bottom w:val="none" w:sz="0" w:space="0" w:color="auto"/>
        <w:right w:val="none" w:sz="0" w:space="0" w:color="auto"/>
      </w:divBdr>
    </w:div>
    <w:div w:id="470485830">
      <w:bodyDiv w:val="1"/>
      <w:marLeft w:val="0"/>
      <w:marRight w:val="0"/>
      <w:marTop w:val="0"/>
      <w:marBottom w:val="0"/>
      <w:divBdr>
        <w:top w:val="none" w:sz="0" w:space="0" w:color="auto"/>
        <w:left w:val="none" w:sz="0" w:space="0" w:color="auto"/>
        <w:bottom w:val="none" w:sz="0" w:space="0" w:color="auto"/>
        <w:right w:val="none" w:sz="0" w:space="0" w:color="auto"/>
      </w:divBdr>
    </w:div>
    <w:div w:id="472452071">
      <w:bodyDiv w:val="1"/>
      <w:marLeft w:val="0"/>
      <w:marRight w:val="0"/>
      <w:marTop w:val="0"/>
      <w:marBottom w:val="0"/>
      <w:divBdr>
        <w:top w:val="none" w:sz="0" w:space="0" w:color="auto"/>
        <w:left w:val="none" w:sz="0" w:space="0" w:color="auto"/>
        <w:bottom w:val="none" w:sz="0" w:space="0" w:color="auto"/>
        <w:right w:val="none" w:sz="0" w:space="0" w:color="auto"/>
      </w:divBdr>
    </w:div>
    <w:div w:id="473134655">
      <w:bodyDiv w:val="1"/>
      <w:marLeft w:val="0"/>
      <w:marRight w:val="0"/>
      <w:marTop w:val="0"/>
      <w:marBottom w:val="0"/>
      <w:divBdr>
        <w:top w:val="none" w:sz="0" w:space="0" w:color="auto"/>
        <w:left w:val="none" w:sz="0" w:space="0" w:color="auto"/>
        <w:bottom w:val="none" w:sz="0" w:space="0" w:color="auto"/>
        <w:right w:val="none" w:sz="0" w:space="0" w:color="auto"/>
      </w:divBdr>
    </w:div>
    <w:div w:id="473178543">
      <w:bodyDiv w:val="1"/>
      <w:marLeft w:val="0"/>
      <w:marRight w:val="0"/>
      <w:marTop w:val="0"/>
      <w:marBottom w:val="0"/>
      <w:divBdr>
        <w:top w:val="none" w:sz="0" w:space="0" w:color="auto"/>
        <w:left w:val="none" w:sz="0" w:space="0" w:color="auto"/>
        <w:bottom w:val="none" w:sz="0" w:space="0" w:color="auto"/>
        <w:right w:val="none" w:sz="0" w:space="0" w:color="auto"/>
      </w:divBdr>
    </w:div>
    <w:div w:id="473179206">
      <w:bodyDiv w:val="1"/>
      <w:marLeft w:val="0"/>
      <w:marRight w:val="0"/>
      <w:marTop w:val="0"/>
      <w:marBottom w:val="0"/>
      <w:divBdr>
        <w:top w:val="none" w:sz="0" w:space="0" w:color="auto"/>
        <w:left w:val="none" w:sz="0" w:space="0" w:color="auto"/>
        <w:bottom w:val="none" w:sz="0" w:space="0" w:color="auto"/>
        <w:right w:val="none" w:sz="0" w:space="0" w:color="auto"/>
      </w:divBdr>
    </w:div>
    <w:div w:id="473375330">
      <w:bodyDiv w:val="1"/>
      <w:marLeft w:val="0"/>
      <w:marRight w:val="0"/>
      <w:marTop w:val="0"/>
      <w:marBottom w:val="0"/>
      <w:divBdr>
        <w:top w:val="none" w:sz="0" w:space="0" w:color="auto"/>
        <w:left w:val="none" w:sz="0" w:space="0" w:color="auto"/>
        <w:bottom w:val="none" w:sz="0" w:space="0" w:color="auto"/>
        <w:right w:val="none" w:sz="0" w:space="0" w:color="auto"/>
      </w:divBdr>
    </w:div>
    <w:div w:id="473908918">
      <w:bodyDiv w:val="1"/>
      <w:marLeft w:val="0"/>
      <w:marRight w:val="0"/>
      <w:marTop w:val="0"/>
      <w:marBottom w:val="0"/>
      <w:divBdr>
        <w:top w:val="none" w:sz="0" w:space="0" w:color="auto"/>
        <w:left w:val="none" w:sz="0" w:space="0" w:color="auto"/>
        <w:bottom w:val="none" w:sz="0" w:space="0" w:color="auto"/>
        <w:right w:val="none" w:sz="0" w:space="0" w:color="auto"/>
      </w:divBdr>
    </w:div>
    <w:div w:id="474370828">
      <w:bodyDiv w:val="1"/>
      <w:marLeft w:val="0"/>
      <w:marRight w:val="0"/>
      <w:marTop w:val="0"/>
      <w:marBottom w:val="0"/>
      <w:divBdr>
        <w:top w:val="none" w:sz="0" w:space="0" w:color="auto"/>
        <w:left w:val="none" w:sz="0" w:space="0" w:color="auto"/>
        <w:bottom w:val="none" w:sz="0" w:space="0" w:color="auto"/>
        <w:right w:val="none" w:sz="0" w:space="0" w:color="auto"/>
      </w:divBdr>
    </w:div>
    <w:div w:id="475341296">
      <w:bodyDiv w:val="1"/>
      <w:marLeft w:val="0"/>
      <w:marRight w:val="0"/>
      <w:marTop w:val="0"/>
      <w:marBottom w:val="0"/>
      <w:divBdr>
        <w:top w:val="none" w:sz="0" w:space="0" w:color="auto"/>
        <w:left w:val="none" w:sz="0" w:space="0" w:color="auto"/>
        <w:bottom w:val="none" w:sz="0" w:space="0" w:color="auto"/>
        <w:right w:val="none" w:sz="0" w:space="0" w:color="auto"/>
      </w:divBdr>
    </w:div>
    <w:div w:id="475757227">
      <w:bodyDiv w:val="1"/>
      <w:marLeft w:val="0"/>
      <w:marRight w:val="0"/>
      <w:marTop w:val="0"/>
      <w:marBottom w:val="0"/>
      <w:divBdr>
        <w:top w:val="none" w:sz="0" w:space="0" w:color="auto"/>
        <w:left w:val="none" w:sz="0" w:space="0" w:color="auto"/>
        <w:bottom w:val="none" w:sz="0" w:space="0" w:color="auto"/>
        <w:right w:val="none" w:sz="0" w:space="0" w:color="auto"/>
      </w:divBdr>
    </w:div>
    <w:div w:id="476074910">
      <w:bodyDiv w:val="1"/>
      <w:marLeft w:val="0"/>
      <w:marRight w:val="0"/>
      <w:marTop w:val="0"/>
      <w:marBottom w:val="0"/>
      <w:divBdr>
        <w:top w:val="none" w:sz="0" w:space="0" w:color="auto"/>
        <w:left w:val="none" w:sz="0" w:space="0" w:color="auto"/>
        <w:bottom w:val="none" w:sz="0" w:space="0" w:color="auto"/>
        <w:right w:val="none" w:sz="0" w:space="0" w:color="auto"/>
      </w:divBdr>
    </w:div>
    <w:div w:id="477769991">
      <w:bodyDiv w:val="1"/>
      <w:marLeft w:val="0"/>
      <w:marRight w:val="0"/>
      <w:marTop w:val="0"/>
      <w:marBottom w:val="0"/>
      <w:divBdr>
        <w:top w:val="none" w:sz="0" w:space="0" w:color="auto"/>
        <w:left w:val="none" w:sz="0" w:space="0" w:color="auto"/>
        <w:bottom w:val="none" w:sz="0" w:space="0" w:color="auto"/>
        <w:right w:val="none" w:sz="0" w:space="0" w:color="auto"/>
      </w:divBdr>
    </w:div>
    <w:div w:id="479346190">
      <w:bodyDiv w:val="1"/>
      <w:marLeft w:val="0"/>
      <w:marRight w:val="0"/>
      <w:marTop w:val="0"/>
      <w:marBottom w:val="0"/>
      <w:divBdr>
        <w:top w:val="none" w:sz="0" w:space="0" w:color="auto"/>
        <w:left w:val="none" w:sz="0" w:space="0" w:color="auto"/>
        <w:bottom w:val="none" w:sz="0" w:space="0" w:color="auto"/>
        <w:right w:val="none" w:sz="0" w:space="0" w:color="auto"/>
      </w:divBdr>
    </w:div>
    <w:div w:id="482048515">
      <w:bodyDiv w:val="1"/>
      <w:marLeft w:val="0"/>
      <w:marRight w:val="0"/>
      <w:marTop w:val="0"/>
      <w:marBottom w:val="0"/>
      <w:divBdr>
        <w:top w:val="none" w:sz="0" w:space="0" w:color="auto"/>
        <w:left w:val="none" w:sz="0" w:space="0" w:color="auto"/>
        <w:bottom w:val="none" w:sz="0" w:space="0" w:color="auto"/>
        <w:right w:val="none" w:sz="0" w:space="0" w:color="auto"/>
      </w:divBdr>
    </w:div>
    <w:div w:id="483352601">
      <w:bodyDiv w:val="1"/>
      <w:marLeft w:val="0"/>
      <w:marRight w:val="0"/>
      <w:marTop w:val="0"/>
      <w:marBottom w:val="0"/>
      <w:divBdr>
        <w:top w:val="none" w:sz="0" w:space="0" w:color="auto"/>
        <w:left w:val="none" w:sz="0" w:space="0" w:color="auto"/>
        <w:bottom w:val="none" w:sz="0" w:space="0" w:color="auto"/>
        <w:right w:val="none" w:sz="0" w:space="0" w:color="auto"/>
      </w:divBdr>
    </w:div>
    <w:div w:id="483860811">
      <w:bodyDiv w:val="1"/>
      <w:marLeft w:val="0"/>
      <w:marRight w:val="0"/>
      <w:marTop w:val="0"/>
      <w:marBottom w:val="0"/>
      <w:divBdr>
        <w:top w:val="none" w:sz="0" w:space="0" w:color="auto"/>
        <w:left w:val="none" w:sz="0" w:space="0" w:color="auto"/>
        <w:bottom w:val="none" w:sz="0" w:space="0" w:color="auto"/>
        <w:right w:val="none" w:sz="0" w:space="0" w:color="auto"/>
      </w:divBdr>
    </w:div>
    <w:div w:id="484594010">
      <w:bodyDiv w:val="1"/>
      <w:marLeft w:val="0"/>
      <w:marRight w:val="0"/>
      <w:marTop w:val="0"/>
      <w:marBottom w:val="0"/>
      <w:divBdr>
        <w:top w:val="none" w:sz="0" w:space="0" w:color="auto"/>
        <w:left w:val="none" w:sz="0" w:space="0" w:color="auto"/>
        <w:bottom w:val="none" w:sz="0" w:space="0" w:color="auto"/>
        <w:right w:val="none" w:sz="0" w:space="0" w:color="auto"/>
      </w:divBdr>
    </w:div>
    <w:div w:id="485780762">
      <w:bodyDiv w:val="1"/>
      <w:marLeft w:val="0"/>
      <w:marRight w:val="0"/>
      <w:marTop w:val="0"/>
      <w:marBottom w:val="0"/>
      <w:divBdr>
        <w:top w:val="none" w:sz="0" w:space="0" w:color="auto"/>
        <w:left w:val="none" w:sz="0" w:space="0" w:color="auto"/>
        <w:bottom w:val="none" w:sz="0" w:space="0" w:color="auto"/>
        <w:right w:val="none" w:sz="0" w:space="0" w:color="auto"/>
      </w:divBdr>
    </w:div>
    <w:div w:id="486676269">
      <w:bodyDiv w:val="1"/>
      <w:marLeft w:val="0"/>
      <w:marRight w:val="0"/>
      <w:marTop w:val="0"/>
      <w:marBottom w:val="0"/>
      <w:divBdr>
        <w:top w:val="none" w:sz="0" w:space="0" w:color="auto"/>
        <w:left w:val="none" w:sz="0" w:space="0" w:color="auto"/>
        <w:bottom w:val="none" w:sz="0" w:space="0" w:color="auto"/>
        <w:right w:val="none" w:sz="0" w:space="0" w:color="auto"/>
      </w:divBdr>
    </w:div>
    <w:div w:id="486820973">
      <w:bodyDiv w:val="1"/>
      <w:marLeft w:val="0"/>
      <w:marRight w:val="0"/>
      <w:marTop w:val="0"/>
      <w:marBottom w:val="0"/>
      <w:divBdr>
        <w:top w:val="none" w:sz="0" w:space="0" w:color="auto"/>
        <w:left w:val="none" w:sz="0" w:space="0" w:color="auto"/>
        <w:bottom w:val="none" w:sz="0" w:space="0" w:color="auto"/>
        <w:right w:val="none" w:sz="0" w:space="0" w:color="auto"/>
      </w:divBdr>
    </w:div>
    <w:div w:id="486823537">
      <w:bodyDiv w:val="1"/>
      <w:marLeft w:val="0"/>
      <w:marRight w:val="0"/>
      <w:marTop w:val="0"/>
      <w:marBottom w:val="0"/>
      <w:divBdr>
        <w:top w:val="none" w:sz="0" w:space="0" w:color="auto"/>
        <w:left w:val="none" w:sz="0" w:space="0" w:color="auto"/>
        <w:bottom w:val="none" w:sz="0" w:space="0" w:color="auto"/>
        <w:right w:val="none" w:sz="0" w:space="0" w:color="auto"/>
      </w:divBdr>
    </w:div>
    <w:div w:id="486828447">
      <w:bodyDiv w:val="1"/>
      <w:marLeft w:val="0"/>
      <w:marRight w:val="0"/>
      <w:marTop w:val="0"/>
      <w:marBottom w:val="0"/>
      <w:divBdr>
        <w:top w:val="none" w:sz="0" w:space="0" w:color="auto"/>
        <w:left w:val="none" w:sz="0" w:space="0" w:color="auto"/>
        <w:bottom w:val="none" w:sz="0" w:space="0" w:color="auto"/>
        <w:right w:val="none" w:sz="0" w:space="0" w:color="auto"/>
      </w:divBdr>
    </w:div>
    <w:div w:id="488327941">
      <w:bodyDiv w:val="1"/>
      <w:marLeft w:val="0"/>
      <w:marRight w:val="0"/>
      <w:marTop w:val="0"/>
      <w:marBottom w:val="0"/>
      <w:divBdr>
        <w:top w:val="none" w:sz="0" w:space="0" w:color="auto"/>
        <w:left w:val="none" w:sz="0" w:space="0" w:color="auto"/>
        <w:bottom w:val="none" w:sz="0" w:space="0" w:color="auto"/>
        <w:right w:val="none" w:sz="0" w:space="0" w:color="auto"/>
      </w:divBdr>
    </w:div>
    <w:div w:id="488516647">
      <w:bodyDiv w:val="1"/>
      <w:marLeft w:val="0"/>
      <w:marRight w:val="0"/>
      <w:marTop w:val="0"/>
      <w:marBottom w:val="0"/>
      <w:divBdr>
        <w:top w:val="none" w:sz="0" w:space="0" w:color="auto"/>
        <w:left w:val="none" w:sz="0" w:space="0" w:color="auto"/>
        <w:bottom w:val="none" w:sz="0" w:space="0" w:color="auto"/>
        <w:right w:val="none" w:sz="0" w:space="0" w:color="auto"/>
      </w:divBdr>
    </w:div>
    <w:div w:id="491027573">
      <w:bodyDiv w:val="1"/>
      <w:marLeft w:val="0"/>
      <w:marRight w:val="0"/>
      <w:marTop w:val="0"/>
      <w:marBottom w:val="0"/>
      <w:divBdr>
        <w:top w:val="none" w:sz="0" w:space="0" w:color="auto"/>
        <w:left w:val="none" w:sz="0" w:space="0" w:color="auto"/>
        <w:bottom w:val="none" w:sz="0" w:space="0" w:color="auto"/>
        <w:right w:val="none" w:sz="0" w:space="0" w:color="auto"/>
      </w:divBdr>
    </w:div>
    <w:div w:id="492992450">
      <w:bodyDiv w:val="1"/>
      <w:marLeft w:val="0"/>
      <w:marRight w:val="0"/>
      <w:marTop w:val="0"/>
      <w:marBottom w:val="0"/>
      <w:divBdr>
        <w:top w:val="none" w:sz="0" w:space="0" w:color="auto"/>
        <w:left w:val="none" w:sz="0" w:space="0" w:color="auto"/>
        <w:bottom w:val="none" w:sz="0" w:space="0" w:color="auto"/>
        <w:right w:val="none" w:sz="0" w:space="0" w:color="auto"/>
      </w:divBdr>
    </w:div>
    <w:div w:id="493372947">
      <w:bodyDiv w:val="1"/>
      <w:marLeft w:val="0"/>
      <w:marRight w:val="0"/>
      <w:marTop w:val="0"/>
      <w:marBottom w:val="0"/>
      <w:divBdr>
        <w:top w:val="none" w:sz="0" w:space="0" w:color="auto"/>
        <w:left w:val="none" w:sz="0" w:space="0" w:color="auto"/>
        <w:bottom w:val="none" w:sz="0" w:space="0" w:color="auto"/>
        <w:right w:val="none" w:sz="0" w:space="0" w:color="auto"/>
      </w:divBdr>
    </w:div>
    <w:div w:id="493377976">
      <w:bodyDiv w:val="1"/>
      <w:marLeft w:val="0"/>
      <w:marRight w:val="0"/>
      <w:marTop w:val="0"/>
      <w:marBottom w:val="0"/>
      <w:divBdr>
        <w:top w:val="none" w:sz="0" w:space="0" w:color="auto"/>
        <w:left w:val="none" w:sz="0" w:space="0" w:color="auto"/>
        <w:bottom w:val="none" w:sz="0" w:space="0" w:color="auto"/>
        <w:right w:val="none" w:sz="0" w:space="0" w:color="auto"/>
      </w:divBdr>
    </w:div>
    <w:div w:id="494878605">
      <w:bodyDiv w:val="1"/>
      <w:marLeft w:val="0"/>
      <w:marRight w:val="0"/>
      <w:marTop w:val="0"/>
      <w:marBottom w:val="0"/>
      <w:divBdr>
        <w:top w:val="none" w:sz="0" w:space="0" w:color="auto"/>
        <w:left w:val="none" w:sz="0" w:space="0" w:color="auto"/>
        <w:bottom w:val="none" w:sz="0" w:space="0" w:color="auto"/>
        <w:right w:val="none" w:sz="0" w:space="0" w:color="auto"/>
      </w:divBdr>
    </w:div>
    <w:div w:id="495070542">
      <w:bodyDiv w:val="1"/>
      <w:marLeft w:val="0"/>
      <w:marRight w:val="0"/>
      <w:marTop w:val="0"/>
      <w:marBottom w:val="0"/>
      <w:divBdr>
        <w:top w:val="none" w:sz="0" w:space="0" w:color="auto"/>
        <w:left w:val="none" w:sz="0" w:space="0" w:color="auto"/>
        <w:bottom w:val="none" w:sz="0" w:space="0" w:color="auto"/>
        <w:right w:val="none" w:sz="0" w:space="0" w:color="auto"/>
      </w:divBdr>
    </w:div>
    <w:div w:id="495925882">
      <w:bodyDiv w:val="1"/>
      <w:marLeft w:val="0"/>
      <w:marRight w:val="0"/>
      <w:marTop w:val="0"/>
      <w:marBottom w:val="0"/>
      <w:divBdr>
        <w:top w:val="none" w:sz="0" w:space="0" w:color="auto"/>
        <w:left w:val="none" w:sz="0" w:space="0" w:color="auto"/>
        <w:bottom w:val="none" w:sz="0" w:space="0" w:color="auto"/>
        <w:right w:val="none" w:sz="0" w:space="0" w:color="auto"/>
      </w:divBdr>
    </w:div>
    <w:div w:id="496582062">
      <w:bodyDiv w:val="1"/>
      <w:marLeft w:val="0"/>
      <w:marRight w:val="0"/>
      <w:marTop w:val="0"/>
      <w:marBottom w:val="0"/>
      <w:divBdr>
        <w:top w:val="none" w:sz="0" w:space="0" w:color="auto"/>
        <w:left w:val="none" w:sz="0" w:space="0" w:color="auto"/>
        <w:bottom w:val="none" w:sz="0" w:space="0" w:color="auto"/>
        <w:right w:val="none" w:sz="0" w:space="0" w:color="auto"/>
      </w:divBdr>
    </w:div>
    <w:div w:id="496729064">
      <w:bodyDiv w:val="1"/>
      <w:marLeft w:val="0"/>
      <w:marRight w:val="0"/>
      <w:marTop w:val="0"/>
      <w:marBottom w:val="0"/>
      <w:divBdr>
        <w:top w:val="none" w:sz="0" w:space="0" w:color="auto"/>
        <w:left w:val="none" w:sz="0" w:space="0" w:color="auto"/>
        <w:bottom w:val="none" w:sz="0" w:space="0" w:color="auto"/>
        <w:right w:val="none" w:sz="0" w:space="0" w:color="auto"/>
      </w:divBdr>
    </w:div>
    <w:div w:id="499348775">
      <w:bodyDiv w:val="1"/>
      <w:marLeft w:val="0"/>
      <w:marRight w:val="0"/>
      <w:marTop w:val="0"/>
      <w:marBottom w:val="0"/>
      <w:divBdr>
        <w:top w:val="none" w:sz="0" w:space="0" w:color="auto"/>
        <w:left w:val="none" w:sz="0" w:space="0" w:color="auto"/>
        <w:bottom w:val="none" w:sz="0" w:space="0" w:color="auto"/>
        <w:right w:val="none" w:sz="0" w:space="0" w:color="auto"/>
      </w:divBdr>
    </w:div>
    <w:div w:id="500001817">
      <w:bodyDiv w:val="1"/>
      <w:marLeft w:val="0"/>
      <w:marRight w:val="0"/>
      <w:marTop w:val="0"/>
      <w:marBottom w:val="0"/>
      <w:divBdr>
        <w:top w:val="none" w:sz="0" w:space="0" w:color="auto"/>
        <w:left w:val="none" w:sz="0" w:space="0" w:color="auto"/>
        <w:bottom w:val="none" w:sz="0" w:space="0" w:color="auto"/>
        <w:right w:val="none" w:sz="0" w:space="0" w:color="auto"/>
      </w:divBdr>
    </w:div>
    <w:div w:id="501505921">
      <w:bodyDiv w:val="1"/>
      <w:marLeft w:val="0"/>
      <w:marRight w:val="0"/>
      <w:marTop w:val="0"/>
      <w:marBottom w:val="0"/>
      <w:divBdr>
        <w:top w:val="none" w:sz="0" w:space="0" w:color="auto"/>
        <w:left w:val="none" w:sz="0" w:space="0" w:color="auto"/>
        <w:bottom w:val="none" w:sz="0" w:space="0" w:color="auto"/>
        <w:right w:val="none" w:sz="0" w:space="0" w:color="auto"/>
      </w:divBdr>
    </w:div>
    <w:div w:id="501705518">
      <w:bodyDiv w:val="1"/>
      <w:marLeft w:val="0"/>
      <w:marRight w:val="0"/>
      <w:marTop w:val="0"/>
      <w:marBottom w:val="0"/>
      <w:divBdr>
        <w:top w:val="none" w:sz="0" w:space="0" w:color="auto"/>
        <w:left w:val="none" w:sz="0" w:space="0" w:color="auto"/>
        <w:bottom w:val="none" w:sz="0" w:space="0" w:color="auto"/>
        <w:right w:val="none" w:sz="0" w:space="0" w:color="auto"/>
      </w:divBdr>
    </w:div>
    <w:div w:id="501746672">
      <w:bodyDiv w:val="1"/>
      <w:marLeft w:val="0"/>
      <w:marRight w:val="0"/>
      <w:marTop w:val="0"/>
      <w:marBottom w:val="0"/>
      <w:divBdr>
        <w:top w:val="none" w:sz="0" w:space="0" w:color="auto"/>
        <w:left w:val="none" w:sz="0" w:space="0" w:color="auto"/>
        <w:bottom w:val="none" w:sz="0" w:space="0" w:color="auto"/>
        <w:right w:val="none" w:sz="0" w:space="0" w:color="auto"/>
      </w:divBdr>
    </w:div>
    <w:div w:id="502204712">
      <w:bodyDiv w:val="1"/>
      <w:marLeft w:val="0"/>
      <w:marRight w:val="0"/>
      <w:marTop w:val="0"/>
      <w:marBottom w:val="0"/>
      <w:divBdr>
        <w:top w:val="none" w:sz="0" w:space="0" w:color="auto"/>
        <w:left w:val="none" w:sz="0" w:space="0" w:color="auto"/>
        <w:bottom w:val="none" w:sz="0" w:space="0" w:color="auto"/>
        <w:right w:val="none" w:sz="0" w:space="0" w:color="auto"/>
      </w:divBdr>
    </w:div>
    <w:div w:id="503054485">
      <w:bodyDiv w:val="1"/>
      <w:marLeft w:val="0"/>
      <w:marRight w:val="0"/>
      <w:marTop w:val="0"/>
      <w:marBottom w:val="0"/>
      <w:divBdr>
        <w:top w:val="none" w:sz="0" w:space="0" w:color="auto"/>
        <w:left w:val="none" w:sz="0" w:space="0" w:color="auto"/>
        <w:bottom w:val="none" w:sz="0" w:space="0" w:color="auto"/>
        <w:right w:val="none" w:sz="0" w:space="0" w:color="auto"/>
      </w:divBdr>
    </w:div>
    <w:div w:id="503591304">
      <w:bodyDiv w:val="1"/>
      <w:marLeft w:val="0"/>
      <w:marRight w:val="0"/>
      <w:marTop w:val="0"/>
      <w:marBottom w:val="0"/>
      <w:divBdr>
        <w:top w:val="none" w:sz="0" w:space="0" w:color="auto"/>
        <w:left w:val="none" w:sz="0" w:space="0" w:color="auto"/>
        <w:bottom w:val="none" w:sz="0" w:space="0" w:color="auto"/>
        <w:right w:val="none" w:sz="0" w:space="0" w:color="auto"/>
      </w:divBdr>
    </w:div>
    <w:div w:id="503670585">
      <w:bodyDiv w:val="1"/>
      <w:marLeft w:val="0"/>
      <w:marRight w:val="0"/>
      <w:marTop w:val="0"/>
      <w:marBottom w:val="0"/>
      <w:divBdr>
        <w:top w:val="none" w:sz="0" w:space="0" w:color="auto"/>
        <w:left w:val="none" w:sz="0" w:space="0" w:color="auto"/>
        <w:bottom w:val="none" w:sz="0" w:space="0" w:color="auto"/>
        <w:right w:val="none" w:sz="0" w:space="0" w:color="auto"/>
      </w:divBdr>
    </w:div>
    <w:div w:id="504397206">
      <w:bodyDiv w:val="1"/>
      <w:marLeft w:val="0"/>
      <w:marRight w:val="0"/>
      <w:marTop w:val="0"/>
      <w:marBottom w:val="0"/>
      <w:divBdr>
        <w:top w:val="none" w:sz="0" w:space="0" w:color="auto"/>
        <w:left w:val="none" w:sz="0" w:space="0" w:color="auto"/>
        <w:bottom w:val="none" w:sz="0" w:space="0" w:color="auto"/>
        <w:right w:val="none" w:sz="0" w:space="0" w:color="auto"/>
      </w:divBdr>
    </w:div>
    <w:div w:id="504901195">
      <w:bodyDiv w:val="1"/>
      <w:marLeft w:val="0"/>
      <w:marRight w:val="0"/>
      <w:marTop w:val="0"/>
      <w:marBottom w:val="0"/>
      <w:divBdr>
        <w:top w:val="none" w:sz="0" w:space="0" w:color="auto"/>
        <w:left w:val="none" w:sz="0" w:space="0" w:color="auto"/>
        <w:bottom w:val="none" w:sz="0" w:space="0" w:color="auto"/>
        <w:right w:val="none" w:sz="0" w:space="0" w:color="auto"/>
      </w:divBdr>
    </w:div>
    <w:div w:id="505049797">
      <w:bodyDiv w:val="1"/>
      <w:marLeft w:val="0"/>
      <w:marRight w:val="0"/>
      <w:marTop w:val="0"/>
      <w:marBottom w:val="0"/>
      <w:divBdr>
        <w:top w:val="none" w:sz="0" w:space="0" w:color="auto"/>
        <w:left w:val="none" w:sz="0" w:space="0" w:color="auto"/>
        <w:bottom w:val="none" w:sz="0" w:space="0" w:color="auto"/>
        <w:right w:val="none" w:sz="0" w:space="0" w:color="auto"/>
      </w:divBdr>
    </w:div>
    <w:div w:id="507133083">
      <w:bodyDiv w:val="1"/>
      <w:marLeft w:val="0"/>
      <w:marRight w:val="0"/>
      <w:marTop w:val="0"/>
      <w:marBottom w:val="0"/>
      <w:divBdr>
        <w:top w:val="none" w:sz="0" w:space="0" w:color="auto"/>
        <w:left w:val="none" w:sz="0" w:space="0" w:color="auto"/>
        <w:bottom w:val="none" w:sz="0" w:space="0" w:color="auto"/>
        <w:right w:val="none" w:sz="0" w:space="0" w:color="auto"/>
      </w:divBdr>
    </w:div>
    <w:div w:id="508371609">
      <w:bodyDiv w:val="1"/>
      <w:marLeft w:val="0"/>
      <w:marRight w:val="0"/>
      <w:marTop w:val="0"/>
      <w:marBottom w:val="0"/>
      <w:divBdr>
        <w:top w:val="none" w:sz="0" w:space="0" w:color="auto"/>
        <w:left w:val="none" w:sz="0" w:space="0" w:color="auto"/>
        <w:bottom w:val="none" w:sz="0" w:space="0" w:color="auto"/>
        <w:right w:val="none" w:sz="0" w:space="0" w:color="auto"/>
      </w:divBdr>
    </w:div>
    <w:div w:id="508719020">
      <w:bodyDiv w:val="1"/>
      <w:marLeft w:val="0"/>
      <w:marRight w:val="0"/>
      <w:marTop w:val="0"/>
      <w:marBottom w:val="0"/>
      <w:divBdr>
        <w:top w:val="none" w:sz="0" w:space="0" w:color="auto"/>
        <w:left w:val="none" w:sz="0" w:space="0" w:color="auto"/>
        <w:bottom w:val="none" w:sz="0" w:space="0" w:color="auto"/>
        <w:right w:val="none" w:sz="0" w:space="0" w:color="auto"/>
      </w:divBdr>
    </w:div>
    <w:div w:id="509101240">
      <w:bodyDiv w:val="1"/>
      <w:marLeft w:val="0"/>
      <w:marRight w:val="0"/>
      <w:marTop w:val="0"/>
      <w:marBottom w:val="0"/>
      <w:divBdr>
        <w:top w:val="none" w:sz="0" w:space="0" w:color="auto"/>
        <w:left w:val="none" w:sz="0" w:space="0" w:color="auto"/>
        <w:bottom w:val="none" w:sz="0" w:space="0" w:color="auto"/>
        <w:right w:val="none" w:sz="0" w:space="0" w:color="auto"/>
      </w:divBdr>
    </w:div>
    <w:div w:id="509568525">
      <w:bodyDiv w:val="1"/>
      <w:marLeft w:val="0"/>
      <w:marRight w:val="0"/>
      <w:marTop w:val="0"/>
      <w:marBottom w:val="0"/>
      <w:divBdr>
        <w:top w:val="none" w:sz="0" w:space="0" w:color="auto"/>
        <w:left w:val="none" w:sz="0" w:space="0" w:color="auto"/>
        <w:bottom w:val="none" w:sz="0" w:space="0" w:color="auto"/>
        <w:right w:val="none" w:sz="0" w:space="0" w:color="auto"/>
      </w:divBdr>
    </w:div>
    <w:div w:id="510797508">
      <w:bodyDiv w:val="1"/>
      <w:marLeft w:val="0"/>
      <w:marRight w:val="0"/>
      <w:marTop w:val="0"/>
      <w:marBottom w:val="0"/>
      <w:divBdr>
        <w:top w:val="none" w:sz="0" w:space="0" w:color="auto"/>
        <w:left w:val="none" w:sz="0" w:space="0" w:color="auto"/>
        <w:bottom w:val="none" w:sz="0" w:space="0" w:color="auto"/>
        <w:right w:val="none" w:sz="0" w:space="0" w:color="auto"/>
      </w:divBdr>
    </w:div>
    <w:div w:id="511408889">
      <w:bodyDiv w:val="1"/>
      <w:marLeft w:val="0"/>
      <w:marRight w:val="0"/>
      <w:marTop w:val="0"/>
      <w:marBottom w:val="0"/>
      <w:divBdr>
        <w:top w:val="none" w:sz="0" w:space="0" w:color="auto"/>
        <w:left w:val="none" w:sz="0" w:space="0" w:color="auto"/>
        <w:bottom w:val="none" w:sz="0" w:space="0" w:color="auto"/>
        <w:right w:val="none" w:sz="0" w:space="0" w:color="auto"/>
      </w:divBdr>
    </w:div>
    <w:div w:id="517475613">
      <w:bodyDiv w:val="1"/>
      <w:marLeft w:val="0"/>
      <w:marRight w:val="0"/>
      <w:marTop w:val="0"/>
      <w:marBottom w:val="0"/>
      <w:divBdr>
        <w:top w:val="none" w:sz="0" w:space="0" w:color="auto"/>
        <w:left w:val="none" w:sz="0" w:space="0" w:color="auto"/>
        <w:bottom w:val="none" w:sz="0" w:space="0" w:color="auto"/>
        <w:right w:val="none" w:sz="0" w:space="0" w:color="auto"/>
      </w:divBdr>
    </w:div>
    <w:div w:id="518465650">
      <w:bodyDiv w:val="1"/>
      <w:marLeft w:val="0"/>
      <w:marRight w:val="0"/>
      <w:marTop w:val="0"/>
      <w:marBottom w:val="0"/>
      <w:divBdr>
        <w:top w:val="none" w:sz="0" w:space="0" w:color="auto"/>
        <w:left w:val="none" w:sz="0" w:space="0" w:color="auto"/>
        <w:bottom w:val="none" w:sz="0" w:space="0" w:color="auto"/>
        <w:right w:val="none" w:sz="0" w:space="0" w:color="auto"/>
      </w:divBdr>
    </w:div>
    <w:div w:id="518928323">
      <w:bodyDiv w:val="1"/>
      <w:marLeft w:val="0"/>
      <w:marRight w:val="0"/>
      <w:marTop w:val="0"/>
      <w:marBottom w:val="0"/>
      <w:divBdr>
        <w:top w:val="none" w:sz="0" w:space="0" w:color="auto"/>
        <w:left w:val="none" w:sz="0" w:space="0" w:color="auto"/>
        <w:bottom w:val="none" w:sz="0" w:space="0" w:color="auto"/>
        <w:right w:val="none" w:sz="0" w:space="0" w:color="auto"/>
      </w:divBdr>
    </w:div>
    <w:div w:id="519011654">
      <w:bodyDiv w:val="1"/>
      <w:marLeft w:val="0"/>
      <w:marRight w:val="0"/>
      <w:marTop w:val="0"/>
      <w:marBottom w:val="0"/>
      <w:divBdr>
        <w:top w:val="none" w:sz="0" w:space="0" w:color="auto"/>
        <w:left w:val="none" w:sz="0" w:space="0" w:color="auto"/>
        <w:bottom w:val="none" w:sz="0" w:space="0" w:color="auto"/>
        <w:right w:val="none" w:sz="0" w:space="0" w:color="auto"/>
      </w:divBdr>
    </w:div>
    <w:div w:id="519589087">
      <w:bodyDiv w:val="1"/>
      <w:marLeft w:val="0"/>
      <w:marRight w:val="0"/>
      <w:marTop w:val="0"/>
      <w:marBottom w:val="0"/>
      <w:divBdr>
        <w:top w:val="none" w:sz="0" w:space="0" w:color="auto"/>
        <w:left w:val="none" w:sz="0" w:space="0" w:color="auto"/>
        <w:bottom w:val="none" w:sz="0" w:space="0" w:color="auto"/>
        <w:right w:val="none" w:sz="0" w:space="0" w:color="auto"/>
      </w:divBdr>
    </w:div>
    <w:div w:id="519707816">
      <w:bodyDiv w:val="1"/>
      <w:marLeft w:val="0"/>
      <w:marRight w:val="0"/>
      <w:marTop w:val="0"/>
      <w:marBottom w:val="0"/>
      <w:divBdr>
        <w:top w:val="none" w:sz="0" w:space="0" w:color="auto"/>
        <w:left w:val="none" w:sz="0" w:space="0" w:color="auto"/>
        <w:bottom w:val="none" w:sz="0" w:space="0" w:color="auto"/>
        <w:right w:val="none" w:sz="0" w:space="0" w:color="auto"/>
      </w:divBdr>
    </w:div>
    <w:div w:id="520630027">
      <w:bodyDiv w:val="1"/>
      <w:marLeft w:val="0"/>
      <w:marRight w:val="0"/>
      <w:marTop w:val="0"/>
      <w:marBottom w:val="0"/>
      <w:divBdr>
        <w:top w:val="none" w:sz="0" w:space="0" w:color="auto"/>
        <w:left w:val="none" w:sz="0" w:space="0" w:color="auto"/>
        <w:bottom w:val="none" w:sz="0" w:space="0" w:color="auto"/>
        <w:right w:val="none" w:sz="0" w:space="0" w:color="auto"/>
      </w:divBdr>
    </w:div>
    <w:div w:id="520777919">
      <w:bodyDiv w:val="1"/>
      <w:marLeft w:val="0"/>
      <w:marRight w:val="0"/>
      <w:marTop w:val="0"/>
      <w:marBottom w:val="0"/>
      <w:divBdr>
        <w:top w:val="none" w:sz="0" w:space="0" w:color="auto"/>
        <w:left w:val="none" w:sz="0" w:space="0" w:color="auto"/>
        <w:bottom w:val="none" w:sz="0" w:space="0" w:color="auto"/>
        <w:right w:val="none" w:sz="0" w:space="0" w:color="auto"/>
      </w:divBdr>
    </w:div>
    <w:div w:id="521748546">
      <w:bodyDiv w:val="1"/>
      <w:marLeft w:val="0"/>
      <w:marRight w:val="0"/>
      <w:marTop w:val="0"/>
      <w:marBottom w:val="0"/>
      <w:divBdr>
        <w:top w:val="none" w:sz="0" w:space="0" w:color="auto"/>
        <w:left w:val="none" w:sz="0" w:space="0" w:color="auto"/>
        <w:bottom w:val="none" w:sz="0" w:space="0" w:color="auto"/>
        <w:right w:val="none" w:sz="0" w:space="0" w:color="auto"/>
      </w:divBdr>
    </w:div>
    <w:div w:id="522404303">
      <w:bodyDiv w:val="1"/>
      <w:marLeft w:val="0"/>
      <w:marRight w:val="0"/>
      <w:marTop w:val="0"/>
      <w:marBottom w:val="0"/>
      <w:divBdr>
        <w:top w:val="none" w:sz="0" w:space="0" w:color="auto"/>
        <w:left w:val="none" w:sz="0" w:space="0" w:color="auto"/>
        <w:bottom w:val="none" w:sz="0" w:space="0" w:color="auto"/>
        <w:right w:val="none" w:sz="0" w:space="0" w:color="auto"/>
      </w:divBdr>
    </w:div>
    <w:div w:id="522790031">
      <w:bodyDiv w:val="1"/>
      <w:marLeft w:val="0"/>
      <w:marRight w:val="0"/>
      <w:marTop w:val="0"/>
      <w:marBottom w:val="0"/>
      <w:divBdr>
        <w:top w:val="none" w:sz="0" w:space="0" w:color="auto"/>
        <w:left w:val="none" w:sz="0" w:space="0" w:color="auto"/>
        <w:bottom w:val="none" w:sz="0" w:space="0" w:color="auto"/>
        <w:right w:val="none" w:sz="0" w:space="0" w:color="auto"/>
      </w:divBdr>
    </w:div>
    <w:div w:id="522861903">
      <w:bodyDiv w:val="1"/>
      <w:marLeft w:val="0"/>
      <w:marRight w:val="0"/>
      <w:marTop w:val="0"/>
      <w:marBottom w:val="0"/>
      <w:divBdr>
        <w:top w:val="none" w:sz="0" w:space="0" w:color="auto"/>
        <w:left w:val="none" w:sz="0" w:space="0" w:color="auto"/>
        <w:bottom w:val="none" w:sz="0" w:space="0" w:color="auto"/>
        <w:right w:val="none" w:sz="0" w:space="0" w:color="auto"/>
      </w:divBdr>
    </w:div>
    <w:div w:id="523710171">
      <w:bodyDiv w:val="1"/>
      <w:marLeft w:val="0"/>
      <w:marRight w:val="0"/>
      <w:marTop w:val="0"/>
      <w:marBottom w:val="0"/>
      <w:divBdr>
        <w:top w:val="none" w:sz="0" w:space="0" w:color="auto"/>
        <w:left w:val="none" w:sz="0" w:space="0" w:color="auto"/>
        <w:bottom w:val="none" w:sz="0" w:space="0" w:color="auto"/>
        <w:right w:val="none" w:sz="0" w:space="0" w:color="auto"/>
      </w:divBdr>
    </w:div>
    <w:div w:id="524440647">
      <w:bodyDiv w:val="1"/>
      <w:marLeft w:val="0"/>
      <w:marRight w:val="0"/>
      <w:marTop w:val="0"/>
      <w:marBottom w:val="0"/>
      <w:divBdr>
        <w:top w:val="none" w:sz="0" w:space="0" w:color="auto"/>
        <w:left w:val="none" w:sz="0" w:space="0" w:color="auto"/>
        <w:bottom w:val="none" w:sz="0" w:space="0" w:color="auto"/>
        <w:right w:val="none" w:sz="0" w:space="0" w:color="auto"/>
      </w:divBdr>
    </w:div>
    <w:div w:id="526336020">
      <w:bodyDiv w:val="1"/>
      <w:marLeft w:val="0"/>
      <w:marRight w:val="0"/>
      <w:marTop w:val="0"/>
      <w:marBottom w:val="0"/>
      <w:divBdr>
        <w:top w:val="none" w:sz="0" w:space="0" w:color="auto"/>
        <w:left w:val="none" w:sz="0" w:space="0" w:color="auto"/>
        <w:bottom w:val="none" w:sz="0" w:space="0" w:color="auto"/>
        <w:right w:val="none" w:sz="0" w:space="0" w:color="auto"/>
      </w:divBdr>
    </w:div>
    <w:div w:id="527525077">
      <w:bodyDiv w:val="1"/>
      <w:marLeft w:val="0"/>
      <w:marRight w:val="0"/>
      <w:marTop w:val="0"/>
      <w:marBottom w:val="0"/>
      <w:divBdr>
        <w:top w:val="none" w:sz="0" w:space="0" w:color="auto"/>
        <w:left w:val="none" w:sz="0" w:space="0" w:color="auto"/>
        <w:bottom w:val="none" w:sz="0" w:space="0" w:color="auto"/>
        <w:right w:val="none" w:sz="0" w:space="0" w:color="auto"/>
      </w:divBdr>
    </w:div>
    <w:div w:id="530461220">
      <w:bodyDiv w:val="1"/>
      <w:marLeft w:val="0"/>
      <w:marRight w:val="0"/>
      <w:marTop w:val="0"/>
      <w:marBottom w:val="0"/>
      <w:divBdr>
        <w:top w:val="none" w:sz="0" w:space="0" w:color="auto"/>
        <w:left w:val="none" w:sz="0" w:space="0" w:color="auto"/>
        <w:bottom w:val="none" w:sz="0" w:space="0" w:color="auto"/>
        <w:right w:val="none" w:sz="0" w:space="0" w:color="auto"/>
      </w:divBdr>
    </w:div>
    <w:div w:id="532768060">
      <w:bodyDiv w:val="1"/>
      <w:marLeft w:val="0"/>
      <w:marRight w:val="0"/>
      <w:marTop w:val="0"/>
      <w:marBottom w:val="0"/>
      <w:divBdr>
        <w:top w:val="none" w:sz="0" w:space="0" w:color="auto"/>
        <w:left w:val="none" w:sz="0" w:space="0" w:color="auto"/>
        <w:bottom w:val="none" w:sz="0" w:space="0" w:color="auto"/>
        <w:right w:val="none" w:sz="0" w:space="0" w:color="auto"/>
      </w:divBdr>
    </w:div>
    <w:div w:id="533275970">
      <w:bodyDiv w:val="1"/>
      <w:marLeft w:val="0"/>
      <w:marRight w:val="0"/>
      <w:marTop w:val="0"/>
      <w:marBottom w:val="0"/>
      <w:divBdr>
        <w:top w:val="none" w:sz="0" w:space="0" w:color="auto"/>
        <w:left w:val="none" w:sz="0" w:space="0" w:color="auto"/>
        <w:bottom w:val="none" w:sz="0" w:space="0" w:color="auto"/>
        <w:right w:val="none" w:sz="0" w:space="0" w:color="auto"/>
      </w:divBdr>
    </w:div>
    <w:div w:id="534193173">
      <w:bodyDiv w:val="1"/>
      <w:marLeft w:val="0"/>
      <w:marRight w:val="0"/>
      <w:marTop w:val="0"/>
      <w:marBottom w:val="0"/>
      <w:divBdr>
        <w:top w:val="none" w:sz="0" w:space="0" w:color="auto"/>
        <w:left w:val="none" w:sz="0" w:space="0" w:color="auto"/>
        <w:bottom w:val="none" w:sz="0" w:space="0" w:color="auto"/>
        <w:right w:val="none" w:sz="0" w:space="0" w:color="auto"/>
      </w:divBdr>
    </w:div>
    <w:div w:id="537814142">
      <w:bodyDiv w:val="1"/>
      <w:marLeft w:val="0"/>
      <w:marRight w:val="0"/>
      <w:marTop w:val="0"/>
      <w:marBottom w:val="0"/>
      <w:divBdr>
        <w:top w:val="none" w:sz="0" w:space="0" w:color="auto"/>
        <w:left w:val="none" w:sz="0" w:space="0" w:color="auto"/>
        <w:bottom w:val="none" w:sz="0" w:space="0" w:color="auto"/>
        <w:right w:val="none" w:sz="0" w:space="0" w:color="auto"/>
      </w:divBdr>
    </w:div>
    <w:div w:id="538082633">
      <w:bodyDiv w:val="1"/>
      <w:marLeft w:val="0"/>
      <w:marRight w:val="0"/>
      <w:marTop w:val="0"/>
      <w:marBottom w:val="0"/>
      <w:divBdr>
        <w:top w:val="none" w:sz="0" w:space="0" w:color="auto"/>
        <w:left w:val="none" w:sz="0" w:space="0" w:color="auto"/>
        <w:bottom w:val="none" w:sz="0" w:space="0" w:color="auto"/>
        <w:right w:val="none" w:sz="0" w:space="0" w:color="auto"/>
      </w:divBdr>
    </w:div>
    <w:div w:id="538474024">
      <w:bodyDiv w:val="1"/>
      <w:marLeft w:val="0"/>
      <w:marRight w:val="0"/>
      <w:marTop w:val="0"/>
      <w:marBottom w:val="0"/>
      <w:divBdr>
        <w:top w:val="none" w:sz="0" w:space="0" w:color="auto"/>
        <w:left w:val="none" w:sz="0" w:space="0" w:color="auto"/>
        <w:bottom w:val="none" w:sz="0" w:space="0" w:color="auto"/>
        <w:right w:val="none" w:sz="0" w:space="0" w:color="auto"/>
      </w:divBdr>
    </w:div>
    <w:div w:id="539561420">
      <w:bodyDiv w:val="1"/>
      <w:marLeft w:val="0"/>
      <w:marRight w:val="0"/>
      <w:marTop w:val="0"/>
      <w:marBottom w:val="0"/>
      <w:divBdr>
        <w:top w:val="none" w:sz="0" w:space="0" w:color="auto"/>
        <w:left w:val="none" w:sz="0" w:space="0" w:color="auto"/>
        <w:bottom w:val="none" w:sz="0" w:space="0" w:color="auto"/>
        <w:right w:val="none" w:sz="0" w:space="0" w:color="auto"/>
      </w:divBdr>
    </w:div>
    <w:div w:id="541406191">
      <w:bodyDiv w:val="1"/>
      <w:marLeft w:val="0"/>
      <w:marRight w:val="0"/>
      <w:marTop w:val="0"/>
      <w:marBottom w:val="0"/>
      <w:divBdr>
        <w:top w:val="none" w:sz="0" w:space="0" w:color="auto"/>
        <w:left w:val="none" w:sz="0" w:space="0" w:color="auto"/>
        <w:bottom w:val="none" w:sz="0" w:space="0" w:color="auto"/>
        <w:right w:val="none" w:sz="0" w:space="0" w:color="auto"/>
      </w:divBdr>
    </w:div>
    <w:div w:id="541789412">
      <w:bodyDiv w:val="1"/>
      <w:marLeft w:val="0"/>
      <w:marRight w:val="0"/>
      <w:marTop w:val="0"/>
      <w:marBottom w:val="0"/>
      <w:divBdr>
        <w:top w:val="none" w:sz="0" w:space="0" w:color="auto"/>
        <w:left w:val="none" w:sz="0" w:space="0" w:color="auto"/>
        <w:bottom w:val="none" w:sz="0" w:space="0" w:color="auto"/>
        <w:right w:val="none" w:sz="0" w:space="0" w:color="auto"/>
      </w:divBdr>
    </w:div>
    <w:div w:id="543448216">
      <w:bodyDiv w:val="1"/>
      <w:marLeft w:val="0"/>
      <w:marRight w:val="0"/>
      <w:marTop w:val="0"/>
      <w:marBottom w:val="0"/>
      <w:divBdr>
        <w:top w:val="none" w:sz="0" w:space="0" w:color="auto"/>
        <w:left w:val="none" w:sz="0" w:space="0" w:color="auto"/>
        <w:bottom w:val="none" w:sz="0" w:space="0" w:color="auto"/>
        <w:right w:val="none" w:sz="0" w:space="0" w:color="auto"/>
      </w:divBdr>
    </w:div>
    <w:div w:id="543829621">
      <w:bodyDiv w:val="1"/>
      <w:marLeft w:val="0"/>
      <w:marRight w:val="0"/>
      <w:marTop w:val="0"/>
      <w:marBottom w:val="0"/>
      <w:divBdr>
        <w:top w:val="none" w:sz="0" w:space="0" w:color="auto"/>
        <w:left w:val="none" w:sz="0" w:space="0" w:color="auto"/>
        <w:bottom w:val="none" w:sz="0" w:space="0" w:color="auto"/>
        <w:right w:val="none" w:sz="0" w:space="0" w:color="auto"/>
      </w:divBdr>
    </w:div>
    <w:div w:id="543952872">
      <w:bodyDiv w:val="1"/>
      <w:marLeft w:val="0"/>
      <w:marRight w:val="0"/>
      <w:marTop w:val="0"/>
      <w:marBottom w:val="0"/>
      <w:divBdr>
        <w:top w:val="none" w:sz="0" w:space="0" w:color="auto"/>
        <w:left w:val="none" w:sz="0" w:space="0" w:color="auto"/>
        <w:bottom w:val="none" w:sz="0" w:space="0" w:color="auto"/>
        <w:right w:val="none" w:sz="0" w:space="0" w:color="auto"/>
      </w:divBdr>
    </w:div>
    <w:div w:id="544148220">
      <w:bodyDiv w:val="1"/>
      <w:marLeft w:val="0"/>
      <w:marRight w:val="0"/>
      <w:marTop w:val="0"/>
      <w:marBottom w:val="0"/>
      <w:divBdr>
        <w:top w:val="none" w:sz="0" w:space="0" w:color="auto"/>
        <w:left w:val="none" w:sz="0" w:space="0" w:color="auto"/>
        <w:bottom w:val="none" w:sz="0" w:space="0" w:color="auto"/>
        <w:right w:val="none" w:sz="0" w:space="0" w:color="auto"/>
      </w:divBdr>
    </w:div>
    <w:div w:id="544634756">
      <w:bodyDiv w:val="1"/>
      <w:marLeft w:val="0"/>
      <w:marRight w:val="0"/>
      <w:marTop w:val="0"/>
      <w:marBottom w:val="0"/>
      <w:divBdr>
        <w:top w:val="none" w:sz="0" w:space="0" w:color="auto"/>
        <w:left w:val="none" w:sz="0" w:space="0" w:color="auto"/>
        <w:bottom w:val="none" w:sz="0" w:space="0" w:color="auto"/>
        <w:right w:val="none" w:sz="0" w:space="0" w:color="auto"/>
      </w:divBdr>
    </w:div>
    <w:div w:id="546137693">
      <w:bodyDiv w:val="1"/>
      <w:marLeft w:val="0"/>
      <w:marRight w:val="0"/>
      <w:marTop w:val="0"/>
      <w:marBottom w:val="0"/>
      <w:divBdr>
        <w:top w:val="none" w:sz="0" w:space="0" w:color="auto"/>
        <w:left w:val="none" w:sz="0" w:space="0" w:color="auto"/>
        <w:bottom w:val="none" w:sz="0" w:space="0" w:color="auto"/>
        <w:right w:val="none" w:sz="0" w:space="0" w:color="auto"/>
      </w:divBdr>
    </w:div>
    <w:div w:id="547108850">
      <w:bodyDiv w:val="1"/>
      <w:marLeft w:val="0"/>
      <w:marRight w:val="0"/>
      <w:marTop w:val="0"/>
      <w:marBottom w:val="0"/>
      <w:divBdr>
        <w:top w:val="none" w:sz="0" w:space="0" w:color="auto"/>
        <w:left w:val="none" w:sz="0" w:space="0" w:color="auto"/>
        <w:bottom w:val="none" w:sz="0" w:space="0" w:color="auto"/>
        <w:right w:val="none" w:sz="0" w:space="0" w:color="auto"/>
      </w:divBdr>
    </w:div>
    <w:div w:id="547495920">
      <w:bodyDiv w:val="1"/>
      <w:marLeft w:val="0"/>
      <w:marRight w:val="0"/>
      <w:marTop w:val="0"/>
      <w:marBottom w:val="0"/>
      <w:divBdr>
        <w:top w:val="none" w:sz="0" w:space="0" w:color="auto"/>
        <w:left w:val="none" w:sz="0" w:space="0" w:color="auto"/>
        <w:bottom w:val="none" w:sz="0" w:space="0" w:color="auto"/>
        <w:right w:val="none" w:sz="0" w:space="0" w:color="auto"/>
      </w:divBdr>
    </w:div>
    <w:div w:id="547575270">
      <w:bodyDiv w:val="1"/>
      <w:marLeft w:val="0"/>
      <w:marRight w:val="0"/>
      <w:marTop w:val="0"/>
      <w:marBottom w:val="0"/>
      <w:divBdr>
        <w:top w:val="none" w:sz="0" w:space="0" w:color="auto"/>
        <w:left w:val="none" w:sz="0" w:space="0" w:color="auto"/>
        <w:bottom w:val="none" w:sz="0" w:space="0" w:color="auto"/>
        <w:right w:val="none" w:sz="0" w:space="0" w:color="auto"/>
      </w:divBdr>
    </w:div>
    <w:div w:id="547762252">
      <w:bodyDiv w:val="1"/>
      <w:marLeft w:val="0"/>
      <w:marRight w:val="0"/>
      <w:marTop w:val="0"/>
      <w:marBottom w:val="0"/>
      <w:divBdr>
        <w:top w:val="none" w:sz="0" w:space="0" w:color="auto"/>
        <w:left w:val="none" w:sz="0" w:space="0" w:color="auto"/>
        <w:bottom w:val="none" w:sz="0" w:space="0" w:color="auto"/>
        <w:right w:val="none" w:sz="0" w:space="0" w:color="auto"/>
      </w:divBdr>
    </w:div>
    <w:div w:id="548303042">
      <w:bodyDiv w:val="1"/>
      <w:marLeft w:val="0"/>
      <w:marRight w:val="0"/>
      <w:marTop w:val="0"/>
      <w:marBottom w:val="0"/>
      <w:divBdr>
        <w:top w:val="none" w:sz="0" w:space="0" w:color="auto"/>
        <w:left w:val="none" w:sz="0" w:space="0" w:color="auto"/>
        <w:bottom w:val="none" w:sz="0" w:space="0" w:color="auto"/>
        <w:right w:val="none" w:sz="0" w:space="0" w:color="auto"/>
      </w:divBdr>
    </w:div>
    <w:div w:id="550043907">
      <w:bodyDiv w:val="1"/>
      <w:marLeft w:val="0"/>
      <w:marRight w:val="0"/>
      <w:marTop w:val="0"/>
      <w:marBottom w:val="0"/>
      <w:divBdr>
        <w:top w:val="none" w:sz="0" w:space="0" w:color="auto"/>
        <w:left w:val="none" w:sz="0" w:space="0" w:color="auto"/>
        <w:bottom w:val="none" w:sz="0" w:space="0" w:color="auto"/>
        <w:right w:val="none" w:sz="0" w:space="0" w:color="auto"/>
      </w:divBdr>
    </w:div>
    <w:div w:id="550195207">
      <w:bodyDiv w:val="1"/>
      <w:marLeft w:val="0"/>
      <w:marRight w:val="0"/>
      <w:marTop w:val="0"/>
      <w:marBottom w:val="0"/>
      <w:divBdr>
        <w:top w:val="none" w:sz="0" w:space="0" w:color="auto"/>
        <w:left w:val="none" w:sz="0" w:space="0" w:color="auto"/>
        <w:bottom w:val="none" w:sz="0" w:space="0" w:color="auto"/>
        <w:right w:val="none" w:sz="0" w:space="0" w:color="auto"/>
      </w:divBdr>
    </w:div>
    <w:div w:id="551887123">
      <w:bodyDiv w:val="1"/>
      <w:marLeft w:val="0"/>
      <w:marRight w:val="0"/>
      <w:marTop w:val="0"/>
      <w:marBottom w:val="0"/>
      <w:divBdr>
        <w:top w:val="none" w:sz="0" w:space="0" w:color="auto"/>
        <w:left w:val="none" w:sz="0" w:space="0" w:color="auto"/>
        <w:bottom w:val="none" w:sz="0" w:space="0" w:color="auto"/>
        <w:right w:val="none" w:sz="0" w:space="0" w:color="auto"/>
      </w:divBdr>
    </w:div>
    <w:div w:id="551964519">
      <w:bodyDiv w:val="1"/>
      <w:marLeft w:val="0"/>
      <w:marRight w:val="0"/>
      <w:marTop w:val="0"/>
      <w:marBottom w:val="0"/>
      <w:divBdr>
        <w:top w:val="none" w:sz="0" w:space="0" w:color="auto"/>
        <w:left w:val="none" w:sz="0" w:space="0" w:color="auto"/>
        <w:bottom w:val="none" w:sz="0" w:space="0" w:color="auto"/>
        <w:right w:val="none" w:sz="0" w:space="0" w:color="auto"/>
      </w:divBdr>
    </w:div>
    <w:div w:id="552472724">
      <w:bodyDiv w:val="1"/>
      <w:marLeft w:val="0"/>
      <w:marRight w:val="0"/>
      <w:marTop w:val="0"/>
      <w:marBottom w:val="0"/>
      <w:divBdr>
        <w:top w:val="none" w:sz="0" w:space="0" w:color="auto"/>
        <w:left w:val="none" w:sz="0" w:space="0" w:color="auto"/>
        <w:bottom w:val="none" w:sz="0" w:space="0" w:color="auto"/>
        <w:right w:val="none" w:sz="0" w:space="0" w:color="auto"/>
      </w:divBdr>
    </w:div>
    <w:div w:id="553200421">
      <w:bodyDiv w:val="1"/>
      <w:marLeft w:val="0"/>
      <w:marRight w:val="0"/>
      <w:marTop w:val="0"/>
      <w:marBottom w:val="0"/>
      <w:divBdr>
        <w:top w:val="none" w:sz="0" w:space="0" w:color="auto"/>
        <w:left w:val="none" w:sz="0" w:space="0" w:color="auto"/>
        <w:bottom w:val="none" w:sz="0" w:space="0" w:color="auto"/>
        <w:right w:val="none" w:sz="0" w:space="0" w:color="auto"/>
      </w:divBdr>
    </w:div>
    <w:div w:id="554435855">
      <w:bodyDiv w:val="1"/>
      <w:marLeft w:val="0"/>
      <w:marRight w:val="0"/>
      <w:marTop w:val="0"/>
      <w:marBottom w:val="0"/>
      <w:divBdr>
        <w:top w:val="none" w:sz="0" w:space="0" w:color="auto"/>
        <w:left w:val="none" w:sz="0" w:space="0" w:color="auto"/>
        <w:bottom w:val="none" w:sz="0" w:space="0" w:color="auto"/>
        <w:right w:val="none" w:sz="0" w:space="0" w:color="auto"/>
      </w:divBdr>
    </w:div>
    <w:div w:id="554857559">
      <w:bodyDiv w:val="1"/>
      <w:marLeft w:val="0"/>
      <w:marRight w:val="0"/>
      <w:marTop w:val="0"/>
      <w:marBottom w:val="0"/>
      <w:divBdr>
        <w:top w:val="none" w:sz="0" w:space="0" w:color="auto"/>
        <w:left w:val="none" w:sz="0" w:space="0" w:color="auto"/>
        <w:bottom w:val="none" w:sz="0" w:space="0" w:color="auto"/>
        <w:right w:val="none" w:sz="0" w:space="0" w:color="auto"/>
      </w:divBdr>
    </w:div>
    <w:div w:id="555823904">
      <w:bodyDiv w:val="1"/>
      <w:marLeft w:val="0"/>
      <w:marRight w:val="0"/>
      <w:marTop w:val="0"/>
      <w:marBottom w:val="0"/>
      <w:divBdr>
        <w:top w:val="none" w:sz="0" w:space="0" w:color="auto"/>
        <w:left w:val="none" w:sz="0" w:space="0" w:color="auto"/>
        <w:bottom w:val="none" w:sz="0" w:space="0" w:color="auto"/>
        <w:right w:val="none" w:sz="0" w:space="0" w:color="auto"/>
      </w:divBdr>
    </w:div>
    <w:div w:id="556283844">
      <w:bodyDiv w:val="1"/>
      <w:marLeft w:val="0"/>
      <w:marRight w:val="0"/>
      <w:marTop w:val="0"/>
      <w:marBottom w:val="0"/>
      <w:divBdr>
        <w:top w:val="none" w:sz="0" w:space="0" w:color="auto"/>
        <w:left w:val="none" w:sz="0" w:space="0" w:color="auto"/>
        <w:bottom w:val="none" w:sz="0" w:space="0" w:color="auto"/>
        <w:right w:val="none" w:sz="0" w:space="0" w:color="auto"/>
      </w:divBdr>
    </w:div>
    <w:div w:id="558368190">
      <w:bodyDiv w:val="1"/>
      <w:marLeft w:val="0"/>
      <w:marRight w:val="0"/>
      <w:marTop w:val="0"/>
      <w:marBottom w:val="0"/>
      <w:divBdr>
        <w:top w:val="none" w:sz="0" w:space="0" w:color="auto"/>
        <w:left w:val="none" w:sz="0" w:space="0" w:color="auto"/>
        <w:bottom w:val="none" w:sz="0" w:space="0" w:color="auto"/>
        <w:right w:val="none" w:sz="0" w:space="0" w:color="auto"/>
      </w:divBdr>
    </w:div>
    <w:div w:id="560091967">
      <w:bodyDiv w:val="1"/>
      <w:marLeft w:val="0"/>
      <w:marRight w:val="0"/>
      <w:marTop w:val="0"/>
      <w:marBottom w:val="0"/>
      <w:divBdr>
        <w:top w:val="none" w:sz="0" w:space="0" w:color="auto"/>
        <w:left w:val="none" w:sz="0" w:space="0" w:color="auto"/>
        <w:bottom w:val="none" w:sz="0" w:space="0" w:color="auto"/>
        <w:right w:val="none" w:sz="0" w:space="0" w:color="auto"/>
      </w:divBdr>
    </w:div>
    <w:div w:id="560094771">
      <w:bodyDiv w:val="1"/>
      <w:marLeft w:val="0"/>
      <w:marRight w:val="0"/>
      <w:marTop w:val="0"/>
      <w:marBottom w:val="0"/>
      <w:divBdr>
        <w:top w:val="none" w:sz="0" w:space="0" w:color="auto"/>
        <w:left w:val="none" w:sz="0" w:space="0" w:color="auto"/>
        <w:bottom w:val="none" w:sz="0" w:space="0" w:color="auto"/>
        <w:right w:val="none" w:sz="0" w:space="0" w:color="auto"/>
      </w:divBdr>
    </w:div>
    <w:div w:id="560213353">
      <w:bodyDiv w:val="1"/>
      <w:marLeft w:val="0"/>
      <w:marRight w:val="0"/>
      <w:marTop w:val="0"/>
      <w:marBottom w:val="0"/>
      <w:divBdr>
        <w:top w:val="none" w:sz="0" w:space="0" w:color="auto"/>
        <w:left w:val="none" w:sz="0" w:space="0" w:color="auto"/>
        <w:bottom w:val="none" w:sz="0" w:space="0" w:color="auto"/>
        <w:right w:val="none" w:sz="0" w:space="0" w:color="auto"/>
      </w:divBdr>
    </w:div>
    <w:div w:id="560604477">
      <w:bodyDiv w:val="1"/>
      <w:marLeft w:val="0"/>
      <w:marRight w:val="0"/>
      <w:marTop w:val="0"/>
      <w:marBottom w:val="0"/>
      <w:divBdr>
        <w:top w:val="none" w:sz="0" w:space="0" w:color="auto"/>
        <w:left w:val="none" w:sz="0" w:space="0" w:color="auto"/>
        <w:bottom w:val="none" w:sz="0" w:space="0" w:color="auto"/>
        <w:right w:val="none" w:sz="0" w:space="0" w:color="auto"/>
      </w:divBdr>
    </w:div>
    <w:div w:id="560753452">
      <w:bodyDiv w:val="1"/>
      <w:marLeft w:val="0"/>
      <w:marRight w:val="0"/>
      <w:marTop w:val="0"/>
      <w:marBottom w:val="0"/>
      <w:divBdr>
        <w:top w:val="none" w:sz="0" w:space="0" w:color="auto"/>
        <w:left w:val="none" w:sz="0" w:space="0" w:color="auto"/>
        <w:bottom w:val="none" w:sz="0" w:space="0" w:color="auto"/>
        <w:right w:val="none" w:sz="0" w:space="0" w:color="auto"/>
      </w:divBdr>
    </w:div>
    <w:div w:id="561133602">
      <w:bodyDiv w:val="1"/>
      <w:marLeft w:val="0"/>
      <w:marRight w:val="0"/>
      <w:marTop w:val="0"/>
      <w:marBottom w:val="0"/>
      <w:divBdr>
        <w:top w:val="none" w:sz="0" w:space="0" w:color="auto"/>
        <w:left w:val="none" w:sz="0" w:space="0" w:color="auto"/>
        <w:bottom w:val="none" w:sz="0" w:space="0" w:color="auto"/>
        <w:right w:val="none" w:sz="0" w:space="0" w:color="auto"/>
      </w:divBdr>
    </w:div>
    <w:div w:id="564805146">
      <w:bodyDiv w:val="1"/>
      <w:marLeft w:val="0"/>
      <w:marRight w:val="0"/>
      <w:marTop w:val="0"/>
      <w:marBottom w:val="0"/>
      <w:divBdr>
        <w:top w:val="none" w:sz="0" w:space="0" w:color="auto"/>
        <w:left w:val="none" w:sz="0" w:space="0" w:color="auto"/>
        <w:bottom w:val="none" w:sz="0" w:space="0" w:color="auto"/>
        <w:right w:val="none" w:sz="0" w:space="0" w:color="auto"/>
      </w:divBdr>
    </w:div>
    <w:div w:id="565606755">
      <w:bodyDiv w:val="1"/>
      <w:marLeft w:val="0"/>
      <w:marRight w:val="0"/>
      <w:marTop w:val="0"/>
      <w:marBottom w:val="0"/>
      <w:divBdr>
        <w:top w:val="none" w:sz="0" w:space="0" w:color="auto"/>
        <w:left w:val="none" w:sz="0" w:space="0" w:color="auto"/>
        <w:bottom w:val="none" w:sz="0" w:space="0" w:color="auto"/>
        <w:right w:val="none" w:sz="0" w:space="0" w:color="auto"/>
      </w:divBdr>
    </w:div>
    <w:div w:id="565991361">
      <w:bodyDiv w:val="1"/>
      <w:marLeft w:val="0"/>
      <w:marRight w:val="0"/>
      <w:marTop w:val="0"/>
      <w:marBottom w:val="0"/>
      <w:divBdr>
        <w:top w:val="none" w:sz="0" w:space="0" w:color="auto"/>
        <w:left w:val="none" w:sz="0" w:space="0" w:color="auto"/>
        <w:bottom w:val="none" w:sz="0" w:space="0" w:color="auto"/>
        <w:right w:val="none" w:sz="0" w:space="0" w:color="auto"/>
      </w:divBdr>
    </w:div>
    <w:div w:id="566036471">
      <w:bodyDiv w:val="1"/>
      <w:marLeft w:val="0"/>
      <w:marRight w:val="0"/>
      <w:marTop w:val="0"/>
      <w:marBottom w:val="0"/>
      <w:divBdr>
        <w:top w:val="none" w:sz="0" w:space="0" w:color="auto"/>
        <w:left w:val="none" w:sz="0" w:space="0" w:color="auto"/>
        <w:bottom w:val="none" w:sz="0" w:space="0" w:color="auto"/>
        <w:right w:val="none" w:sz="0" w:space="0" w:color="auto"/>
      </w:divBdr>
    </w:div>
    <w:div w:id="566384083">
      <w:bodyDiv w:val="1"/>
      <w:marLeft w:val="0"/>
      <w:marRight w:val="0"/>
      <w:marTop w:val="0"/>
      <w:marBottom w:val="0"/>
      <w:divBdr>
        <w:top w:val="none" w:sz="0" w:space="0" w:color="auto"/>
        <w:left w:val="none" w:sz="0" w:space="0" w:color="auto"/>
        <w:bottom w:val="none" w:sz="0" w:space="0" w:color="auto"/>
        <w:right w:val="none" w:sz="0" w:space="0" w:color="auto"/>
      </w:divBdr>
    </w:div>
    <w:div w:id="567961149">
      <w:bodyDiv w:val="1"/>
      <w:marLeft w:val="0"/>
      <w:marRight w:val="0"/>
      <w:marTop w:val="0"/>
      <w:marBottom w:val="0"/>
      <w:divBdr>
        <w:top w:val="none" w:sz="0" w:space="0" w:color="auto"/>
        <w:left w:val="none" w:sz="0" w:space="0" w:color="auto"/>
        <w:bottom w:val="none" w:sz="0" w:space="0" w:color="auto"/>
        <w:right w:val="none" w:sz="0" w:space="0" w:color="auto"/>
      </w:divBdr>
    </w:div>
    <w:div w:id="569199378">
      <w:bodyDiv w:val="1"/>
      <w:marLeft w:val="0"/>
      <w:marRight w:val="0"/>
      <w:marTop w:val="0"/>
      <w:marBottom w:val="0"/>
      <w:divBdr>
        <w:top w:val="none" w:sz="0" w:space="0" w:color="auto"/>
        <w:left w:val="none" w:sz="0" w:space="0" w:color="auto"/>
        <w:bottom w:val="none" w:sz="0" w:space="0" w:color="auto"/>
        <w:right w:val="none" w:sz="0" w:space="0" w:color="auto"/>
      </w:divBdr>
    </w:div>
    <w:div w:id="571353249">
      <w:bodyDiv w:val="1"/>
      <w:marLeft w:val="0"/>
      <w:marRight w:val="0"/>
      <w:marTop w:val="0"/>
      <w:marBottom w:val="0"/>
      <w:divBdr>
        <w:top w:val="none" w:sz="0" w:space="0" w:color="auto"/>
        <w:left w:val="none" w:sz="0" w:space="0" w:color="auto"/>
        <w:bottom w:val="none" w:sz="0" w:space="0" w:color="auto"/>
        <w:right w:val="none" w:sz="0" w:space="0" w:color="auto"/>
      </w:divBdr>
    </w:div>
    <w:div w:id="572588235">
      <w:bodyDiv w:val="1"/>
      <w:marLeft w:val="0"/>
      <w:marRight w:val="0"/>
      <w:marTop w:val="0"/>
      <w:marBottom w:val="0"/>
      <w:divBdr>
        <w:top w:val="none" w:sz="0" w:space="0" w:color="auto"/>
        <w:left w:val="none" w:sz="0" w:space="0" w:color="auto"/>
        <w:bottom w:val="none" w:sz="0" w:space="0" w:color="auto"/>
        <w:right w:val="none" w:sz="0" w:space="0" w:color="auto"/>
      </w:divBdr>
    </w:div>
    <w:div w:id="572665848">
      <w:bodyDiv w:val="1"/>
      <w:marLeft w:val="0"/>
      <w:marRight w:val="0"/>
      <w:marTop w:val="0"/>
      <w:marBottom w:val="0"/>
      <w:divBdr>
        <w:top w:val="none" w:sz="0" w:space="0" w:color="auto"/>
        <w:left w:val="none" w:sz="0" w:space="0" w:color="auto"/>
        <w:bottom w:val="none" w:sz="0" w:space="0" w:color="auto"/>
        <w:right w:val="none" w:sz="0" w:space="0" w:color="auto"/>
      </w:divBdr>
    </w:div>
    <w:div w:id="573050694">
      <w:bodyDiv w:val="1"/>
      <w:marLeft w:val="0"/>
      <w:marRight w:val="0"/>
      <w:marTop w:val="0"/>
      <w:marBottom w:val="0"/>
      <w:divBdr>
        <w:top w:val="none" w:sz="0" w:space="0" w:color="auto"/>
        <w:left w:val="none" w:sz="0" w:space="0" w:color="auto"/>
        <w:bottom w:val="none" w:sz="0" w:space="0" w:color="auto"/>
        <w:right w:val="none" w:sz="0" w:space="0" w:color="auto"/>
      </w:divBdr>
    </w:div>
    <w:div w:id="573394783">
      <w:bodyDiv w:val="1"/>
      <w:marLeft w:val="0"/>
      <w:marRight w:val="0"/>
      <w:marTop w:val="0"/>
      <w:marBottom w:val="0"/>
      <w:divBdr>
        <w:top w:val="none" w:sz="0" w:space="0" w:color="auto"/>
        <w:left w:val="none" w:sz="0" w:space="0" w:color="auto"/>
        <w:bottom w:val="none" w:sz="0" w:space="0" w:color="auto"/>
        <w:right w:val="none" w:sz="0" w:space="0" w:color="auto"/>
      </w:divBdr>
    </w:div>
    <w:div w:id="573513034">
      <w:bodyDiv w:val="1"/>
      <w:marLeft w:val="0"/>
      <w:marRight w:val="0"/>
      <w:marTop w:val="0"/>
      <w:marBottom w:val="0"/>
      <w:divBdr>
        <w:top w:val="none" w:sz="0" w:space="0" w:color="auto"/>
        <w:left w:val="none" w:sz="0" w:space="0" w:color="auto"/>
        <w:bottom w:val="none" w:sz="0" w:space="0" w:color="auto"/>
        <w:right w:val="none" w:sz="0" w:space="0" w:color="auto"/>
      </w:divBdr>
    </w:div>
    <w:div w:id="573585337">
      <w:bodyDiv w:val="1"/>
      <w:marLeft w:val="0"/>
      <w:marRight w:val="0"/>
      <w:marTop w:val="0"/>
      <w:marBottom w:val="0"/>
      <w:divBdr>
        <w:top w:val="none" w:sz="0" w:space="0" w:color="auto"/>
        <w:left w:val="none" w:sz="0" w:space="0" w:color="auto"/>
        <w:bottom w:val="none" w:sz="0" w:space="0" w:color="auto"/>
        <w:right w:val="none" w:sz="0" w:space="0" w:color="auto"/>
      </w:divBdr>
    </w:div>
    <w:div w:id="574122424">
      <w:bodyDiv w:val="1"/>
      <w:marLeft w:val="0"/>
      <w:marRight w:val="0"/>
      <w:marTop w:val="0"/>
      <w:marBottom w:val="0"/>
      <w:divBdr>
        <w:top w:val="none" w:sz="0" w:space="0" w:color="auto"/>
        <w:left w:val="none" w:sz="0" w:space="0" w:color="auto"/>
        <w:bottom w:val="none" w:sz="0" w:space="0" w:color="auto"/>
        <w:right w:val="none" w:sz="0" w:space="0" w:color="auto"/>
      </w:divBdr>
    </w:div>
    <w:div w:id="574362858">
      <w:bodyDiv w:val="1"/>
      <w:marLeft w:val="0"/>
      <w:marRight w:val="0"/>
      <w:marTop w:val="0"/>
      <w:marBottom w:val="0"/>
      <w:divBdr>
        <w:top w:val="none" w:sz="0" w:space="0" w:color="auto"/>
        <w:left w:val="none" w:sz="0" w:space="0" w:color="auto"/>
        <w:bottom w:val="none" w:sz="0" w:space="0" w:color="auto"/>
        <w:right w:val="none" w:sz="0" w:space="0" w:color="auto"/>
      </w:divBdr>
    </w:div>
    <w:div w:id="578364752">
      <w:bodyDiv w:val="1"/>
      <w:marLeft w:val="0"/>
      <w:marRight w:val="0"/>
      <w:marTop w:val="0"/>
      <w:marBottom w:val="0"/>
      <w:divBdr>
        <w:top w:val="none" w:sz="0" w:space="0" w:color="auto"/>
        <w:left w:val="none" w:sz="0" w:space="0" w:color="auto"/>
        <w:bottom w:val="none" w:sz="0" w:space="0" w:color="auto"/>
        <w:right w:val="none" w:sz="0" w:space="0" w:color="auto"/>
      </w:divBdr>
    </w:div>
    <w:div w:id="578834694">
      <w:bodyDiv w:val="1"/>
      <w:marLeft w:val="0"/>
      <w:marRight w:val="0"/>
      <w:marTop w:val="0"/>
      <w:marBottom w:val="0"/>
      <w:divBdr>
        <w:top w:val="none" w:sz="0" w:space="0" w:color="auto"/>
        <w:left w:val="none" w:sz="0" w:space="0" w:color="auto"/>
        <w:bottom w:val="none" w:sz="0" w:space="0" w:color="auto"/>
        <w:right w:val="none" w:sz="0" w:space="0" w:color="auto"/>
      </w:divBdr>
    </w:div>
    <w:div w:id="579675825">
      <w:bodyDiv w:val="1"/>
      <w:marLeft w:val="0"/>
      <w:marRight w:val="0"/>
      <w:marTop w:val="0"/>
      <w:marBottom w:val="0"/>
      <w:divBdr>
        <w:top w:val="none" w:sz="0" w:space="0" w:color="auto"/>
        <w:left w:val="none" w:sz="0" w:space="0" w:color="auto"/>
        <w:bottom w:val="none" w:sz="0" w:space="0" w:color="auto"/>
        <w:right w:val="none" w:sz="0" w:space="0" w:color="auto"/>
      </w:divBdr>
    </w:div>
    <w:div w:id="580532210">
      <w:bodyDiv w:val="1"/>
      <w:marLeft w:val="0"/>
      <w:marRight w:val="0"/>
      <w:marTop w:val="0"/>
      <w:marBottom w:val="0"/>
      <w:divBdr>
        <w:top w:val="none" w:sz="0" w:space="0" w:color="auto"/>
        <w:left w:val="none" w:sz="0" w:space="0" w:color="auto"/>
        <w:bottom w:val="none" w:sz="0" w:space="0" w:color="auto"/>
        <w:right w:val="none" w:sz="0" w:space="0" w:color="auto"/>
      </w:divBdr>
    </w:div>
    <w:div w:id="580606270">
      <w:bodyDiv w:val="1"/>
      <w:marLeft w:val="0"/>
      <w:marRight w:val="0"/>
      <w:marTop w:val="0"/>
      <w:marBottom w:val="0"/>
      <w:divBdr>
        <w:top w:val="none" w:sz="0" w:space="0" w:color="auto"/>
        <w:left w:val="none" w:sz="0" w:space="0" w:color="auto"/>
        <w:bottom w:val="none" w:sz="0" w:space="0" w:color="auto"/>
        <w:right w:val="none" w:sz="0" w:space="0" w:color="auto"/>
      </w:divBdr>
    </w:div>
    <w:div w:id="581110998">
      <w:bodyDiv w:val="1"/>
      <w:marLeft w:val="0"/>
      <w:marRight w:val="0"/>
      <w:marTop w:val="0"/>
      <w:marBottom w:val="0"/>
      <w:divBdr>
        <w:top w:val="none" w:sz="0" w:space="0" w:color="auto"/>
        <w:left w:val="none" w:sz="0" w:space="0" w:color="auto"/>
        <w:bottom w:val="none" w:sz="0" w:space="0" w:color="auto"/>
        <w:right w:val="none" w:sz="0" w:space="0" w:color="auto"/>
      </w:divBdr>
    </w:div>
    <w:div w:id="581379411">
      <w:bodyDiv w:val="1"/>
      <w:marLeft w:val="0"/>
      <w:marRight w:val="0"/>
      <w:marTop w:val="0"/>
      <w:marBottom w:val="0"/>
      <w:divBdr>
        <w:top w:val="none" w:sz="0" w:space="0" w:color="auto"/>
        <w:left w:val="none" w:sz="0" w:space="0" w:color="auto"/>
        <w:bottom w:val="none" w:sz="0" w:space="0" w:color="auto"/>
        <w:right w:val="none" w:sz="0" w:space="0" w:color="auto"/>
      </w:divBdr>
    </w:div>
    <w:div w:id="581453717">
      <w:bodyDiv w:val="1"/>
      <w:marLeft w:val="0"/>
      <w:marRight w:val="0"/>
      <w:marTop w:val="0"/>
      <w:marBottom w:val="0"/>
      <w:divBdr>
        <w:top w:val="none" w:sz="0" w:space="0" w:color="auto"/>
        <w:left w:val="none" w:sz="0" w:space="0" w:color="auto"/>
        <w:bottom w:val="none" w:sz="0" w:space="0" w:color="auto"/>
        <w:right w:val="none" w:sz="0" w:space="0" w:color="auto"/>
      </w:divBdr>
    </w:div>
    <w:div w:id="582762261">
      <w:bodyDiv w:val="1"/>
      <w:marLeft w:val="0"/>
      <w:marRight w:val="0"/>
      <w:marTop w:val="0"/>
      <w:marBottom w:val="0"/>
      <w:divBdr>
        <w:top w:val="none" w:sz="0" w:space="0" w:color="auto"/>
        <w:left w:val="none" w:sz="0" w:space="0" w:color="auto"/>
        <w:bottom w:val="none" w:sz="0" w:space="0" w:color="auto"/>
        <w:right w:val="none" w:sz="0" w:space="0" w:color="auto"/>
      </w:divBdr>
    </w:div>
    <w:div w:id="583151548">
      <w:bodyDiv w:val="1"/>
      <w:marLeft w:val="0"/>
      <w:marRight w:val="0"/>
      <w:marTop w:val="0"/>
      <w:marBottom w:val="0"/>
      <w:divBdr>
        <w:top w:val="none" w:sz="0" w:space="0" w:color="auto"/>
        <w:left w:val="none" w:sz="0" w:space="0" w:color="auto"/>
        <w:bottom w:val="none" w:sz="0" w:space="0" w:color="auto"/>
        <w:right w:val="none" w:sz="0" w:space="0" w:color="auto"/>
      </w:divBdr>
    </w:div>
    <w:div w:id="584219200">
      <w:bodyDiv w:val="1"/>
      <w:marLeft w:val="0"/>
      <w:marRight w:val="0"/>
      <w:marTop w:val="0"/>
      <w:marBottom w:val="0"/>
      <w:divBdr>
        <w:top w:val="none" w:sz="0" w:space="0" w:color="auto"/>
        <w:left w:val="none" w:sz="0" w:space="0" w:color="auto"/>
        <w:bottom w:val="none" w:sz="0" w:space="0" w:color="auto"/>
        <w:right w:val="none" w:sz="0" w:space="0" w:color="auto"/>
      </w:divBdr>
    </w:div>
    <w:div w:id="584264610">
      <w:bodyDiv w:val="1"/>
      <w:marLeft w:val="0"/>
      <w:marRight w:val="0"/>
      <w:marTop w:val="0"/>
      <w:marBottom w:val="0"/>
      <w:divBdr>
        <w:top w:val="none" w:sz="0" w:space="0" w:color="auto"/>
        <w:left w:val="none" w:sz="0" w:space="0" w:color="auto"/>
        <w:bottom w:val="none" w:sz="0" w:space="0" w:color="auto"/>
        <w:right w:val="none" w:sz="0" w:space="0" w:color="auto"/>
      </w:divBdr>
    </w:div>
    <w:div w:id="585312539">
      <w:bodyDiv w:val="1"/>
      <w:marLeft w:val="0"/>
      <w:marRight w:val="0"/>
      <w:marTop w:val="0"/>
      <w:marBottom w:val="0"/>
      <w:divBdr>
        <w:top w:val="none" w:sz="0" w:space="0" w:color="auto"/>
        <w:left w:val="none" w:sz="0" w:space="0" w:color="auto"/>
        <w:bottom w:val="none" w:sz="0" w:space="0" w:color="auto"/>
        <w:right w:val="none" w:sz="0" w:space="0" w:color="auto"/>
      </w:divBdr>
    </w:div>
    <w:div w:id="586185430">
      <w:bodyDiv w:val="1"/>
      <w:marLeft w:val="0"/>
      <w:marRight w:val="0"/>
      <w:marTop w:val="0"/>
      <w:marBottom w:val="0"/>
      <w:divBdr>
        <w:top w:val="none" w:sz="0" w:space="0" w:color="auto"/>
        <w:left w:val="none" w:sz="0" w:space="0" w:color="auto"/>
        <w:bottom w:val="none" w:sz="0" w:space="0" w:color="auto"/>
        <w:right w:val="none" w:sz="0" w:space="0" w:color="auto"/>
      </w:divBdr>
    </w:div>
    <w:div w:id="588807106">
      <w:bodyDiv w:val="1"/>
      <w:marLeft w:val="0"/>
      <w:marRight w:val="0"/>
      <w:marTop w:val="0"/>
      <w:marBottom w:val="0"/>
      <w:divBdr>
        <w:top w:val="none" w:sz="0" w:space="0" w:color="auto"/>
        <w:left w:val="none" w:sz="0" w:space="0" w:color="auto"/>
        <w:bottom w:val="none" w:sz="0" w:space="0" w:color="auto"/>
        <w:right w:val="none" w:sz="0" w:space="0" w:color="auto"/>
      </w:divBdr>
    </w:div>
    <w:div w:id="588932613">
      <w:bodyDiv w:val="1"/>
      <w:marLeft w:val="0"/>
      <w:marRight w:val="0"/>
      <w:marTop w:val="0"/>
      <w:marBottom w:val="0"/>
      <w:divBdr>
        <w:top w:val="none" w:sz="0" w:space="0" w:color="auto"/>
        <w:left w:val="none" w:sz="0" w:space="0" w:color="auto"/>
        <w:bottom w:val="none" w:sz="0" w:space="0" w:color="auto"/>
        <w:right w:val="none" w:sz="0" w:space="0" w:color="auto"/>
      </w:divBdr>
    </w:div>
    <w:div w:id="590048091">
      <w:bodyDiv w:val="1"/>
      <w:marLeft w:val="0"/>
      <w:marRight w:val="0"/>
      <w:marTop w:val="0"/>
      <w:marBottom w:val="0"/>
      <w:divBdr>
        <w:top w:val="none" w:sz="0" w:space="0" w:color="auto"/>
        <w:left w:val="none" w:sz="0" w:space="0" w:color="auto"/>
        <w:bottom w:val="none" w:sz="0" w:space="0" w:color="auto"/>
        <w:right w:val="none" w:sz="0" w:space="0" w:color="auto"/>
      </w:divBdr>
    </w:div>
    <w:div w:id="590743463">
      <w:bodyDiv w:val="1"/>
      <w:marLeft w:val="0"/>
      <w:marRight w:val="0"/>
      <w:marTop w:val="0"/>
      <w:marBottom w:val="0"/>
      <w:divBdr>
        <w:top w:val="none" w:sz="0" w:space="0" w:color="auto"/>
        <w:left w:val="none" w:sz="0" w:space="0" w:color="auto"/>
        <w:bottom w:val="none" w:sz="0" w:space="0" w:color="auto"/>
        <w:right w:val="none" w:sz="0" w:space="0" w:color="auto"/>
      </w:divBdr>
    </w:div>
    <w:div w:id="591162767">
      <w:bodyDiv w:val="1"/>
      <w:marLeft w:val="0"/>
      <w:marRight w:val="0"/>
      <w:marTop w:val="0"/>
      <w:marBottom w:val="0"/>
      <w:divBdr>
        <w:top w:val="none" w:sz="0" w:space="0" w:color="auto"/>
        <w:left w:val="none" w:sz="0" w:space="0" w:color="auto"/>
        <w:bottom w:val="none" w:sz="0" w:space="0" w:color="auto"/>
        <w:right w:val="none" w:sz="0" w:space="0" w:color="auto"/>
      </w:divBdr>
    </w:div>
    <w:div w:id="593251263">
      <w:bodyDiv w:val="1"/>
      <w:marLeft w:val="0"/>
      <w:marRight w:val="0"/>
      <w:marTop w:val="0"/>
      <w:marBottom w:val="0"/>
      <w:divBdr>
        <w:top w:val="none" w:sz="0" w:space="0" w:color="auto"/>
        <w:left w:val="none" w:sz="0" w:space="0" w:color="auto"/>
        <w:bottom w:val="none" w:sz="0" w:space="0" w:color="auto"/>
        <w:right w:val="none" w:sz="0" w:space="0" w:color="auto"/>
      </w:divBdr>
    </w:div>
    <w:div w:id="593632831">
      <w:bodyDiv w:val="1"/>
      <w:marLeft w:val="0"/>
      <w:marRight w:val="0"/>
      <w:marTop w:val="0"/>
      <w:marBottom w:val="0"/>
      <w:divBdr>
        <w:top w:val="none" w:sz="0" w:space="0" w:color="auto"/>
        <w:left w:val="none" w:sz="0" w:space="0" w:color="auto"/>
        <w:bottom w:val="none" w:sz="0" w:space="0" w:color="auto"/>
        <w:right w:val="none" w:sz="0" w:space="0" w:color="auto"/>
      </w:divBdr>
    </w:div>
    <w:div w:id="593712368">
      <w:bodyDiv w:val="1"/>
      <w:marLeft w:val="0"/>
      <w:marRight w:val="0"/>
      <w:marTop w:val="0"/>
      <w:marBottom w:val="0"/>
      <w:divBdr>
        <w:top w:val="none" w:sz="0" w:space="0" w:color="auto"/>
        <w:left w:val="none" w:sz="0" w:space="0" w:color="auto"/>
        <w:bottom w:val="none" w:sz="0" w:space="0" w:color="auto"/>
        <w:right w:val="none" w:sz="0" w:space="0" w:color="auto"/>
      </w:divBdr>
    </w:div>
    <w:div w:id="594091341">
      <w:bodyDiv w:val="1"/>
      <w:marLeft w:val="0"/>
      <w:marRight w:val="0"/>
      <w:marTop w:val="0"/>
      <w:marBottom w:val="0"/>
      <w:divBdr>
        <w:top w:val="none" w:sz="0" w:space="0" w:color="auto"/>
        <w:left w:val="none" w:sz="0" w:space="0" w:color="auto"/>
        <w:bottom w:val="none" w:sz="0" w:space="0" w:color="auto"/>
        <w:right w:val="none" w:sz="0" w:space="0" w:color="auto"/>
      </w:divBdr>
    </w:div>
    <w:div w:id="594099736">
      <w:bodyDiv w:val="1"/>
      <w:marLeft w:val="0"/>
      <w:marRight w:val="0"/>
      <w:marTop w:val="0"/>
      <w:marBottom w:val="0"/>
      <w:divBdr>
        <w:top w:val="none" w:sz="0" w:space="0" w:color="auto"/>
        <w:left w:val="none" w:sz="0" w:space="0" w:color="auto"/>
        <w:bottom w:val="none" w:sz="0" w:space="0" w:color="auto"/>
        <w:right w:val="none" w:sz="0" w:space="0" w:color="auto"/>
      </w:divBdr>
    </w:div>
    <w:div w:id="594630742">
      <w:bodyDiv w:val="1"/>
      <w:marLeft w:val="0"/>
      <w:marRight w:val="0"/>
      <w:marTop w:val="0"/>
      <w:marBottom w:val="0"/>
      <w:divBdr>
        <w:top w:val="none" w:sz="0" w:space="0" w:color="auto"/>
        <w:left w:val="none" w:sz="0" w:space="0" w:color="auto"/>
        <w:bottom w:val="none" w:sz="0" w:space="0" w:color="auto"/>
        <w:right w:val="none" w:sz="0" w:space="0" w:color="auto"/>
      </w:divBdr>
    </w:div>
    <w:div w:id="594637041">
      <w:bodyDiv w:val="1"/>
      <w:marLeft w:val="0"/>
      <w:marRight w:val="0"/>
      <w:marTop w:val="0"/>
      <w:marBottom w:val="0"/>
      <w:divBdr>
        <w:top w:val="none" w:sz="0" w:space="0" w:color="auto"/>
        <w:left w:val="none" w:sz="0" w:space="0" w:color="auto"/>
        <w:bottom w:val="none" w:sz="0" w:space="0" w:color="auto"/>
        <w:right w:val="none" w:sz="0" w:space="0" w:color="auto"/>
      </w:divBdr>
    </w:div>
    <w:div w:id="599025741">
      <w:bodyDiv w:val="1"/>
      <w:marLeft w:val="0"/>
      <w:marRight w:val="0"/>
      <w:marTop w:val="0"/>
      <w:marBottom w:val="0"/>
      <w:divBdr>
        <w:top w:val="none" w:sz="0" w:space="0" w:color="auto"/>
        <w:left w:val="none" w:sz="0" w:space="0" w:color="auto"/>
        <w:bottom w:val="none" w:sz="0" w:space="0" w:color="auto"/>
        <w:right w:val="none" w:sz="0" w:space="0" w:color="auto"/>
      </w:divBdr>
    </w:div>
    <w:div w:id="599264797">
      <w:bodyDiv w:val="1"/>
      <w:marLeft w:val="0"/>
      <w:marRight w:val="0"/>
      <w:marTop w:val="0"/>
      <w:marBottom w:val="0"/>
      <w:divBdr>
        <w:top w:val="none" w:sz="0" w:space="0" w:color="auto"/>
        <w:left w:val="none" w:sz="0" w:space="0" w:color="auto"/>
        <w:bottom w:val="none" w:sz="0" w:space="0" w:color="auto"/>
        <w:right w:val="none" w:sz="0" w:space="0" w:color="auto"/>
      </w:divBdr>
    </w:div>
    <w:div w:id="600652194">
      <w:bodyDiv w:val="1"/>
      <w:marLeft w:val="0"/>
      <w:marRight w:val="0"/>
      <w:marTop w:val="0"/>
      <w:marBottom w:val="0"/>
      <w:divBdr>
        <w:top w:val="none" w:sz="0" w:space="0" w:color="auto"/>
        <w:left w:val="none" w:sz="0" w:space="0" w:color="auto"/>
        <w:bottom w:val="none" w:sz="0" w:space="0" w:color="auto"/>
        <w:right w:val="none" w:sz="0" w:space="0" w:color="auto"/>
      </w:divBdr>
    </w:div>
    <w:div w:id="601185097">
      <w:bodyDiv w:val="1"/>
      <w:marLeft w:val="0"/>
      <w:marRight w:val="0"/>
      <w:marTop w:val="0"/>
      <w:marBottom w:val="0"/>
      <w:divBdr>
        <w:top w:val="none" w:sz="0" w:space="0" w:color="auto"/>
        <w:left w:val="none" w:sz="0" w:space="0" w:color="auto"/>
        <w:bottom w:val="none" w:sz="0" w:space="0" w:color="auto"/>
        <w:right w:val="none" w:sz="0" w:space="0" w:color="auto"/>
      </w:divBdr>
    </w:div>
    <w:div w:id="601375318">
      <w:bodyDiv w:val="1"/>
      <w:marLeft w:val="0"/>
      <w:marRight w:val="0"/>
      <w:marTop w:val="0"/>
      <w:marBottom w:val="0"/>
      <w:divBdr>
        <w:top w:val="none" w:sz="0" w:space="0" w:color="auto"/>
        <w:left w:val="none" w:sz="0" w:space="0" w:color="auto"/>
        <w:bottom w:val="none" w:sz="0" w:space="0" w:color="auto"/>
        <w:right w:val="none" w:sz="0" w:space="0" w:color="auto"/>
      </w:divBdr>
    </w:div>
    <w:div w:id="602306818">
      <w:bodyDiv w:val="1"/>
      <w:marLeft w:val="0"/>
      <w:marRight w:val="0"/>
      <w:marTop w:val="0"/>
      <w:marBottom w:val="0"/>
      <w:divBdr>
        <w:top w:val="none" w:sz="0" w:space="0" w:color="auto"/>
        <w:left w:val="none" w:sz="0" w:space="0" w:color="auto"/>
        <w:bottom w:val="none" w:sz="0" w:space="0" w:color="auto"/>
        <w:right w:val="none" w:sz="0" w:space="0" w:color="auto"/>
      </w:divBdr>
    </w:div>
    <w:div w:id="602807552">
      <w:bodyDiv w:val="1"/>
      <w:marLeft w:val="0"/>
      <w:marRight w:val="0"/>
      <w:marTop w:val="0"/>
      <w:marBottom w:val="0"/>
      <w:divBdr>
        <w:top w:val="none" w:sz="0" w:space="0" w:color="auto"/>
        <w:left w:val="none" w:sz="0" w:space="0" w:color="auto"/>
        <w:bottom w:val="none" w:sz="0" w:space="0" w:color="auto"/>
        <w:right w:val="none" w:sz="0" w:space="0" w:color="auto"/>
      </w:divBdr>
    </w:div>
    <w:div w:id="602881953">
      <w:bodyDiv w:val="1"/>
      <w:marLeft w:val="0"/>
      <w:marRight w:val="0"/>
      <w:marTop w:val="0"/>
      <w:marBottom w:val="0"/>
      <w:divBdr>
        <w:top w:val="none" w:sz="0" w:space="0" w:color="auto"/>
        <w:left w:val="none" w:sz="0" w:space="0" w:color="auto"/>
        <w:bottom w:val="none" w:sz="0" w:space="0" w:color="auto"/>
        <w:right w:val="none" w:sz="0" w:space="0" w:color="auto"/>
      </w:divBdr>
    </w:div>
    <w:div w:id="604993900">
      <w:bodyDiv w:val="1"/>
      <w:marLeft w:val="0"/>
      <w:marRight w:val="0"/>
      <w:marTop w:val="0"/>
      <w:marBottom w:val="0"/>
      <w:divBdr>
        <w:top w:val="none" w:sz="0" w:space="0" w:color="auto"/>
        <w:left w:val="none" w:sz="0" w:space="0" w:color="auto"/>
        <w:bottom w:val="none" w:sz="0" w:space="0" w:color="auto"/>
        <w:right w:val="none" w:sz="0" w:space="0" w:color="auto"/>
      </w:divBdr>
    </w:div>
    <w:div w:id="605499534">
      <w:bodyDiv w:val="1"/>
      <w:marLeft w:val="0"/>
      <w:marRight w:val="0"/>
      <w:marTop w:val="0"/>
      <w:marBottom w:val="0"/>
      <w:divBdr>
        <w:top w:val="none" w:sz="0" w:space="0" w:color="auto"/>
        <w:left w:val="none" w:sz="0" w:space="0" w:color="auto"/>
        <w:bottom w:val="none" w:sz="0" w:space="0" w:color="auto"/>
        <w:right w:val="none" w:sz="0" w:space="0" w:color="auto"/>
      </w:divBdr>
    </w:div>
    <w:div w:id="607003499">
      <w:bodyDiv w:val="1"/>
      <w:marLeft w:val="0"/>
      <w:marRight w:val="0"/>
      <w:marTop w:val="0"/>
      <w:marBottom w:val="0"/>
      <w:divBdr>
        <w:top w:val="none" w:sz="0" w:space="0" w:color="auto"/>
        <w:left w:val="none" w:sz="0" w:space="0" w:color="auto"/>
        <w:bottom w:val="none" w:sz="0" w:space="0" w:color="auto"/>
        <w:right w:val="none" w:sz="0" w:space="0" w:color="auto"/>
      </w:divBdr>
    </w:div>
    <w:div w:id="607397381">
      <w:bodyDiv w:val="1"/>
      <w:marLeft w:val="0"/>
      <w:marRight w:val="0"/>
      <w:marTop w:val="0"/>
      <w:marBottom w:val="0"/>
      <w:divBdr>
        <w:top w:val="none" w:sz="0" w:space="0" w:color="auto"/>
        <w:left w:val="none" w:sz="0" w:space="0" w:color="auto"/>
        <w:bottom w:val="none" w:sz="0" w:space="0" w:color="auto"/>
        <w:right w:val="none" w:sz="0" w:space="0" w:color="auto"/>
      </w:divBdr>
    </w:div>
    <w:div w:id="609439288">
      <w:bodyDiv w:val="1"/>
      <w:marLeft w:val="0"/>
      <w:marRight w:val="0"/>
      <w:marTop w:val="0"/>
      <w:marBottom w:val="0"/>
      <w:divBdr>
        <w:top w:val="none" w:sz="0" w:space="0" w:color="auto"/>
        <w:left w:val="none" w:sz="0" w:space="0" w:color="auto"/>
        <w:bottom w:val="none" w:sz="0" w:space="0" w:color="auto"/>
        <w:right w:val="none" w:sz="0" w:space="0" w:color="auto"/>
      </w:divBdr>
    </w:div>
    <w:div w:id="610085346">
      <w:bodyDiv w:val="1"/>
      <w:marLeft w:val="0"/>
      <w:marRight w:val="0"/>
      <w:marTop w:val="0"/>
      <w:marBottom w:val="0"/>
      <w:divBdr>
        <w:top w:val="none" w:sz="0" w:space="0" w:color="auto"/>
        <w:left w:val="none" w:sz="0" w:space="0" w:color="auto"/>
        <w:bottom w:val="none" w:sz="0" w:space="0" w:color="auto"/>
        <w:right w:val="none" w:sz="0" w:space="0" w:color="auto"/>
      </w:divBdr>
    </w:div>
    <w:div w:id="612831039">
      <w:bodyDiv w:val="1"/>
      <w:marLeft w:val="0"/>
      <w:marRight w:val="0"/>
      <w:marTop w:val="0"/>
      <w:marBottom w:val="0"/>
      <w:divBdr>
        <w:top w:val="none" w:sz="0" w:space="0" w:color="auto"/>
        <w:left w:val="none" w:sz="0" w:space="0" w:color="auto"/>
        <w:bottom w:val="none" w:sz="0" w:space="0" w:color="auto"/>
        <w:right w:val="none" w:sz="0" w:space="0" w:color="auto"/>
      </w:divBdr>
    </w:div>
    <w:div w:id="613710894">
      <w:bodyDiv w:val="1"/>
      <w:marLeft w:val="0"/>
      <w:marRight w:val="0"/>
      <w:marTop w:val="0"/>
      <w:marBottom w:val="0"/>
      <w:divBdr>
        <w:top w:val="none" w:sz="0" w:space="0" w:color="auto"/>
        <w:left w:val="none" w:sz="0" w:space="0" w:color="auto"/>
        <w:bottom w:val="none" w:sz="0" w:space="0" w:color="auto"/>
        <w:right w:val="none" w:sz="0" w:space="0" w:color="auto"/>
      </w:divBdr>
    </w:div>
    <w:div w:id="613831701">
      <w:bodyDiv w:val="1"/>
      <w:marLeft w:val="0"/>
      <w:marRight w:val="0"/>
      <w:marTop w:val="0"/>
      <w:marBottom w:val="0"/>
      <w:divBdr>
        <w:top w:val="none" w:sz="0" w:space="0" w:color="auto"/>
        <w:left w:val="none" w:sz="0" w:space="0" w:color="auto"/>
        <w:bottom w:val="none" w:sz="0" w:space="0" w:color="auto"/>
        <w:right w:val="none" w:sz="0" w:space="0" w:color="auto"/>
      </w:divBdr>
    </w:div>
    <w:div w:id="618031778">
      <w:bodyDiv w:val="1"/>
      <w:marLeft w:val="0"/>
      <w:marRight w:val="0"/>
      <w:marTop w:val="0"/>
      <w:marBottom w:val="0"/>
      <w:divBdr>
        <w:top w:val="none" w:sz="0" w:space="0" w:color="auto"/>
        <w:left w:val="none" w:sz="0" w:space="0" w:color="auto"/>
        <w:bottom w:val="none" w:sz="0" w:space="0" w:color="auto"/>
        <w:right w:val="none" w:sz="0" w:space="0" w:color="auto"/>
      </w:divBdr>
    </w:div>
    <w:div w:id="620573254">
      <w:bodyDiv w:val="1"/>
      <w:marLeft w:val="0"/>
      <w:marRight w:val="0"/>
      <w:marTop w:val="0"/>
      <w:marBottom w:val="0"/>
      <w:divBdr>
        <w:top w:val="none" w:sz="0" w:space="0" w:color="auto"/>
        <w:left w:val="none" w:sz="0" w:space="0" w:color="auto"/>
        <w:bottom w:val="none" w:sz="0" w:space="0" w:color="auto"/>
        <w:right w:val="none" w:sz="0" w:space="0" w:color="auto"/>
      </w:divBdr>
    </w:div>
    <w:div w:id="622003217">
      <w:bodyDiv w:val="1"/>
      <w:marLeft w:val="0"/>
      <w:marRight w:val="0"/>
      <w:marTop w:val="0"/>
      <w:marBottom w:val="0"/>
      <w:divBdr>
        <w:top w:val="none" w:sz="0" w:space="0" w:color="auto"/>
        <w:left w:val="none" w:sz="0" w:space="0" w:color="auto"/>
        <w:bottom w:val="none" w:sz="0" w:space="0" w:color="auto"/>
        <w:right w:val="none" w:sz="0" w:space="0" w:color="auto"/>
      </w:divBdr>
    </w:div>
    <w:div w:id="624852743">
      <w:bodyDiv w:val="1"/>
      <w:marLeft w:val="0"/>
      <w:marRight w:val="0"/>
      <w:marTop w:val="0"/>
      <w:marBottom w:val="0"/>
      <w:divBdr>
        <w:top w:val="none" w:sz="0" w:space="0" w:color="auto"/>
        <w:left w:val="none" w:sz="0" w:space="0" w:color="auto"/>
        <w:bottom w:val="none" w:sz="0" w:space="0" w:color="auto"/>
        <w:right w:val="none" w:sz="0" w:space="0" w:color="auto"/>
      </w:divBdr>
    </w:div>
    <w:div w:id="625235899">
      <w:bodyDiv w:val="1"/>
      <w:marLeft w:val="0"/>
      <w:marRight w:val="0"/>
      <w:marTop w:val="0"/>
      <w:marBottom w:val="0"/>
      <w:divBdr>
        <w:top w:val="none" w:sz="0" w:space="0" w:color="auto"/>
        <w:left w:val="none" w:sz="0" w:space="0" w:color="auto"/>
        <w:bottom w:val="none" w:sz="0" w:space="0" w:color="auto"/>
        <w:right w:val="none" w:sz="0" w:space="0" w:color="auto"/>
      </w:divBdr>
    </w:div>
    <w:div w:id="627323600">
      <w:bodyDiv w:val="1"/>
      <w:marLeft w:val="0"/>
      <w:marRight w:val="0"/>
      <w:marTop w:val="0"/>
      <w:marBottom w:val="0"/>
      <w:divBdr>
        <w:top w:val="none" w:sz="0" w:space="0" w:color="auto"/>
        <w:left w:val="none" w:sz="0" w:space="0" w:color="auto"/>
        <w:bottom w:val="none" w:sz="0" w:space="0" w:color="auto"/>
        <w:right w:val="none" w:sz="0" w:space="0" w:color="auto"/>
      </w:divBdr>
    </w:div>
    <w:div w:id="628359481">
      <w:bodyDiv w:val="1"/>
      <w:marLeft w:val="0"/>
      <w:marRight w:val="0"/>
      <w:marTop w:val="0"/>
      <w:marBottom w:val="0"/>
      <w:divBdr>
        <w:top w:val="none" w:sz="0" w:space="0" w:color="auto"/>
        <w:left w:val="none" w:sz="0" w:space="0" w:color="auto"/>
        <w:bottom w:val="none" w:sz="0" w:space="0" w:color="auto"/>
        <w:right w:val="none" w:sz="0" w:space="0" w:color="auto"/>
      </w:divBdr>
    </w:div>
    <w:div w:id="629867993">
      <w:bodyDiv w:val="1"/>
      <w:marLeft w:val="0"/>
      <w:marRight w:val="0"/>
      <w:marTop w:val="0"/>
      <w:marBottom w:val="0"/>
      <w:divBdr>
        <w:top w:val="none" w:sz="0" w:space="0" w:color="auto"/>
        <w:left w:val="none" w:sz="0" w:space="0" w:color="auto"/>
        <w:bottom w:val="none" w:sz="0" w:space="0" w:color="auto"/>
        <w:right w:val="none" w:sz="0" w:space="0" w:color="auto"/>
      </w:divBdr>
    </w:div>
    <w:div w:id="631718395">
      <w:bodyDiv w:val="1"/>
      <w:marLeft w:val="0"/>
      <w:marRight w:val="0"/>
      <w:marTop w:val="0"/>
      <w:marBottom w:val="0"/>
      <w:divBdr>
        <w:top w:val="none" w:sz="0" w:space="0" w:color="auto"/>
        <w:left w:val="none" w:sz="0" w:space="0" w:color="auto"/>
        <w:bottom w:val="none" w:sz="0" w:space="0" w:color="auto"/>
        <w:right w:val="none" w:sz="0" w:space="0" w:color="auto"/>
      </w:divBdr>
    </w:div>
    <w:div w:id="632827081">
      <w:bodyDiv w:val="1"/>
      <w:marLeft w:val="0"/>
      <w:marRight w:val="0"/>
      <w:marTop w:val="0"/>
      <w:marBottom w:val="0"/>
      <w:divBdr>
        <w:top w:val="none" w:sz="0" w:space="0" w:color="auto"/>
        <w:left w:val="none" w:sz="0" w:space="0" w:color="auto"/>
        <w:bottom w:val="none" w:sz="0" w:space="0" w:color="auto"/>
        <w:right w:val="none" w:sz="0" w:space="0" w:color="auto"/>
      </w:divBdr>
    </w:div>
    <w:div w:id="633366124">
      <w:bodyDiv w:val="1"/>
      <w:marLeft w:val="0"/>
      <w:marRight w:val="0"/>
      <w:marTop w:val="0"/>
      <w:marBottom w:val="0"/>
      <w:divBdr>
        <w:top w:val="none" w:sz="0" w:space="0" w:color="auto"/>
        <w:left w:val="none" w:sz="0" w:space="0" w:color="auto"/>
        <w:bottom w:val="none" w:sz="0" w:space="0" w:color="auto"/>
        <w:right w:val="none" w:sz="0" w:space="0" w:color="auto"/>
      </w:divBdr>
    </w:div>
    <w:div w:id="633415309">
      <w:bodyDiv w:val="1"/>
      <w:marLeft w:val="0"/>
      <w:marRight w:val="0"/>
      <w:marTop w:val="0"/>
      <w:marBottom w:val="0"/>
      <w:divBdr>
        <w:top w:val="none" w:sz="0" w:space="0" w:color="auto"/>
        <w:left w:val="none" w:sz="0" w:space="0" w:color="auto"/>
        <w:bottom w:val="none" w:sz="0" w:space="0" w:color="auto"/>
        <w:right w:val="none" w:sz="0" w:space="0" w:color="auto"/>
      </w:divBdr>
    </w:div>
    <w:div w:id="635456477">
      <w:bodyDiv w:val="1"/>
      <w:marLeft w:val="0"/>
      <w:marRight w:val="0"/>
      <w:marTop w:val="0"/>
      <w:marBottom w:val="0"/>
      <w:divBdr>
        <w:top w:val="none" w:sz="0" w:space="0" w:color="auto"/>
        <w:left w:val="none" w:sz="0" w:space="0" w:color="auto"/>
        <w:bottom w:val="none" w:sz="0" w:space="0" w:color="auto"/>
        <w:right w:val="none" w:sz="0" w:space="0" w:color="auto"/>
      </w:divBdr>
    </w:div>
    <w:div w:id="635913249">
      <w:bodyDiv w:val="1"/>
      <w:marLeft w:val="0"/>
      <w:marRight w:val="0"/>
      <w:marTop w:val="0"/>
      <w:marBottom w:val="0"/>
      <w:divBdr>
        <w:top w:val="none" w:sz="0" w:space="0" w:color="auto"/>
        <w:left w:val="none" w:sz="0" w:space="0" w:color="auto"/>
        <w:bottom w:val="none" w:sz="0" w:space="0" w:color="auto"/>
        <w:right w:val="none" w:sz="0" w:space="0" w:color="auto"/>
      </w:divBdr>
    </w:div>
    <w:div w:id="636879369">
      <w:bodyDiv w:val="1"/>
      <w:marLeft w:val="0"/>
      <w:marRight w:val="0"/>
      <w:marTop w:val="0"/>
      <w:marBottom w:val="0"/>
      <w:divBdr>
        <w:top w:val="none" w:sz="0" w:space="0" w:color="auto"/>
        <w:left w:val="none" w:sz="0" w:space="0" w:color="auto"/>
        <w:bottom w:val="none" w:sz="0" w:space="0" w:color="auto"/>
        <w:right w:val="none" w:sz="0" w:space="0" w:color="auto"/>
      </w:divBdr>
    </w:div>
    <w:div w:id="637146954">
      <w:bodyDiv w:val="1"/>
      <w:marLeft w:val="0"/>
      <w:marRight w:val="0"/>
      <w:marTop w:val="0"/>
      <w:marBottom w:val="0"/>
      <w:divBdr>
        <w:top w:val="none" w:sz="0" w:space="0" w:color="auto"/>
        <w:left w:val="none" w:sz="0" w:space="0" w:color="auto"/>
        <w:bottom w:val="none" w:sz="0" w:space="0" w:color="auto"/>
        <w:right w:val="none" w:sz="0" w:space="0" w:color="auto"/>
      </w:divBdr>
    </w:div>
    <w:div w:id="637996912">
      <w:bodyDiv w:val="1"/>
      <w:marLeft w:val="0"/>
      <w:marRight w:val="0"/>
      <w:marTop w:val="0"/>
      <w:marBottom w:val="0"/>
      <w:divBdr>
        <w:top w:val="none" w:sz="0" w:space="0" w:color="auto"/>
        <w:left w:val="none" w:sz="0" w:space="0" w:color="auto"/>
        <w:bottom w:val="none" w:sz="0" w:space="0" w:color="auto"/>
        <w:right w:val="none" w:sz="0" w:space="0" w:color="auto"/>
      </w:divBdr>
    </w:div>
    <w:div w:id="638071184">
      <w:bodyDiv w:val="1"/>
      <w:marLeft w:val="0"/>
      <w:marRight w:val="0"/>
      <w:marTop w:val="0"/>
      <w:marBottom w:val="0"/>
      <w:divBdr>
        <w:top w:val="none" w:sz="0" w:space="0" w:color="auto"/>
        <w:left w:val="none" w:sz="0" w:space="0" w:color="auto"/>
        <w:bottom w:val="none" w:sz="0" w:space="0" w:color="auto"/>
        <w:right w:val="none" w:sz="0" w:space="0" w:color="auto"/>
      </w:divBdr>
    </w:div>
    <w:div w:id="638414816">
      <w:bodyDiv w:val="1"/>
      <w:marLeft w:val="0"/>
      <w:marRight w:val="0"/>
      <w:marTop w:val="0"/>
      <w:marBottom w:val="0"/>
      <w:divBdr>
        <w:top w:val="none" w:sz="0" w:space="0" w:color="auto"/>
        <w:left w:val="none" w:sz="0" w:space="0" w:color="auto"/>
        <w:bottom w:val="none" w:sz="0" w:space="0" w:color="auto"/>
        <w:right w:val="none" w:sz="0" w:space="0" w:color="auto"/>
      </w:divBdr>
    </w:div>
    <w:div w:id="640305639">
      <w:bodyDiv w:val="1"/>
      <w:marLeft w:val="0"/>
      <w:marRight w:val="0"/>
      <w:marTop w:val="0"/>
      <w:marBottom w:val="0"/>
      <w:divBdr>
        <w:top w:val="none" w:sz="0" w:space="0" w:color="auto"/>
        <w:left w:val="none" w:sz="0" w:space="0" w:color="auto"/>
        <w:bottom w:val="none" w:sz="0" w:space="0" w:color="auto"/>
        <w:right w:val="none" w:sz="0" w:space="0" w:color="auto"/>
      </w:divBdr>
    </w:div>
    <w:div w:id="640766216">
      <w:bodyDiv w:val="1"/>
      <w:marLeft w:val="0"/>
      <w:marRight w:val="0"/>
      <w:marTop w:val="0"/>
      <w:marBottom w:val="0"/>
      <w:divBdr>
        <w:top w:val="none" w:sz="0" w:space="0" w:color="auto"/>
        <w:left w:val="none" w:sz="0" w:space="0" w:color="auto"/>
        <w:bottom w:val="none" w:sz="0" w:space="0" w:color="auto"/>
        <w:right w:val="none" w:sz="0" w:space="0" w:color="auto"/>
      </w:divBdr>
    </w:div>
    <w:div w:id="643509797">
      <w:bodyDiv w:val="1"/>
      <w:marLeft w:val="0"/>
      <w:marRight w:val="0"/>
      <w:marTop w:val="0"/>
      <w:marBottom w:val="0"/>
      <w:divBdr>
        <w:top w:val="none" w:sz="0" w:space="0" w:color="auto"/>
        <w:left w:val="none" w:sz="0" w:space="0" w:color="auto"/>
        <w:bottom w:val="none" w:sz="0" w:space="0" w:color="auto"/>
        <w:right w:val="none" w:sz="0" w:space="0" w:color="auto"/>
      </w:divBdr>
    </w:div>
    <w:div w:id="646515109">
      <w:bodyDiv w:val="1"/>
      <w:marLeft w:val="0"/>
      <w:marRight w:val="0"/>
      <w:marTop w:val="0"/>
      <w:marBottom w:val="0"/>
      <w:divBdr>
        <w:top w:val="none" w:sz="0" w:space="0" w:color="auto"/>
        <w:left w:val="none" w:sz="0" w:space="0" w:color="auto"/>
        <w:bottom w:val="none" w:sz="0" w:space="0" w:color="auto"/>
        <w:right w:val="none" w:sz="0" w:space="0" w:color="auto"/>
      </w:divBdr>
    </w:div>
    <w:div w:id="647174344">
      <w:bodyDiv w:val="1"/>
      <w:marLeft w:val="0"/>
      <w:marRight w:val="0"/>
      <w:marTop w:val="0"/>
      <w:marBottom w:val="0"/>
      <w:divBdr>
        <w:top w:val="none" w:sz="0" w:space="0" w:color="auto"/>
        <w:left w:val="none" w:sz="0" w:space="0" w:color="auto"/>
        <w:bottom w:val="none" w:sz="0" w:space="0" w:color="auto"/>
        <w:right w:val="none" w:sz="0" w:space="0" w:color="auto"/>
      </w:divBdr>
    </w:div>
    <w:div w:id="647368256">
      <w:bodyDiv w:val="1"/>
      <w:marLeft w:val="0"/>
      <w:marRight w:val="0"/>
      <w:marTop w:val="0"/>
      <w:marBottom w:val="0"/>
      <w:divBdr>
        <w:top w:val="none" w:sz="0" w:space="0" w:color="auto"/>
        <w:left w:val="none" w:sz="0" w:space="0" w:color="auto"/>
        <w:bottom w:val="none" w:sz="0" w:space="0" w:color="auto"/>
        <w:right w:val="none" w:sz="0" w:space="0" w:color="auto"/>
      </w:divBdr>
    </w:div>
    <w:div w:id="647590093">
      <w:bodyDiv w:val="1"/>
      <w:marLeft w:val="0"/>
      <w:marRight w:val="0"/>
      <w:marTop w:val="0"/>
      <w:marBottom w:val="0"/>
      <w:divBdr>
        <w:top w:val="none" w:sz="0" w:space="0" w:color="auto"/>
        <w:left w:val="none" w:sz="0" w:space="0" w:color="auto"/>
        <w:bottom w:val="none" w:sz="0" w:space="0" w:color="auto"/>
        <w:right w:val="none" w:sz="0" w:space="0" w:color="auto"/>
      </w:divBdr>
    </w:div>
    <w:div w:id="647829703">
      <w:bodyDiv w:val="1"/>
      <w:marLeft w:val="0"/>
      <w:marRight w:val="0"/>
      <w:marTop w:val="0"/>
      <w:marBottom w:val="0"/>
      <w:divBdr>
        <w:top w:val="none" w:sz="0" w:space="0" w:color="auto"/>
        <w:left w:val="none" w:sz="0" w:space="0" w:color="auto"/>
        <w:bottom w:val="none" w:sz="0" w:space="0" w:color="auto"/>
        <w:right w:val="none" w:sz="0" w:space="0" w:color="auto"/>
      </w:divBdr>
    </w:div>
    <w:div w:id="648245820">
      <w:bodyDiv w:val="1"/>
      <w:marLeft w:val="0"/>
      <w:marRight w:val="0"/>
      <w:marTop w:val="0"/>
      <w:marBottom w:val="0"/>
      <w:divBdr>
        <w:top w:val="none" w:sz="0" w:space="0" w:color="auto"/>
        <w:left w:val="none" w:sz="0" w:space="0" w:color="auto"/>
        <w:bottom w:val="none" w:sz="0" w:space="0" w:color="auto"/>
        <w:right w:val="none" w:sz="0" w:space="0" w:color="auto"/>
      </w:divBdr>
    </w:div>
    <w:div w:id="649284760">
      <w:bodyDiv w:val="1"/>
      <w:marLeft w:val="0"/>
      <w:marRight w:val="0"/>
      <w:marTop w:val="0"/>
      <w:marBottom w:val="0"/>
      <w:divBdr>
        <w:top w:val="none" w:sz="0" w:space="0" w:color="auto"/>
        <w:left w:val="none" w:sz="0" w:space="0" w:color="auto"/>
        <w:bottom w:val="none" w:sz="0" w:space="0" w:color="auto"/>
        <w:right w:val="none" w:sz="0" w:space="0" w:color="auto"/>
      </w:divBdr>
    </w:div>
    <w:div w:id="650133263">
      <w:bodyDiv w:val="1"/>
      <w:marLeft w:val="0"/>
      <w:marRight w:val="0"/>
      <w:marTop w:val="0"/>
      <w:marBottom w:val="0"/>
      <w:divBdr>
        <w:top w:val="none" w:sz="0" w:space="0" w:color="auto"/>
        <w:left w:val="none" w:sz="0" w:space="0" w:color="auto"/>
        <w:bottom w:val="none" w:sz="0" w:space="0" w:color="auto"/>
        <w:right w:val="none" w:sz="0" w:space="0" w:color="auto"/>
      </w:divBdr>
    </w:div>
    <w:div w:id="651063902">
      <w:bodyDiv w:val="1"/>
      <w:marLeft w:val="0"/>
      <w:marRight w:val="0"/>
      <w:marTop w:val="0"/>
      <w:marBottom w:val="0"/>
      <w:divBdr>
        <w:top w:val="none" w:sz="0" w:space="0" w:color="auto"/>
        <w:left w:val="none" w:sz="0" w:space="0" w:color="auto"/>
        <w:bottom w:val="none" w:sz="0" w:space="0" w:color="auto"/>
        <w:right w:val="none" w:sz="0" w:space="0" w:color="auto"/>
      </w:divBdr>
    </w:div>
    <w:div w:id="653989013">
      <w:bodyDiv w:val="1"/>
      <w:marLeft w:val="0"/>
      <w:marRight w:val="0"/>
      <w:marTop w:val="0"/>
      <w:marBottom w:val="0"/>
      <w:divBdr>
        <w:top w:val="none" w:sz="0" w:space="0" w:color="auto"/>
        <w:left w:val="none" w:sz="0" w:space="0" w:color="auto"/>
        <w:bottom w:val="none" w:sz="0" w:space="0" w:color="auto"/>
        <w:right w:val="none" w:sz="0" w:space="0" w:color="auto"/>
      </w:divBdr>
    </w:div>
    <w:div w:id="654265229">
      <w:bodyDiv w:val="1"/>
      <w:marLeft w:val="0"/>
      <w:marRight w:val="0"/>
      <w:marTop w:val="0"/>
      <w:marBottom w:val="0"/>
      <w:divBdr>
        <w:top w:val="none" w:sz="0" w:space="0" w:color="auto"/>
        <w:left w:val="none" w:sz="0" w:space="0" w:color="auto"/>
        <w:bottom w:val="none" w:sz="0" w:space="0" w:color="auto"/>
        <w:right w:val="none" w:sz="0" w:space="0" w:color="auto"/>
      </w:divBdr>
    </w:div>
    <w:div w:id="655181091">
      <w:bodyDiv w:val="1"/>
      <w:marLeft w:val="0"/>
      <w:marRight w:val="0"/>
      <w:marTop w:val="0"/>
      <w:marBottom w:val="0"/>
      <w:divBdr>
        <w:top w:val="none" w:sz="0" w:space="0" w:color="auto"/>
        <w:left w:val="none" w:sz="0" w:space="0" w:color="auto"/>
        <w:bottom w:val="none" w:sz="0" w:space="0" w:color="auto"/>
        <w:right w:val="none" w:sz="0" w:space="0" w:color="auto"/>
      </w:divBdr>
    </w:div>
    <w:div w:id="655767442">
      <w:bodyDiv w:val="1"/>
      <w:marLeft w:val="0"/>
      <w:marRight w:val="0"/>
      <w:marTop w:val="0"/>
      <w:marBottom w:val="0"/>
      <w:divBdr>
        <w:top w:val="none" w:sz="0" w:space="0" w:color="auto"/>
        <w:left w:val="none" w:sz="0" w:space="0" w:color="auto"/>
        <w:bottom w:val="none" w:sz="0" w:space="0" w:color="auto"/>
        <w:right w:val="none" w:sz="0" w:space="0" w:color="auto"/>
      </w:divBdr>
    </w:div>
    <w:div w:id="656500459">
      <w:bodyDiv w:val="1"/>
      <w:marLeft w:val="0"/>
      <w:marRight w:val="0"/>
      <w:marTop w:val="0"/>
      <w:marBottom w:val="0"/>
      <w:divBdr>
        <w:top w:val="none" w:sz="0" w:space="0" w:color="auto"/>
        <w:left w:val="none" w:sz="0" w:space="0" w:color="auto"/>
        <w:bottom w:val="none" w:sz="0" w:space="0" w:color="auto"/>
        <w:right w:val="none" w:sz="0" w:space="0" w:color="auto"/>
      </w:divBdr>
    </w:div>
    <w:div w:id="656615377">
      <w:bodyDiv w:val="1"/>
      <w:marLeft w:val="0"/>
      <w:marRight w:val="0"/>
      <w:marTop w:val="0"/>
      <w:marBottom w:val="0"/>
      <w:divBdr>
        <w:top w:val="none" w:sz="0" w:space="0" w:color="auto"/>
        <w:left w:val="none" w:sz="0" w:space="0" w:color="auto"/>
        <w:bottom w:val="none" w:sz="0" w:space="0" w:color="auto"/>
        <w:right w:val="none" w:sz="0" w:space="0" w:color="auto"/>
      </w:divBdr>
    </w:div>
    <w:div w:id="657196780">
      <w:bodyDiv w:val="1"/>
      <w:marLeft w:val="0"/>
      <w:marRight w:val="0"/>
      <w:marTop w:val="0"/>
      <w:marBottom w:val="0"/>
      <w:divBdr>
        <w:top w:val="none" w:sz="0" w:space="0" w:color="auto"/>
        <w:left w:val="none" w:sz="0" w:space="0" w:color="auto"/>
        <w:bottom w:val="none" w:sz="0" w:space="0" w:color="auto"/>
        <w:right w:val="none" w:sz="0" w:space="0" w:color="auto"/>
      </w:divBdr>
    </w:div>
    <w:div w:id="657610352">
      <w:bodyDiv w:val="1"/>
      <w:marLeft w:val="0"/>
      <w:marRight w:val="0"/>
      <w:marTop w:val="0"/>
      <w:marBottom w:val="0"/>
      <w:divBdr>
        <w:top w:val="none" w:sz="0" w:space="0" w:color="auto"/>
        <w:left w:val="none" w:sz="0" w:space="0" w:color="auto"/>
        <w:bottom w:val="none" w:sz="0" w:space="0" w:color="auto"/>
        <w:right w:val="none" w:sz="0" w:space="0" w:color="auto"/>
      </w:divBdr>
    </w:div>
    <w:div w:id="657802389">
      <w:bodyDiv w:val="1"/>
      <w:marLeft w:val="0"/>
      <w:marRight w:val="0"/>
      <w:marTop w:val="0"/>
      <w:marBottom w:val="0"/>
      <w:divBdr>
        <w:top w:val="none" w:sz="0" w:space="0" w:color="auto"/>
        <w:left w:val="none" w:sz="0" w:space="0" w:color="auto"/>
        <w:bottom w:val="none" w:sz="0" w:space="0" w:color="auto"/>
        <w:right w:val="none" w:sz="0" w:space="0" w:color="auto"/>
      </w:divBdr>
    </w:div>
    <w:div w:id="657928420">
      <w:bodyDiv w:val="1"/>
      <w:marLeft w:val="0"/>
      <w:marRight w:val="0"/>
      <w:marTop w:val="0"/>
      <w:marBottom w:val="0"/>
      <w:divBdr>
        <w:top w:val="none" w:sz="0" w:space="0" w:color="auto"/>
        <w:left w:val="none" w:sz="0" w:space="0" w:color="auto"/>
        <w:bottom w:val="none" w:sz="0" w:space="0" w:color="auto"/>
        <w:right w:val="none" w:sz="0" w:space="0" w:color="auto"/>
      </w:divBdr>
    </w:div>
    <w:div w:id="658385448">
      <w:bodyDiv w:val="1"/>
      <w:marLeft w:val="0"/>
      <w:marRight w:val="0"/>
      <w:marTop w:val="0"/>
      <w:marBottom w:val="0"/>
      <w:divBdr>
        <w:top w:val="none" w:sz="0" w:space="0" w:color="auto"/>
        <w:left w:val="none" w:sz="0" w:space="0" w:color="auto"/>
        <w:bottom w:val="none" w:sz="0" w:space="0" w:color="auto"/>
        <w:right w:val="none" w:sz="0" w:space="0" w:color="auto"/>
      </w:divBdr>
    </w:div>
    <w:div w:id="660425046">
      <w:bodyDiv w:val="1"/>
      <w:marLeft w:val="0"/>
      <w:marRight w:val="0"/>
      <w:marTop w:val="0"/>
      <w:marBottom w:val="0"/>
      <w:divBdr>
        <w:top w:val="none" w:sz="0" w:space="0" w:color="auto"/>
        <w:left w:val="none" w:sz="0" w:space="0" w:color="auto"/>
        <w:bottom w:val="none" w:sz="0" w:space="0" w:color="auto"/>
        <w:right w:val="none" w:sz="0" w:space="0" w:color="auto"/>
      </w:divBdr>
    </w:div>
    <w:div w:id="660616401">
      <w:bodyDiv w:val="1"/>
      <w:marLeft w:val="0"/>
      <w:marRight w:val="0"/>
      <w:marTop w:val="0"/>
      <w:marBottom w:val="0"/>
      <w:divBdr>
        <w:top w:val="none" w:sz="0" w:space="0" w:color="auto"/>
        <w:left w:val="none" w:sz="0" w:space="0" w:color="auto"/>
        <w:bottom w:val="none" w:sz="0" w:space="0" w:color="auto"/>
        <w:right w:val="none" w:sz="0" w:space="0" w:color="auto"/>
      </w:divBdr>
    </w:div>
    <w:div w:id="660742099">
      <w:bodyDiv w:val="1"/>
      <w:marLeft w:val="0"/>
      <w:marRight w:val="0"/>
      <w:marTop w:val="0"/>
      <w:marBottom w:val="0"/>
      <w:divBdr>
        <w:top w:val="none" w:sz="0" w:space="0" w:color="auto"/>
        <w:left w:val="none" w:sz="0" w:space="0" w:color="auto"/>
        <w:bottom w:val="none" w:sz="0" w:space="0" w:color="auto"/>
        <w:right w:val="none" w:sz="0" w:space="0" w:color="auto"/>
      </w:divBdr>
    </w:div>
    <w:div w:id="661545243">
      <w:bodyDiv w:val="1"/>
      <w:marLeft w:val="0"/>
      <w:marRight w:val="0"/>
      <w:marTop w:val="0"/>
      <w:marBottom w:val="0"/>
      <w:divBdr>
        <w:top w:val="none" w:sz="0" w:space="0" w:color="auto"/>
        <w:left w:val="none" w:sz="0" w:space="0" w:color="auto"/>
        <w:bottom w:val="none" w:sz="0" w:space="0" w:color="auto"/>
        <w:right w:val="none" w:sz="0" w:space="0" w:color="auto"/>
      </w:divBdr>
    </w:div>
    <w:div w:id="662199886">
      <w:bodyDiv w:val="1"/>
      <w:marLeft w:val="0"/>
      <w:marRight w:val="0"/>
      <w:marTop w:val="0"/>
      <w:marBottom w:val="0"/>
      <w:divBdr>
        <w:top w:val="none" w:sz="0" w:space="0" w:color="auto"/>
        <w:left w:val="none" w:sz="0" w:space="0" w:color="auto"/>
        <w:bottom w:val="none" w:sz="0" w:space="0" w:color="auto"/>
        <w:right w:val="none" w:sz="0" w:space="0" w:color="auto"/>
      </w:divBdr>
    </w:div>
    <w:div w:id="662701558">
      <w:bodyDiv w:val="1"/>
      <w:marLeft w:val="0"/>
      <w:marRight w:val="0"/>
      <w:marTop w:val="0"/>
      <w:marBottom w:val="0"/>
      <w:divBdr>
        <w:top w:val="none" w:sz="0" w:space="0" w:color="auto"/>
        <w:left w:val="none" w:sz="0" w:space="0" w:color="auto"/>
        <w:bottom w:val="none" w:sz="0" w:space="0" w:color="auto"/>
        <w:right w:val="none" w:sz="0" w:space="0" w:color="auto"/>
      </w:divBdr>
    </w:div>
    <w:div w:id="663357569">
      <w:bodyDiv w:val="1"/>
      <w:marLeft w:val="0"/>
      <w:marRight w:val="0"/>
      <w:marTop w:val="0"/>
      <w:marBottom w:val="0"/>
      <w:divBdr>
        <w:top w:val="none" w:sz="0" w:space="0" w:color="auto"/>
        <w:left w:val="none" w:sz="0" w:space="0" w:color="auto"/>
        <w:bottom w:val="none" w:sz="0" w:space="0" w:color="auto"/>
        <w:right w:val="none" w:sz="0" w:space="0" w:color="auto"/>
      </w:divBdr>
    </w:div>
    <w:div w:id="663432777">
      <w:bodyDiv w:val="1"/>
      <w:marLeft w:val="0"/>
      <w:marRight w:val="0"/>
      <w:marTop w:val="0"/>
      <w:marBottom w:val="0"/>
      <w:divBdr>
        <w:top w:val="none" w:sz="0" w:space="0" w:color="auto"/>
        <w:left w:val="none" w:sz="0" w:space="0" w:color="auto"/>
        <w:bottom w:val="none" w:sz="0" w:space="0" w:color="auto"/>
        <w:right w:val="none" w:sz="0" w:space="0" w:color="auto"/>
      </w:divBdr>
    </w:div>
    <w:div w:id="663702931">
      <w:bodyDiv w:val="1"/>
      <w:marLeft w:val="0"/>
      <w:marRight w:val="0"/>
      <w:marTop w:val="0"/>
      <w:marBottom w:val="0"/>
      <w:divBdr>
        <w:top w:val="none" w:sz="0" w:space="0" w:color="auto"/>
        <w:left w:val="none" w:sz="0" w:space="0" w:color="auto"/>
        <w:bottom w:val="none" w:sz="0" w:space="0" w:color="auto"/>
        <w:right w:val="none" w:sz="0" w:space="0" w:color="auto"/>
      </w:divBdr>
    </w:div>
    <w:div w:id="665208716">
      <w:bodyDiv w:val="1"/>
      <w:marLeft w:val="0"/>
      <w:marRight w:val="0"/>
      <w:marTop w:val="0"/>
      <w:marBottom w:val="0"/>
      <w:divBdr>
        <w:top w:val="none" w:sz="0" w:space="0" w:color="auto"/>
        <w:left w:val="none" w:sz="0" w:space="0" w:color="auto"/>
        <w:bottom w:val="none" w:sz="0" w:space="0" w:color="auto"/>
        <w:right w:val="none" w:sz="0" w:space="0" w:color="auto"/>
      </w:divBdr>
    </w:div>
    <w:div w:id="666205099">
      <w:bodyDiv w:val="1"/>
      <w:marLeft w:val="0"/>
      <w:marRight w:val="0"/>
      <w:marTop w:val="0"/>
      <w:marBottom w:val="0"/>
      <w:divBdr>
        <w:top w:val="none" w:sz="0" w:space="0" w:color="auto"/>
        <w:left w:val="none" w:sz="0" w:space="0" w:color="auto"/>
        <w:bottom w:val="none" w:sz="0" w:space="0" w:color="auto"/>
        <w:right w:val="none" w:sz="0" w:space="0" w:color="auto"/>
      </w:divBdr>
    </w:div>
    <w:div w:id="667488091">
      <w:bodyDiv w:val="1"/>
      <w:marLeft w:val="0"/>
      <w:marRight w:val="0"/>
      <w:marTop w:val="0"/>
      <w:marBottom w:val="0"/>
      <w:divBdr>
        <w:top w:val="none" w:sz="0" w:space="0" w:color="auto"/>
        <w:left w:val="none" w:sz="0" w:space="0" w:color="auto"/>
        <w:bottom w:val="none" w:sz="0" w:space="0" w:color="auto"/>
        <w:right w:val="none" w:sz="0" w:space="0" w:color="auto"/>
      </w:divBdr>
    </w:div>
    <w:div w:id="667563658">
      <w:bodyDiv w:val="1"/>
      <w:marLeft w:val="0"/>
      <w:marRight w:val="0"/>
      <w:marTop w:val="0"/>
      <w:marBottom w:val="0"/>
      <w:divBdr>
        <w:top w:val="none" w:sz="0" w:space="0" w:color="auto"/>
        <w:left w:val="none" w:sz="0" w:space="0" w:color="auto"/>
        <w:bottom w:val="none" w:sz="0" w:space="0" w:color="auto"/>
        <w:right w:val="none" w:sz="0" w:space="0" w:color="auto"/>
      </w:divBdr>
    </w:div>
    <w:div w:id="668169612">
      <w:bodyDiv w:val="1"/>
      <w:marLeft w:val="0"/>
      <w:marRight w:val="0"/>
      <w:marTop w:val="0"/>
      <w:marBottom w:val="0"/>
      <w:divBdr>
        <w:top w:val="none" w:sz="0" w:space="0" w:color="auto"/>
        <w:left w:val="none" w:sz="0" w:space="0" w:color="auto"/>
        <w:bottom w:val="none" w:sz="0" w:space="0" w:color="auto"/>
        <w:right w:val="none" w:sz="0" w:space="0" w:color="auto"/>
      </w:divBdr>
    </w:div>
    <w:div w:id="671298326">
      <w:bodyDiv w:val="1"/>
      <w:marLeft w:val="0"/>
      <w:marRight w:val="0"/>
      <w:marTop w:val="0"/>
      <w:marBottom w:val="0"/>
      <w:divBdr>
        <w:top w:val="none" w:sz="0" w:space="0" w:color="auto"/>
        <w:left w:val="none" w:sz="0" w:space="0" w:color="auto"/>
        <w:bottom w:val="none" w:sz="0" w:space="0" w:color="auto"/>
        <w:right w:val="none" w:sz="0" w:space="0" w:color="auto"/>
      </w:divBdr>
    </w:div>
    <w:div w:id="671369548">
      <w:bodyDiv w:val="1"/>
      <w:marLeft w:val="0"/>
      <w:marRight w:val="0"/>
      <w:marTop w:val="0"/>
      <w:marBottom w:val="0"/>
      <w:divBdr>
        <w:top w:val="none" w:sz="0" w:space="0" w:color="auto"/>
        <w:left w:val="none" w:sz="0" w:space="0" w:color="auto"/>
        <w:bottom w:val="none" w:sz="0" w:space="0" w:color="auto"/>
        <w:right w:val="none" w:sz="0" w:space="0" w:color="auto"/>
      </w:divBdr>
    </w:div>
    <w:div w:id="671683326">
      <w:bodyDiv w:val="1"/>
      <w:marLeft w:val="0"/>
      <w:marRight w:val="0"/>
      <w:marTop w:val="0"/>
      <w:marBottom w:val="0"/>
      <w:divBdr>
        <w:top w:val="none" w:sz="0" w:space="0" w:color="auto"/>
        <w:left w:val="none" w:sz="0" w:space="0" w:color="auto"/>
        <w:bottom w:val="none" w:sz="0" w:space="0" w:color="auto"/>
        <w:right w:val="none" w:sz="0" w:space="0" w:color="auto"/>
      </w:divBdr>
    </w:div>
    <w:div w:id="671763715">
      <w:bodyDiv w:val="1"/>
      <w:marLeft w:val="0"/>
      <w:marRight w:val="0"/>
      <w:marTop w:val="0"/>
      <w:marBottom w:val="0"/>
      <w:divBdr>
        <w:top w:val="none" w:sz="0" w:space="0" w:color="auto"/>
        <w:left w:val="none" w:sz="0" w:space="0" w:color="auto"/>
        <w:bottom w:val="none" w:sz="0" w:space="0" w:color="auto"/>
        <w:right w:val="none" w:sz="0" w:space="0" w:color="auto"/>
      </w:divBdr>
    </w:div>
    <w:div w:id="673193501">
      <w:bodyDiv w:val="1"/>
      <w:marLeft w:val="0"/>
      <w:marRight w:val="0"/>
      <w:marTop w:val="0"/>
      <w:marBottom w:val="0"/>
      <w:divBdr>
        <w:top w:val="none" w:sz="0" w:space="0" w:color="auto"/>
        <w:left w:val="none" w:sz="0" w:space="0" w:color="auto"/>
        <w:bottom w:val="none" w:sz="0" w:space="0" w:color="auto"/>
        <w:right w:val="none" w:sz="0" w:space="0" w:color="auto"/>
      </w:divBdr>
    </w:div>
    <w:div w:id="675158390">
      <w:bodyDiv w:val="1"/>
      <w:marLeft w:val="0"/>
      <w:marRight w:val="0"/>
      <w:marTop w:val="0"/>
      <w:marBottom w:val="0"/>
      <w:divBdr>
        <w:top w:val="none" w:sz="0" w:space="0" w:color="auto"/>
        <w:left w:val="none" w:sz="0" w:space="0" w:color="auto"/>
        <w:bottom w:val="none" w:sz="0" w:space="0" w:color="auto"/>
        <w:right w:val="none" w:sz="0" w:space="0" w:color="auto"/>
      </w:divBdr>
    </w:div>
    <w:div w:id="675349460">
      <w:bodyDiv w:val="1"/>
      <w:marLeft w:val="0"/>
      <w:marRight w:val="0"/>
      <w:marTop w:val="0"/>
      <w:marBottom w:val="0"/>
      <w:divBdr>
        <w:top w:val="none" w:sz="0" w:space="0" w:color="auto"/>
        <w:left w:val="none" w:sz="0" w:space="0" w:color="auto"/>
        <w:bottom w:val="none" w:sz="0" w:space="0" w:color="auto"/>
        <w:right w:val="none" w:sz="0" w:space="0" w:color="auto"/>
      </w:divBdr>
    </w:div>
    <w:div w:id="675767073">
      <w:bodyDiv w:val="1"/>
      <w:marLeft w:val="0"/>
      <w:marRight w:val="0"/>
      <w:marTop w:val="0"/>
      <w:marBottom w:val="0"/>
      <w:divBdr>
        <w:top w:val="none" w:sz="0" w:space="0" w:color="auto"/>
        <w:left w:val="none" w:sz="0" w:space="0" w:color="auto"/>
        <w:bottom w:val="none" w:sz="0" w:space="0" w:color="auto"/>
        <w:right w:val="none" w:sz="0" w:space="0" w:color="auto"/>
      </w:divBdr>
    </w:div>
    <w:div w:id="675813865">
      <w:bodyDiv w:val="1"/>
      <w:marLeft w:val="0"/>
      <w:marRight w:val="0"/>
      <w:marTop w:val="0"/>
      <w:marBottom w:val="0"/>
      <w:divBdr>
        <w:top w:val="none" w:sz="0" w:space="0" w:color="auto"/>
        <w:left w:val="none" w:sz="0" w:space="0" w:color="auto"/>
        <w:bottom w:val="none" w:sz="0" w:space="0" w:color="auto"/>
        <w:right w:val="none" w:sz="0" w:space="0" w:color="auto"/>
      </w:divBdr>
    </w:div>
    <w:div w:id="676614465">
      <w:bodyDiv w:val="1"/>
      <w:marLeft w:val="0"/>
      <w:marRight w:val="0"/>
      <w:marTop w:val="0"/>
      <w:marBottom w:val="0"/>
      <w:divBdr>
        <w:top w:val="none" w:sz="0" w:space="0" w:color="auto"/>
        <w:left w:val="none" w:sz="0" w:space="0" w:color="auto"/>
        <w:bottom w:val="none" w:sz="0" w:space="0" w:color="auto"/>
        <w:right w:val="none" w:sz="0" w:space="0" w:color="auto"/>
      </w:divBdr>
    </w:div>
    <w:div w:id="676620354">
      <w:bodyDiv w:val="1"/>
      <w:marLeft w:val="0"/>
      <w:marRight w:val="0"/>
      <w:marTop w:val="0"/>
      <w:marBottom w:val="0"/>
      <w:divBdr>
        <w:top w:val="none" w:sz="0" w:space="0" w:color="auto"/>
        <w:left w:val="none" w:sz="0" w:space="0" w:color="auto"/>
        <w:bottom w:val="none" w:sz="0" w:space="0" w:color="auto"/>
        <w:right w:val="none" w:sz="0" w:space="0" w:color="auto"/>
      </w:divBdr>
    </w:div>
    <w:div w:id="676931195">
      <w:bodyDiv w:val="1"/>
      <w:marLeft w:val="0"/>
      <w:marRight w:val="0"/>
      <w:marTop w:val="0"/>
      <w:marBottom w:val="0"/>
      <w:divBdr>
        <w:top w:val="none" w:sz="0" w:space="0" w:color="auto"/>
        <w:left w:val="none" w:sz="0" w:space="0" w:color="auto"/>
        <w:bottom w:val="none" w:sz="0" w:space="0" w:color="auto"/>
        <w:right w:val="none" w:sz="0" w:space="0" w:color="auto"/>
      </w:divBdr>
    </w:div>
    <w:div w:id="677196952">
      <w:bodyDiv w:val="1"/>
      <w:marLeft w:val="0"/>
      <w:marRight w:val="0"/>
      <w:marTop w:val="0"/>
      <w:marBottom w:val="0"/>
      <w:divBdr>
        <w:top w:val="none" w:sz="0" w:space="0" w:color="auto"/>
        <w:left w:val="none" w:sz="0" w:space="0" w:color="auto"/>
        <w:bottom w:val="none" w:sz="0" w:space="0" w:color="auto"/>
        <w:right w:val="none" w:sz="0" w:space="0" w:color="auto"/>
      </w:divBdr>
    </w:div>
    <w:div w:id="678779893">
      <w:bodyDiv w:val="1"/>
      <w:marLeft w:val="0"/>
      <w:marRight w:val="0"/>
      <w:marTop w:val="0"/>
      <w:marBottom w:val="0"/>
      <w:divBdr>
        <w:top w:val="none" w:sz="0" w:space="0" w:color="auto"/>
        <w:left w:val="none" w:sz="0" w:space="0" w:color="auto"/>
        <w:bottom w:val="none" w:sz="0" w:space="0" w:color="auto"/>
        <w:right w:val="none" w:sz="0" w:space="0" w:color="auto"/>
      </w:divBdr>
    </w:div>
    <w:div w:id="679241082">
      <w:bodyDiv w:val="1"/>
      <w:marLeft w:val="0"/>
      <w:marRight w:val="0"/>
      <w:marTop w:val="0"/>
      <w:marBottom w:val="0"/>
      <w:divBdr>
        <w:top w:val="none" w:sz="0" w:space="0" w:color="auto"/>
        <w:left w:val="none" w:sz="0" w:space="0" w:color="auto"/>
        <w:bottom w:val="none" w:sz="0" w:space="0" w:color="auto"/>
        <w:right w:val="none" w:sz="0" w:space="0" w:color="auto"/>
      </w:divBdr>
    </w:div>
    <w:div w:id="679359804">
      <w:bodyDiv w:val="1"/>
      <w:marLeft w:val="0"/>
      <w:marRight w:val="0"/>
      <w:marTop w:val="0"/>
      <w:marBottom w:val="0"/>
      <w:divBdr>
        <w:top w:val="none" w:sz="0" w:space="0" w:color="auto"/>
        <w:left w:val="none" w:sz="0" w:space="0" w:color="auto"/>
        <w:bottom w:val="none" w:sz="0" w:space="0" w:color="auto"/>
        <w:right w:val="none" w:sz="0" w:space="0" w:color="auto"/>
      </w:divBdr>
    </w:div>
    <w:div w:id="681853884">
      <w:bodyDiv w:val="1"/>
      <w:marLeft w:val="0"/>
      <w:marRight w:val="0"/>
      <w:marTop w:val="0"/>
      <w:marBottom w:val="0"/>
      <w:divBdr>
        <w:top w:val="none" w:sz="0" w:space="0" w:color="auto"/>
        <w:left w:val="none" w:sz="0" w:space="0" w:color="auto"/>
        <w:bottom w:val="none" w:sz="0" w:space="0" w:color="auto"/>
        <w:right w:val="none" w:sz="0" w:space="0" w:color="auto"/>
      </w:divBdr>
    </w:div>
    <w:div w:id="682821553">
      <w:bodyDiv w:val="1"/>
      <w:marLeft w:val="0"/>
      <w:marRight w:val="0"/>
      <w:marTop w:val="0"/>
      <w:marBottom w:val="0"/>
      <w:divBdr>
        <w:top w:val="none" w:sz="0" w:space="0" w:color="auto"/>
        <w:left w:val="none" w:sz="0" w:space="0" w:color="auto"/>
        <w:bottom w:val="none" w:sz="0" w:space="0" w:color="auto"/>
        <w:right w:val="none" w:sz="0" w:space="0" w:color="auto"/>
      </w:divBdr>
    </w:div>
    <w:div w:id="683018746">
      <w:bodyDiv w:val="1"/>
      <w:marLeft w:val="0"/>
      <w:marRight w:val="0"/>
      <w:marTop w:val="0"/>
      <w:marBottom w:val="0"/>
      <w:divBdr>
        <w:top w:val="none" w:sz="0" w:space="0" w:color="auto"/>
        <w:left w:val="none" w:sz="0" w:space="0" w:color="auto"/>
        <w:bottom w:val="none" w:sz="0" w:space="0" w:color="auto"/>
        <w:right w:val="none" w:sz="0" w:space="0" w:color="auto"/>
      </w:divBdr>
    </w:div>
    <w:div w:id="683945609">
      <w:bodyDiv w:val="1"/>
      <w:marLeft w:val="0"/>
      <w:marRight w:val="0"/>
      <w:marTop w:val="0"/>
      <w:marBottom w:val="0"/>
      <w:divBdr>
        <w:top w:val="none" w:sz="0" w:space="0" w:color="auto"/>
        <w:left w:val="none" w:sz="0" w:space="0" w:color="auto"/>
        <w:bottom w:val="none" w:sz="0" w:space="0" w:color="auto"/>
        <w:right w:val="none" w:sz="0" w:space="0" w:color="auto"/>
      </w:divBdr>
    </w:div>
    <w:div w:id="684214995">
      <w:bodyDiv w:val="1"/>
      <w:marLeft w:val="0"/>
      <w:marRight w:val="0"/>
      <w:marTop w:val="0"/>
      <w:marBottom w:val="0"/>
      <w:divBdr>
        <w:top w:val="none" w:sz="0" w:space="0" w:color="auto"/>
        <w:left w:val="none" w:sz="0" w:space="0" w:color="auto"/>
        <w:bottom w:val="none" w:sz="0" w:space="0" w:color="auto"/>
        <w:right w:val="none" w:sz="0" w:space="0" w:color="auto"/>
      </w:divBdr>
    </w:div>
    <w:div w:id="684403073">
      <w:bodyDiv w:val="1"/>
      <w:marLeft w:val="0"/>
      <w:marRight w:val="0"/>
      <w:marTop w:val="0"/>
      <w:marBottom w:val="0"/>
      <w:divBdr>
        <w:top w:val="none" w:sz="0" w:space="0" w:color="auto"/>
        <w:left w:val="none" w:sz="0" w:space="0" w:color="auto"/>
        <w:bottom w:val="none" w:sz="0" w:space="0" w:color="auto"/>
        <w:right w:val="none" w:sz="0" w:space="0" w:color="auto"/>
      </w:divBdr>
    </w:div>
    <w:div w:id="684986770">
      <w:bodyDiv w:val="1"/>
      <w:marLeft w:val="0"/>
      <w:marRight w:val="0"/>
      <w:marTop w:val="0"/>
      <w:marBottom w:val="0"/>
      <w:divBdr>
        <w:top w:val="none" w:sz="0" w:space="0" w:color="auto"/>
        <w:left w:val="none" w:sz="0" w:space="0" w:color="auto"/>
        <w:bottom w:val="none" w:sz="0" w:space="0" w:color="auto"/>
        <w:right w:val="none" w:sz="0" w:space="0" w:color="auto"/>
      </w:divBdr>
    </w:div>
    <w:div w:id="685449799">
      <w:bodyDiv w:val="1"/>
      <w:marLeft w:val="0"/>
      <w:marRight w:val="0"/>
      <w:marTop w:val="0"/>
      <w:marBottom w:val="0"/>
      <w:divBdr>
        <w:top w:val="none" w:sz="0" w:space="0" w:color="auto"/>
        <w:left w:val="none" w:sz="0" w:space="0" w:color="auto"/>
        <w:bottom w:val="none" w:sz="0" w:space="0" w:color="auto"/>
        <w:right w:val="none" w:sz="0" w:space="0" w:color="auto"/>
      </w:divBdr>
    </w:div>
    <w:div w:id="685668362">
      <w:bodyDiv w:val="1"/>
      <w:marLeft w:val="0"/>
      <w:marRight w:val="0"/>
      <w:marTop w:val="0"/>
      <w:marBottom w:val="0"/>
      <w:divBdr>
        <w:top w:val="none" w:sz="0" w:space="0" w:color="auto"/>
        <w:left w:val="none" w:sz="0" w:space="0" w:color="auto"/>
        <w:bottom w:val="none" w:sz="0" w:space="0" w:color="auto"/>
        <w:right w:val="none" w:sz="0" w:space="0" w:color="auto"/>
      </w:divBdr>
    </w:div>
    <w:div w:id="686181435">
      <w:bodyDiv w:val="1"/>
      <w:marLeft w:val="0"/>
      <w:marRight w:val="0"/>
      <w:marTop w:val="0"/>
      <w:marBottom w:val="0"/>
      <w:divBdr>
        <w:top w:val="none" w:sz="0" w:space="0" w:color="auto"/>
        <w:left w:val="none" w:sz="0" w:space="0" w:color="auto"/>
        <w:bottom w:val="none" w:sz="0" w:space="0" w:color="auto"/>
        <w:right w:val="none" w:sz="0" w:space="0" w:color="auto"/>
      </w:divBdr>
    </w:div>
    <w:div w:id="686366847">
      <w:bodyDiv w:val="1"/>
      <w:marLeft w:val="0"/>
      <w:marRight w:val="0"/>
      <w:marTop w:val="0"/>
      <w:marBottom w:val="0"/>
      <w:divBdr>
        <w:top w:val="none" w:sz="0" w:space="0" w:color="auto"/>
        <w:left w:val="none" w:sz="0" w:space="0" w:color="auto"/>
        <w:bottom w:val="none" w:sz="0" w:space="0" w:color="auto"/>
        <w:right w:val="none" w:sz="0" w:space="0" w:color="auto"/>
      </w:divBdr>
    </w:div>
    <w:div w:id="687948790">
      <w:bodyDiv w:val="1"/>
      <w:marLeft w:val="0"/>
      <w:marRight w:val="0"/>
      <w:marTop w:val="0"/>
      <w:marBottom w:val="0"/>
      <w:divBdr>
        <w:top w:val="none" w:sz="0" w:space="0" w:color="auto"/>
        <w:left w:val="none" w:sz="0" w:space="0" w:color="auto"/>
        <w:bottom w:val="none" w:sz="0" w:space="0" w:color="auto"/>
        <w:right w:val="none" w:sz="0" w:space="0" w:color="auto"/>
      </w:divBdr>
    </w:div>
    <w:div w:id="689189059">
      <w:bodyDiv w:val="1"/>
      <w:marLeft w:val="0"/>
      <w:marRight w:val="0"/>
      <w:marTop w:val="0"/>
      <w:marBottom w:val="0"/>
      <w:divBdr>
        <w:top w:val="none" w:sz="0" w:space="0" w:color="auto"/>
        <w:left w:val="none" w:sz="0" w:space="0" w:color="auto"/>
        <w:bottom w:val="none" w:sz="0" w:space="0" w:color="auto"/>
        <w:right w:val="none" w:sz="0" w:space="0" w:color="auto"/>
      </w:divBdr>
    </w:div>
    <w:div w:id="689526758">
      <w:bodyDiv w:val="1"/>
      <w:marLeft w:val="0"/>
      <w:marRight w:val="0"/>
      <w:marTop w:val="0"/>
      <w:marBottom w:val="0"/>
      <w:divBdr>
        <w:top w:val="none" w:sz="0" w:space="0" w:color="auto"/>
        <w:left w:val="none" w:sz="0" w:space="0" w:color="auto"/>
        <w:bottom w:val="none" w:sz="0" w:space="0" w:color="auto"/>
        <w:right w:val="none" w:sz="0" w:space="0" w:color="auto"/>
      </w:divBdr>
    </w:div>
    <w:div w:id="689573729">
      <w:bodyDiv w:val="1"/>
      <w:marLeft w:val="0"/>
      <w:marRight w:val="0"/>
      <w:marTop w:val="0"/>
      <w:marBottom w:val="0"/>
      <w:divBdr>
        <w:top w:val="none" w:sz="0" w:space="0" w:color="auto"/>
        <w:left w:val="none" w:sz="0" w:space="0" w:color="auto"/>
        <w:bottom w:val="none" w:sz="0" w:space="0" w:color="auto"/>
        <w:right w:val="none" w:sz="0" w:space="0" w:color="auto"/>
      </w:divBdr>
    </w:div>
    <w:div w:id="689575354">
      <w:bodyDiv w:val="1"/>
      <w:marLeft w:val="0"/>
      <w:marRight w:val="0"/>
      <w:marTop w:val="0"/>
      <w:marBottom w:val="0"/>
      <w:divBdr>
        <w:top w:val="none" w:sz="0" w:space="0" w:color="auto"/>
        <w:left w:val="none" w:sz="0" w:space="0" w:color="auto"/>
        <w:bottom w:val="none" w:sz="0" w:space="0" w:color="auto"/>
        <w:right w:val="none" w:sz="0" w:space="0" w:color="auto"/>
      </w:divBdr>
    </w:div>
    <w:div w:id="692269869">
      <w:bodyDiv w:val="1"/>
      <w:marLeft w:val="0"/>
      <w:marRight w:val="0"/>
      <w:marTop w:val="0"/>
      <w:marBottom w:val="0"/>
      <w:divBdr>
        <w:top w:val="none" w:sz="0" w:space="0" w:color="auto"/>
        <w:left w:val="none" w:sz="0" w:space="0" w:color="auto"/>
        <w:bottom w:val="none" w:sz="0" w:space="0" w:color="auto"/>
        <w:right w:val="none" w:sz="0" w:space="0" w:color="auto"/>
      </w:divBdr>
    </w:div>
    <w:div w:id="692611538">
      <w:bodyDiv w:val="1"/>
      <w:marLeft w:val="0"/>
      <w:marRight w:val="0"/>
      <w:marTop w:val="0"/>
      <w:marBottom w:val="0"/>
      <w:divBdr>
        <w:top w:val="none" w:sz="0" w:space="0" w:color="auto"/>
        <w:left w:val="none" w:sz="0" w:space="0" w:color="auto"/>
        <w:bottom w:val="none" w:sz="0" w:space="0" w:color="auto"/>
        <w:right w:val="none" w:sz="0" w:space="0" w:color="auto"/>
      </w:divBdr>
    </w:div>
    <w:div w:id="693115424">
      <w:bodyDiv w:val="1"/>
      <w:marLeft w:val="0"/>
      <w:marRight w:val="0"/>
      <w:marTop w:val="0"/>
      <w:marBottom w:val="0"/>
      <w:divBdr>
        <w:top w:val="none" w:sz="0" w:space="0" w:color="auto"/>
        <w:left w:val="none" w:sz="0" w:space="0" w:color="auto"/>
        <w:bottom w:val="none" w:sz="0" w:space="0" w:color="auto"/>
        <w:right w:val="none" w:sz="0" w:space="0" w:color="auto"/>
      </w:divBdr>
    </w:div>
    <w:div w:id="693313306">
      <w:bodyDiv w:val="1"/>
      <w:marLeft w:val="0"/>
      <w:marRight w:val="0"/>
      <w:marTop w:val="0"/>
      <w:marBottom w:val="0"/>
      <w:divBdr>
        <w:top w:val="none" w:sz="0" w:space="0" w:color="auto"/>
        <w:left w:val="none" w:sz="0" w:space="0" w:color="auto"/>
        <w:bottom w:val="none" w:sz="0" w:space="0" w:color="auto"/>
        <w:right w:val="none" w:sz="0" w:space="0" w:color="auto"/>
      </w:divBdr>
    </w:div>
    <w:div w:id="693657870">
      <w:bodyDiv w:val="1"/>
      <w:marLeft w:val="0"/>
      <w:marRight w:val="0"/>
      <w:marTop w:val="0"/>
      <w:marBottom w:val="0"/>
      <w:divBdr>
        <w:top w:val="none" w:sz="0" w:space="0" w:color="auto"/>
        <w:left w:val="none" w:sz="0" w:space="0" w:color="auto"/>
        <w:bottom w:val="none" w:sz="0" w:space="0" w:color="auto"/>
        <w:right w:val="none" w:sz="0" w:space="0" w:color="auto"/>
      </w:divBdr>
    </w:div>
    <w:div w:id="695236887">
      <w:bodyDiv w:val="1"/>
      <w:marLeft w:val="0"/>
      <w:marRight w:val="0"/>
      <w:marTop w:val="0"/>
      <w:marBottom w:val="0"/>
      <w:divBdr>
        <w:top w:val="none" w:sz="0" w:space="0" w:color="auto"/>
        <w:left w:val="none" w:sz="0" w:space="0" w:color="auto"/>
        <w:bottom w:val="none" w:sz="0" w:space="0" w:color="auto"/>
        <w:right w:val="none" w:sz="0" w:space="0" w:color="auto"/>
      </w:divBdr>
    </w:div>
    <w:div w:id="697007823">
      <w:bodyDiv w:val="1"/>
      <w:marLeft w:val="0"/>
      <w:marRight w:val="0"/>
      <w:marTop w:val="0"/>
      <w:marBottom w:val="0"/>
      <w:divBdr>
        <w:top w:val="none" w:sz="0" w:space="0" w:color="auto"/>
        <w:left w:val="none" w:sz="0" w:space="0" w:color="auto"/>
        <w:bottom w:val="none" w:sz="0" w:space="0" w:color="auto"/>
        <w:right w:val="none" w:sz="0" w:space="0" w:color="auto"/>
      </w:divBdr>
    </w:div>
    <w:div w:id="697658774">
      <w:bodyDiv w:val="1"/>
      <w:marLeft w:val="0"/>
      <w:marRight w:val="0"/>
      <w:marTop w:val="0"/>
      <w:marBottom w:val="0"/>
      <w:divBdr>
        <w:top w:val="none" w:sz="0" w:space="0" w:color="auto"/>
        <w:left w:val="none" w:sz="0" w:space="0" w:color="auto"/>
        <w:bottom w:val="none" w:sz="0" w:space="0" w:color="auto"/>
        <w:right w:val="none" w:sz="0" w:space="0" w:color="auto"/>
      </w:divBdr>
    </w:div>
    <w:div w:id="698512470">
      <w:bodyDiv w:val="1"/>
      <w:marLeft w:val="0"/>
      <w:marRight w:val="0"/>
      <w:marTop w:val="0"/>
      <w:marBottom w:val="0"/>
      <w:divBdr>
        <w:top w:val="none" w:sz="0" w:space="0" w:color="auto"/>
        <w:left w:val="none" w:sz="0" w:space="0" w:color="auto"/>
        <w:bottom w:val="none" w:sz="0" w:space="0" w:color="auto"/>
        <w:right w:val="none" w:sz="0" w:space="0" w:color="auto"/>
      </w:divBdr>
    </w:div>
    <w:div w:id="698890861">
      <w:bodyDiv w:val="1"/>
      <w:marLeft w:val="0"/>
      <w:marRight w:val="0"/>
      <w:marTop w:val="0"/>
      <w:marBottom w:val="0"/>
      <w:divBdr>
        <w:top w:val="none" w:sz="0" w:space="0" w:color="auto"/>
        <w:left w:val="none" w:sz="0" w:space="0" w:color="auto"/>
        <w:bottom w:val="none" w:sz="0" w:space="0" w:color="auto"/>
        <w:right w:val="none" w:sz="0" w:space="0" w:color="auto"/>
      </w:divBdr>
    </w:div>
    <w:div w:id="698971845">
      <w:bodyDiv w:val="1"/>
      <w:marLeft w:val="0"/>
      <w:marRight w:val="0"/>
      <w:marTop w:val="0"/>
      <w:marBottom w:val="0"/>
      <w:divBdr>
        <w:top w:val="none" w:sz="0" w:space="0" w:color="auto"/>
        <w:left w:val="none" w:sz="0" w:space="0" w:color="auto"/>
        <w:bottom w:val="none" w:sz="0" w:space="0" w:color="auto"/>
        <w:right w:val="none" w:sz="0" w:space="0" w:color="auto"/>
      </w:divBdr>
    </w:div>
    <w:div w:id="699740920">
      <w:bodyDiv w:val="1"/>
      <w:marLeft w:val="0"/>
      <w:marRight w:val="0"/>
      <w:marTop w:val="0"/>
      <w:marBottom w:val="0"/>
      <w:divBdr>
        <w:top w:val="none" w:sz="0" w:space="0" w:color="auto"/>
        <w:left w:val="none" w:sz="0" w:space="0" w:color="auto"/>
        <w:bottom w:val="none" w:sz="0" w:space="0" w:color="auto"/>
        <w:right w:val="none" w:sz="0" w:space="0" w:color="auto"/>
      </w:divBdr>
    </w:div>
    <w:div w:id="700205444">
      <w:bodyDiv w:val="1"/>
      <w:marLeft w:val="0"/>
      <w:marRight w:val="0"/>
      <w:marTop w:val="0"/>
      <w:marBottom w:val="0"/>
      <w:divBdr>
        <w:top w:val="none" w:sz="0" w:space="0" w:color="auto"/>
        <w:left w:val="none" w:sz="0" w:space="0" w:color="auto"/>
        <w:bottom w:val="none" w:sz="0" w:space="0" w:color="auto"/>
        <w:right w:val="none" w:sz="0" w:space="0" w:color="auto"/>
      </w:divBdr>
    </w:div>
    <w:div w:id="700517887">
      <w:bodyDiv w:val="1"/>
      <w:marLeft w:val="0"/>
      <w:marRight w:val="0"/>
      <w:marTop w:val="0"/>
      <w:marBottom w:val="0"/>
      <w:divBdr>
        <w:top w:val="none" w:sz="0" w:space="0" w:color="auto"/>
        <w:left w:val="none" w:sz="0" w:space="0" w:color="auto"/>
        <w:bottom w:val="none" w:sz="0" w:space="0" w:color="auto"/>
        <w:right w:val="none" w:sz="0" w:space="0" w:color="auto"/>
      </w:divBdr>
    </w:div>
    <w:div w:id="700714476">
      <w:bodyDiv w:val="1"/>
      <w:marLeft w:val="0"/>
      <w:marRight w:val="0"/>
      <w:marTop w:val="0"/>
      <w:marBottom w:val="0"/>
      <w:divBdr>
        <w:top w:val="none" w:sz="0" w:space="0" w:color="auto"/>
        <w:left w:val="none" w:sz="0" w:space="0" w:color="auto"/>
        <w:bottom w:val="none" w:sz="0" w:space="0" w:color="auto"/>
        <w:right w:val="none" w:sz="0" w:space="0" w:color="auto"/>
      </w:divBdr>
    </w:div>
    <w:div w:id="701588268">
      <w:bodyDiv w:val="1"/>
      <w:marLeft w:val="0"/>
      <w:marRight w:val="0"/>
      <w:marTop w:val="0"/>
      <w:marBottom w:val="0"/>
      <w:divBdr>
        <w:top w:val="none" w:sz="0" w:space="0" w:color="auto"/>
        <w:left w:val="none" w:sz="0" w:space="0" w:color="auto"/>
        <w:bottom w:val="none" w:sz="0" w:space="0" w:color="auto"/>
        <w:right w:val="none" w:sz="0" w:space="0" w:color="auto"/>
      </w:divBdr>
    </w:div>
    <w:div w:id="703486867">
      <w:bodyDiv w:val="1"/>
      <w:marLeft w:val="0"/>
      <w:marRight w:val="0"/>
      <w:marTop w:val="0"/>
      <w:marBottom w:val="0"/>
      <w:divBdr>
        <w:top w:val="none" w:sz="0" w:space="0" w:color="auto"/>
        <w:left w:val="none" w:sz="0" w:space="0" w:color="auto"/>
        <w:bottom w:val="none" w:sz="0" w:space="0" w:color="auto"/>
        <w:right w:val="none" w:sz="0" w:space="0" w:color="auto"/>
      </w:divBdr>
    </w:div>
    <w:div w:id="703676205">
      <w:bodyDiv w:val="1"/>
      <w:marLeft w:val="0"/>
      <w:marRight w:val="0"/>
      <w:marTop w:val="0"/>
      <w:marBottom w:val="0"/>
      <w:divBdr>
        <w:top w:val="none" w:sz="0" w:space="0" w:color="auto"/>
        <w:left w:val="none" w:sz="0" w:space="0" w:color="auto"/>
        <w:bottom w:val="none" w:sz="0" w:space="0" w:color="auto"/>
        <w:right w:val="none" w:sz="0" w:space="0" w:color="auto"/>
      </w:divBdr>
    </w:div>
    <w:div w:id="704451365">
      <w:bodyDiv w:val="1"/>
      <w:marLeft w:val="0"/>
      <w:marRight w:val="0"/>
      <w:marTop w:val="0"/>
      <w:marBottom w:val="0"/>
      <w:divBdr>
        <w:top w:val="none" w:sz="0" w:space="0" w:color="auto"/>
        <w:left w:val="none" w:sz="0" w:space="0" w:color="auto"/>
        <w:bottom w:val="none" w:sz="0" w:space="0" w:color="auto"/>
        <w:right w:val="none" w:sz="0" w:space="0" w:color="auto"/>
      </w:divBdr>
    </w:div>
    <w:div w:id="704795468">
      <w:bodyDiv w:val="1"/>
      <w:marLeft w:val="0"/>
      <w:marRight w:val="0"/>
      <w:marTop w:val="0"/>
      <w:marBottom w:val="0"/>
      <w:divBdr>
        <w:top w:val="none" w:sz="0" w:space="0" w:color="auto"/>
        <w:left w:val="none" w:sz="0" w:space="0" w:color="auto"/>
        <w:bottom w:val="none" w:sz="0" w:space="0" w:color="auto"/>
        <w:right w:val="none" w:sz="0" w:space="0" w:color="auto"/>
      </w:divBdr>
    </w:div>
    <w:div w:id="704988092">
      <w:bodyDiv w:val="1"/>
      <w:marLeft w:val="0"/>
      <w:marRight w:val="0"/>
      <w:marTop w:val="0"/>
      <w:marBottom w:val="0"/>
      <w:divBdr>
        <w:top w:val="none" w:sz="0" w:space="0" w:color="auto"/>
        <w:left w:val="none" w:sz="0" w:space="0" w:color="auto"/>
        <w:bottom w:val="none" w:sz="0" w:space="0" w:color="auto"/>
        <w:right w:val="none" w:sz="0" w:space="0" w:color="auto"/>
      </w:divBdr>
    </w:div>
    <w:div w:id="705326903">
      <w:bodyDiv w:val="1"/>
      <w:marLeft w:val="0"/>
      <w:marRight w:val="0"/>
      <w:marTop w:val="0"/>
      <w:marBottom w:val="0"/>
      <w:divBdr>
        <w:top w:val="none" w:sz="0" w:space="0" w:color="auto"/>
        <w:left w:val="none" w:sz="0" w:space="0" w:color="auto"/>
        <w:bottom w:val="none" w:sz="0" w:space="0" w:color="auto"/>
        <w:right w:val="none" w:sz="0" w:space="0" w:color="auto"/>
      </w:divBdr>
    </w:div>
    <w:div w:id="706295893">
      <w:bodyDiv w:val="1"/>
      <w:marLeft w:val="0"/>
      <w:marRight w:val="0"/>
      <w:marTop w:val="0"/>
      <w:marBottom w:val="0"/>
      <w:divBdr>
        <w:top w:val="none" w:sz="0" w:space="0" w:color="auto"/>
        <w:left w:val="none" w:sz="0" w:space="0" w:color="auto"/>
        <w:bottom w:val="none" w:sz="0" w:space="0" w:color="auto"/>
        <w:right w:val="none" w:sz="0" w:space="0" w:color="auto"/>
      </w:divBdr>
    </w:div>
    <w:div w:id="706485402">
      <w:bodyDiv w:val="1"/>
      <w:marLeft w:val="0"/>
      <w:marRight w:val="0"/>
      <w:marTop w:val="0"/>
      <w:marBottom w:val="0"/>
      <w:divBdr>
        <w:top w:val="none" w:sz="0" w:space="0" w:color="auto"/>
        <w:left w:val="none" w:sz="0" w:space="0" w:color="auto"/>
        <w:bottom w:val="none" w:sz="0" w:space="0" w:color="auto"/>
        <w:right w:val="none" w:sz="0" w:space="0" w:color="auto"/>
      </w:divBdr>
    </w:div>
    <w:div w:id="707874639">
      <w:bodyDiv w:val="1"/>
      <w:marLeft w:val="0"/>
      <w:marRight w:val="0"/>
      <w:marTop w:val="0"/>
      <w:marBottom w:val="0"/>
      <w:divBdr>
        <w:top w:val="none" w:sz="0" w:space="0" w:color="auto"/>
        <w:left w:val="none" w:sz="0" w:space="0" w:color="auto"/>
        <w:bottom w:val="none" w:sz="0" w:space="0" w:color="auto"/>
        <w:right w:val="none" w:sz="0" w:space="0" w:color="auto"/>
      </w:divBdr>
    </w:div>
    <w:div w:id="708337989">
      <w:bodyDiv w:val="1"/>
      <w:marLeft w:val="0"/>
      <w:marRight w:val="0"/>
      <w:marTop w:val="0"/>
      <w:marBottom w:val="0"/>
      <w:divBdr>
        <w:top w:val="none" w:sz="0" w:space="0" w:color="auto"/>
        <w:left w:val="none" w:sz="0" w:space="0" w:color="auto"/>
        <w:bottom w:val="none" w:sz="0" w:space="0" w:color="auto"/>
        <w:right w:val="none" w:sz="0" w:space="0" w:color="auto"/>
      </w:divBdr>
    </w:div>
    <w:div w:id="713231406">
      <w:bodyDiv w:val="1"/>
      <w:marLeft w:val="0"/>
      <w:marRight w:val="0"/>
      <w:marTop w:val="0"/>
      <w:marBottom w:val="0"/>
      <w:divBdr>
        <w:top w:val="none" w:sz="0" w:space="0" w:color="auto"/>
        <w:left w:val="none" w:sz="0" w:space="0" w:color="auto"/>
        <w:bottom w:val="none" w:sz="0" w:space="0" w:color="auto"/>
        <w:right w:val="none" w:sz="0" w:space="0" w:color="auto"/>
      </w:divBdr>
    </w:div>
    <w:div w:id="713776311">
      <w:bodyDiv w:val="1"/>
      <w:marLeft w:val="0"/>
      <w:marRight w:val="0"/>
      <w:marTop w:val="0"/>
      <w:marBottom w:val="0"/>
      <w:divBdr>
        <w:top w:val="none" w:sz="0" w:space="0" w:color="auto"/>
        <w:left w:val="none" w:sz="0" w:space="0" w:color="auto"/>
        <w:bottom w:val="none" w:sz="0" w:space="0" w:color="auto"/>
        <w:right w:val="none" w:sz="0" w:space="0" w:color="auto"/>
      </w:divBdr>
    </w:div>
    <w:div w:id="714162294">
      <w:bodyDiv w:val="1"/>
      <w:marLeft w:val="0"/>
      <w:marRight w:val="0"/>
      <w:marTop w:val="0"/>
      <w:marBottom w:val="0"/>
      <w:divBdr>
        <w:top w:val="none" w:sz="0" w:space="0" w:color="auto"/>
        <w:left w:val="none" w:sz="0" w:space="0" w:color="auto"/>
        <w:bottom w:val="none" w:sz="0" w:space="0" w:color="auto"/>
        <w:right w:val="none" w:sz="0" w:space="0" w:color="auto"/>
      </w:divBdr>
    </w:div>
    <w:div w:id="715200174">
      <w:bodyDiv w:val="1"/>
      <w:marLeft w:val="0"/>
      <w:marRight w:val="0"/>
      <w:marTop w:val="0"/>
      <w:marBottom w:val="0"/>
      <w:divBdr>
        <w:top w:val="none" w:sz="0" w:space="0" w:color="auto"/>
        <w:left w:val="none" w:sz="0" w:space="0" w:color="auto"/>
        <w:bottom w:val="none" w:sz="0" w:space="0" w:color="auto"/>
        <w:right w:val="none" w:sz="0" w:space="0" w:color="auto"/>
      </w:divBdr>
    </w:div>
    <w:div w:id="715743057">
      <w:bodyDiv w:val="1"/>
      <w:marLeft w:val="0"/>
      <w:marRight w:val="0"/>
      <w:marTop w:val="0"/>
      <w:marBottom w:val="0"/>
      <w:divBdr>
        <w:top w:val="none" w:sz="0" w:space="0" w:color="auto"/>
        <w:left w:val="none" w:sz="0" w:space="0" w:color="auto"/>
        <w:bottom w:val="none" w:sz="0" w:space="0" w:color="auto"/>
        <w:right w:val="none" w:sz="0" w:space="0" w:color="auto"/>
      </w:divBdr>
    </w:div>
    <w:div w:id="716512761">
      <w:bodyDiv w:val="1"/>
      <w:marLeft w:val="0"/>
      <w:marRight w:val="0"/>
      <w:marTop w:val="0"/>
      <w:marBottom w:val="0"/>
      <w:divBdr>
        <w:top w:val="none" w:sz="0" w:space="0" w:color="auto"/>
        <w:left w:val="none" w:sz="0" w:space="0" w:color="auto"/>
        <w:bottom w:val="none" w:sz="0" w:space="0" w:color="auto"/>
        <w:right w:val="none" w:sz="0" w:space="0" w:color="auto"/>
      </w:divBdr>
    </w:div>
    <w:div w:id="717316712">
      <w:bodyDiv w:val="1"/>
      <w:marLeft w:val="0"/>
      <w:marRight w:val="0"/>
      <w:marTop w:val="0"/>
      <w:marBottom w:val="0"/>
      <w:divBdr>
        <w:top w:val="none" w:sz="0" w:space="0" w:color="auto"/>
        <w:left w:val="none" w:sz="0" w:space="0" w:color="auto"/>
        <w:bottom w:val="none" w:sz="0" w:space="0" w:color="auto"/>
        <w:right w:val="none" w:sz="0" w:space="0" w:color="auto"/>
      </w:divBdr>
    </w:div>
    <w:div w:id="717706026">
      <w:bodyDiv w:val="1"/>
      <w:marLeft w:val="0"/>
      <w:marRight w:val="0"/>
      <w:marTop w:val="0"/>
      <w:marBottom w:val="0"/>
      <w:divBdr>
        <w:top w:val="none" w:sz="0" w:space="0" w:color="auto"/>
        <w:left w:val="none" w:sz="0" w:space="0" w:color="auto"/>
        <w:bottom w:val="none" w:sz="0" w:space="0" w:color="auto"/>
        <w:right w:val="none" w:sz="0" w:space="0" w:color="auto"/>
      </w:divBdr>
    </w:div>
    <w:div w:id="718286209">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721641199">
      <w:bodyDiv w:val="1"/>
      <w:marLeft w:val="0"/>
      <w:marRight w:val="0"/>
      <w:marTop w:val="0"/>
      <w:marBottom w:val="0"/>
      <w:divBdr>
        <w:top w:val="none" w:sz="0" w:space="0" w:color="auto"/>
        <w:left w:val="none" w:sz="0" w:space="0" w:color="auto"/>
        <w:bottom w:val="none" w:sz="0" w:space="0" w:color="auto"/>
        <w:right w:val="none" w:sz="0" w:space="0" w:color="auto"/>
      </w:divBdr>
    </w:div>
    <w:div w:id="721713449">
      <w:bodyDiv w:val="1"/>
      <w:marLeft w:val="0"/>
      <w:marRight w:val="0"/>
      <w:marTop w:val="0"/>
      <w:marBottom w:val="0"/>
      <w:divBdr>
        <w:top w:val="none" w:sz="0" w:space="0" w:color="auto"/>
        <w:left w:val="none" w:sz="0" w:space="0" w:color="auto"/>
        <w:bottom w:val="none" w:sz="0" w:space="0" w:color="auto"/>
        <w:right w:val="none" w:sz="0" w:space="0" w:color="auto"/>
      </w:divBdr>
    </w:div>
    <w:div w:id="723337046">
      <w:bodyDiv w:val="1"/>
      <w:marLeft w:val="0"/>
      <w:marRight w:val="0"/>
      <w:marTop w:val="0"/>
      <w:marBottom w:val="0"/>
      <w:divBdr>
        <w:top w:val="none" w:sz="0" w:space="0" w:color="auto"/>
        <w:left w:val="none" w:sz="0" w:space="0" w:color="auto"/>
        <w:bottom w:val="none" w:sz="0" w:space="0" w:color="auto"/>
        <w:right w:val="none" w:sz="0" w:space="0" w:color="auto"/>
      </w:divBdr>
    </w:div>
    <w:div w:id="724452926">
      <w:bodyDiv w:val="1"/>
      <w:marLeft w:val="0"/>
      <w:marRight w:val="0"/>
      <w:marTop w:val="0"/>
      <w:marBottom w:val="0"/>
      <w:divBdr>
        <w:top w:val="none" w:sz="0" w:space="0" w:color="auto"/>
        <w:left w:val="none" w:sz="0" w:space="0" w:color="auto"/>
        <w:bottom w:val="none" w:sz="0" w:space="0" w:color="auto"/>
        <w:right w:val="none" w:sz="0" w:space="0" w:color="auto"/>
      </w:divBdr>
    </w:div>
    <w:div w:id="725027629">
      <w:bodyDiv w:val="1"/>
      <w:marLeft w:val="0"/>
      <w:marRight w:val="0"/>
      <w:marTop w:val="0"/>
      <w:marBottom w:val="0"/>
      <w:divBdr>
        <w:top w:val="none" w:sz="0" w:space="0" w:color="auto"/>
        <w:left w:val="none" w:sz="0" w:space="0" w:color="auto"/>
        <w:bottom w:val="none" w:sz="0" w:space="0" w:color="auto"/>
        <w:right w:val="none" w:sz="0" w:space="0" w:color="auto"/>
      </w:divBdr>
    </w:div>
    <w:div w:id="725488731">
      <w:bodyDiv w:val="1"/>
      <w:marLeft w:val="0"/>
      <w:marRight w:val="0"/>
      <w:marTop w:val="0"/>
      <w:marBottom w:val="0"/>
      <w:divBdr>
        <w:top w:val="none" w:sz="0" w:space="0" w:color="auto"/>
        <w:left w:val="none" w:sz="0" w:space="0" w:color="auto"/>
        <w:bottom w:val="none" w:sz="0" w:space="0" w:color="auto"/>
        <w:right w:val="none" w:sz="0" w:space="0" w:color="auto"/>
      </w:divBdr>
    </w:div>
    <w:div w:id="725759015">
      <w:bodyDiv w:val="1"/>
      <w:marLeft w:val="0"/>
      <w:marRight w:val="0"/>
      <w:marTop w:val="0"/>
      <w:marBottom w:val="0"/>
      <w:divBdr>
        <w:top w:val="none" w:sz="0" w:space="0" w:color="auto"/>
        <w:left w:val="none" w:sz="0" w:space="0" w:color="auto"/>
        <w:bottom w:val="none" w:sz="0" w:space="0" w:color="auto"/>
        <w:right w:val="none" w:sz="0" w:space="0" w:color="auto"/>
      </w:divBdr>
    </w:div>
    <w:div w:id="728848083">
      <w:bodyDiv w:val="1"/>
      <w:marLeft w:val="0"/>
      <w:marRight w:val="0"/>
      <w:marTop w:val="0"/>
      <w:marBottom w:val="0"/>
      <w:divBdr>
        <w:top w:val="none" w:sz="0" w:space="0" w:color="auto"/>
        <w:left w:val="none" w:sz="0" w:space="0" w:color="auto"/>
        <w:bottom w:val="none" w:sz="0" w:space="0" w:color="auto"/>
        <w:right w:val="none" w:sz="0" w:space="0" w:color="auto"/>
      </w:divBdr>
    </w:div>
    <w:div w:id="729573597">
      <w:bodyDiv w:val="1"/>
      <w:marLeft w:val="0"/>
      <w:marRight w:val="0"/>
      <w:marTop w:val="0"/>
      <w:marBottom w:val="0"/>
      <w:divBdr>
        <w:top w:val="none" w:sz="0" w:space="0" w:color="auto"/>
        <w:left w:val="none" w:sz="0" w:space="0" w:color="auto"/>
        <w:bottom w:val="none" w:sz="0" w:space="0" w:color="auto"/>
        <w:right w:val="none" w:sz="0" w:space="0" w:color="auto"/>
      </w:divBdr>
    </w:div>
    <w:div w:id="730233789">
      <w:bodyDiv w:val="1"/>
      <w:marLeft w:val="0"/>
      <w:marRight w:val="0"/>
      <w:marTop w:val="0"/>
      <w:marBottom w:val="0"/>
      <w:divBdr>
        <w:top w:val="none" w:sz="0" w:space="0" w:color="auto"/>
        <w:left w:val="none" w:sz="0" w:space="0" w:color="auto"/>
        <w:bottom w:val="none" w:sz="0" w:space="0" w:color="auto"/>
        <w:right w:val="none" w:sz="0" w:space="0" w:color="auto"/>
      </w:divBdr>
    </w:div>
    <w:div w:id="731119887">
      <w:bodyDiv w:val="1"/>
      <w:marLeft w:val="0"/>
      <w:marRight w:val="0"/>
      <w:marTop w:val="0"/>
      <w:marBottom w:val="0"/>
      <w:divBdr>
        <w:top w:val="none" w:sz="0" w:space="0" w:color="auto"/>
        <w:left w:val="none" w:sz="0" w:space="0" w:color="auto"/>
        <w:bottom w:val="none" w:sz="0" w:space="0" w:color="auto"/>
        <w:right w:val="none" w:sz="0" w:space="0" w:color="auto"/>
      </w:divBdr>
    </w:div>
    <w:div w:id="731318510">
      <w:bodyDiv w:val="1"/>
      <w:marLeft w:val="0"/>
      <w:marRight w:val="0"/>
      <w:marTop w:val="0"/>
      <w:marBottom w:val="0"/>
      <w:divBdr>
        <w:top w:val="none" w:sz="0" w:space="0" w:color="auto"/>
        <w:left w:val="none" w:sz="0" w:space="0" w:color="auto"/>
        <w:bottom w:val="none" w:sz="0" w:space="0" w:color="auto"/>
        <w:right w:val="none" w:sz="0" w:space="0" w:color="auto"/>
      </w:divBdr>
    </w:div>
    <w:div w:id="733546517">
      <w:bodyDiv w:val="1"/>
      <w:marLeft w:val="0"/>
      <w:marRight w:val="0"/>
      <w:marTop w:val="0"/>
      <w:marBottom w:val="0"/>
      <w:divBdr>
        <w:top w:val="none" w:sz="0" w:space="0" w:color="auto"/>
        <w:left w:val="none" w:sz="0" w:space="0" w:color="auto"/>
        <w:bottom w:val="none" w:sz="0" w:space="0" w:color="auto"/>
        <w:right w:val="none" w:sz="0" w:space="0" w:color="auto"/>
      </w:divBdr>
    </w:div>
    <w:div w:id="734353883">
      <w:bodyDiv w:val="1"/>
      <w:marLeft w:val="0"/>
      <w:marRight w:val="0"/>
      <w:marTop w:val="0"/>
      <w:marBottom w:val="0"/>
      <w:divBdr>
        <w:top w:val="none" w:sz="0" w:space="0" w:color="auto"/>
        <w:left w:val="none" w:sz="0" w:space="0" w:color="auto"/>
        <w:bottom w:val="none" w:sz="0" w:space="0" w:color="auto"/>
        <w:right w:val="none" w:sz="0" w:space="0" w:color="auto"/>
      </w:divBdr>
    </w:div>
    <w:div w:id="734476812">
      <w:bodyDiv w:val="1"/>
      <w:marLeft w:val="0"/>
      <w:marRight w:val="0"/>
      <w:marTop w:val="0"/>
      <w:marBottom w:val="0"/>
      <w:divBdr>
        <w:top w:val="none" w:sz="0" w:space="0" w:color="auto"/>
        <w:left w:val="none" w:sz="0" w:space="0" w:color="auto"/>
        <w:bottom w:val="none" w:sz="0" w:space="0" w:color="auto"/>
        <w:right w:val="none" w:sz="0" w:space="0" w:color="auto"/>
      </w:divBdr>
    </w:div>
    <w:div w:id="735126411">
      <w:bodyDiv w:val="1"/>
      <w:marLeft w:val="0"/>
      <w:marRight w:val="0"/>
      <w:marTop w:val="0"/>
      <w:marBottom w:val="0"/>
      <w:divBdr>
        <w:top w:val="none" w:sz="0" w:space="0" w:color="auto"/>
        <w:left w:val="none" w:sz="0" w:space="0" w:color="auto"/>
        <w:bottom w:val="none" w:sz="0" w:space="0" w:color="auto"/>
        <w:right w:val="none" w:sz="0" w:space="0" w:color="auto"/>
      </w:divBdr>
    </w:div>
    <w:div w:id="736780433">
      <w:bodyDiv w:val="1"/>
      <w:marLeft w:val="0"/>
      <w:marRight w:val="0"/>
      <w:marTop w:val="0"/>
      <w:marBottom w:val="0"/>
      <w:divBdr>
        <w:top w:val="none" w:sz="0" w:space="0" w:color="auto"/>
        <w:left w:val="none" w:sz="0" w:space="0" w:color="auto"/>
        <w:bottom w:val="none" w:sz="0" w:space="0" w:color="auto"/>
        <w:right w:val="none" w:sz="0" w:space="0" w:color="auto"/>
      </w:divBdr>
    </w:div>
    <w:div w:id="736976122">
      <w:bodyDiv w:val="1"/>
      <w:marLeft w:val="0"/>
      <w:marRight w:val="0"/>
      <w:marTop w:val="0"/>
      <w:marBottom w:val="0"/>
      <w:divBdr>
        <w:top w:val="none" w:sz="0" w:space="0" w:color="auto"/>
        <w:left w:val="none" w:sz="0" w:space="0" w:color="auto"/>
        <w:bottom w:val="none" w:sz="0" w:space="0" w:color="auto"/>
        <w:right w:val="none" w:sz="0" w:space="0" w:color="auto"/>
      </w:divBdr>
    </w:div>
    <w:div w:id="737283342">
      <w:bodyDiv w:val="1"/>
      <w:marLeft w:val="0"/>
      <w:marRight w:val="0"/>
      <w:marTop w:val="0"/>
      <w:marBottom w:val="0"/>
      <w:divBdr>
        <w:top w:val="none" w:sz="0" w:space="0" w:color="auto"/>
        <w:left w:val="none" w:sz="0" w:space="0" w:color="auto"/>
        <w:bottom w:val="none" w:sz="0" w:space="0" w:color="auto"/>
        <w:right w:val="none" w:sz="0" w:space="0" w:color="auto"/>
      </w:divBdr>
    </w:div>
    <w:div w:id="737366858">
      <w:bodyDiv w:val="1"/>
      <w:marLeft w:val="0"/>
      <w:marRight w:val="0"/>
      <w:marTop w:val="0"/>
      <w:marBottom w:val="0"/>
      <w:divBdr>
        <w:top w:val="none" w:sz="0" w:space="0" w:color="auto"/>
        <w:left w:val="none" w:sz="0" w:space="0" w:color="auto"/>
        <w:bottom w:val="none" w:sz="0" w:space="0" w:color="auto"/>
        <w:right w:val="none" w:sz="0" w:space="0" w:color="auto"/>
      </w:divBdr>
    </w:div>
    <w:div w:id="737438787">
      <w:bodyDiv w:val="1"/>
      <w:marLeft w:val="0"/>
      <w:marRight w:val="0"/>
      <w:marTop w:val="0"/>
      <w:marBottom w:val="0"/>
      <w:divBdr>
        <w:top w:val="none" w:sz="0" w:space="0" w:color="auto"/>
        <w:left w:val="none" w:sz="0" w:space="0" w:color="auto"/>
        <w:bottom w:val="none" w:sz="0" w:space="0" w:color="auto"/>
        <w:right w:val="none" w:sz="0" w:space="0" w:color="auto"/>
      </w:divBdr>
    </w:div>
    <w:div w:id="737896535">
      <w:bodyDiv w:val="1"/>
      <w:marLeft w:val="0"/>
      <w:marRight w:val="0"/>
      <w:marTop w:val="0"/>
      <w:marBottom w:val="0"/>
      <w:divBdr>
        <w:top w:val="none" w:sz="0" w:space="0" w:color="auto"/>
        <w:left w:val="none" w:sz="0" w:space="0" w:color="auto"/>
        <w:bottom w:val="none" w:sz="0" w:space="0" w:color="auto"/>
        <w:right w:val="none" w:sz="0" w:space="0" w:color="auto"/>
      </w:divBdr>
    </w:div>
    <w:div w:id="738862674">
      <w:bodyDiv w:val="1"/>
      <w:marLeft w:val="0"/>
      <w:marRight w:val="0"/>
      <w:marTop w:val="0"/>
      <w:marBottom w:val="0"/>
      <w:divBdr>
        <w:top w:val="none" w:sz="0" w:space="0" w:color="auto"/>
        <w:left w:val="none" w:sz="0" w:space="0" w:color="auto"/>
        <w:bottom w:val="none" w:sz="0" w:space="0" w:color="auto"/>
        <w:right w:val="none" w:sz="0" w:space="0" w:color="auto"/>
      </w:divBdr>
    </w:div>
    <w:div w:id="739446296">
      <w:bodyDiv w:val="1"/>
      <w:marLeft w:val="0"/>
      <w:marRight w:val="0"/>
      <w:marTop w:val="0"/>
      <w:marBottom w:val="0"/>
      <w:divBdr>
        <w:top w:val="none" w:sz="0" w:space="0" w:color="auto"/>
        <w:left w:val="none" w:sz="0" w:space="0" w:color="auto"/>
        <w:bottom w:val="none" w:sz="0" w:space="0" w:color="auto"/>
        <w:right w:val="none" w:sz="0" w:space="0" w:color="auto"/>
      </w:divBdr>
    </w:div>
    <w:div w:id="739451736">
      <w:bodyDiv w:val="1"/>
      <w:marLeft w:val="0"/>
      <w:marRight w:val="0"/>
      <w:marTop w:val="0"/>
      <w:marBottom w:val="0"/>
      <w:divBdr>
        <w:top w:val="none" w:sz="0" w:space="0" w:color="auto"/>
        <w:left w:val="none" w:sz="0" w:space="0" w:color="auto"/>
        <w:bottom w:val="none" w:sz="0" w:space="0" w:color="auto"/>
        <w:right w:val="none" w:sz="0" w:space="0" w:color="auto"/>
      </w:divBdr>
    </w:div>
    <w:div w:id="740637590">
      <w:bodyDiv w:val="1"/>
      <w:marLeft w:val="0"/>
      <w:marRight w:val="0"/>
      <w:marTop w:val="0"/>
      <w:marBottom w:val="0"/>
      <w:divBdr>
        <w:top w:val="none" w:sz="0" w:space="0" w:color="auto"/>
        <w:left w:val="none" w:sz="0" w:space="0" w:color="auto"/>
        <w:bottom w:val="none" w:sz="0" w:space="0" w:color="auto"/>
        <w:right w:val="none" w:sz="0" w:space="0" w:color="auto"/>
      </w:divBdr>
    </w:div>
    <w:div w:id="740833020">
      <w:bodyDiv w:val="1"/>
      <w:marLeft w:val="0"/>
      <w:marRight w:val="0"/>
      <w:marTop w:val="0"/>
      <w:marBottom w:val="0"/>
      <w:divBdr>
        <w:top w:val="none" w:sz="0" w:space="0" w:color="auto"/>
        <w:left w:val="none" w:sz="0" w:space="0" w:color="auto"/>
        <w:bottom w:val="none" w:sz="0" w:space="0" w:color="auto"/>
        <w:right w:val="none" w:sz="0" w:space="0" w:color="auto"/>
      </w:divBdr>
    </w:div>
    <w:div w:id="742220726">
      <w:bodyDiv w:val="1"/>
      <w:marLeft w:val="0"/>
      <w:marRight w:val="0"/>
      <w:marTop w:val="0"/>
      <w:marBottom w:val="0"/>
      <w:divBdr>
        <w:top w:val="none" w:sz="0" w:space="0" w:color="auto"/>
        <w:left w:val="none" w:sz="0" w:space="0" w:color="auto"/>
        <w:bottom w:val="none" w:sz="0" w:space="0" w:color="auto"/>
        <w:right w:val="none" w:sz="0" w:space="0" w:color="auto"/>
      </w:divBdr>
    </w:div>
    <w:div w:id="742482835">
      <w:bodyDiv w:val="1"/>
      <w:marLeft w:val="0"/>
      <w:marRight w:val="0"/>
      <w:marTop w:val="0"/>
      <w:marBottom w:val="0"/>
      <w:divBdr>
        <w:top w:val="none" w:sz="0" w:space="0" w:color="auto"/>
        <w:left w:val="none" w:sz="0" w:space="0" w:color="auto"/>
        <w:bottom w:val="none" w:sz="0" w:space="0" w:color="auto"/>
        <w:right w:val="none" w:sz="0" w:space="0" w:color="auto"/>
      </w:divBdr>
    </w:div>
    <w:div w:id="743180507">
      <w:bodyDiv w:val="1"/>
      <w:marLeft w:val="0"/>
      <w:marRight w:val="0"/>
      <w:marTop w:val="0"/>
      <w:marBottom w:val="0"/>
      <w:divBdr>
        <w:top w:val="none" w:sz="0" w:space="0" w:color="auto"/>
        <w:left w:val="none" w:sz="0" w:space="0" w:color="auto"/>
        <w:bottom w:val="none" w:sz="0" w:space="0" w:color="auto"/>
        <w:right w:val="none" w:sz="0" w:space="0" w:color="auto"/>
      </w:divBdr>
    </w:div>
    <w:div w:id="743795505">
      <w:bodyDiv w:val="1"/>
      <w:marLeft w:val="0"/>
      <w:marRight w:val="0"/>
      <w:marTop w:val="0"/>
      <w:marBottom w:val="0"/>
      <w:divBdr>
        <w:top w:val="none" w:sz="0" w:space="0" w:color="auto"/>
        <w:left w:val="none" w:sz="0" w:space="0" w:color="auto"/>
        <w:bottom w:val="none" w:sz="0" w:space="0" w:color="auto"/>
        <w:right w:val="none" w:sz="0" w:space="0" w:color="auto"/>
      </w:divBdr>
    </w:div>
    <w:div w:id="744180164">
      <w:bodyDiv w:val="1"/>
      <w:marLeft w:val="0"/>
      <w:marRight w:val="0"/>
      <w:marTop w:val="0"/>
      <w:marBottom w:val="0"/>
      <w:divBdr>
        <w:top w:val="none" w:sz="0" w:space="0" w:color="auto"/>
        <w:left w:val="none" w:sz="0" w:space="0" w:color="auto"/>
        <w:bottom w:val="none" w:sz="0" w:space="0" w:color="auto"/>
        <w:right w:val="none" w:sz="0" w:space="0" w:color="auto"/>
      </w:divBdr>
    </w:div>
    <w:div w:id="744690621">
      <w:bodyDiv w:val="1"/>
      <w:marLeft w:val="0"/>
      <w:marRight w:val="0"/>
      <w:marTop w:val="0"/>
      <w:marBottom w:val="0"/>
      <w:divBdr>
        <w:top w:val="none" w:sz="0" w:space="0" w:color="auto"/>
        <w:left w:val="none" w:sz="0" w:space="0" w:color="auto"/>
        <w:bottom w:val="none" w:sz="0" w:space="0" w:color="auto"/>
        <w:right w:val="none" w:sz="0" w:space="0" w:color="auto"/>
      </w:divBdr>
    </w:div>
    <w:div w:id="745223002">
      <w:bodyDiv w:val="1"/>
      <w:marLeft w:val="0"/>
      <w:marRight w:val="0"/>
      <w:marTop w:val="0"/>
      <w:marBottom w:val="0"/>
      <w:divBdr>
        <w:top w:val="none" w:sz="0" w:space="0" w:color="auto"/>
        <w:left w:val="none" w:sz="0" w:space="0" w:color="auto"/>
        <w:bottom w:val="none" w:sz="0" w:space="0" w:color="auto"/>
        <w:right w:val="none" w:sz="0" w:space="0" w:color="auto"/>
      </w:divBdr>
    </w:div>
    <w:div w:id="745880296">
      <w:bodyDiv w:val="1"/>
      <w:marLeft w:val="0"/>
      <w:marRight w:val="0"/>
      <w:marTop w:val="0"/>
      <w:marBottom w:val="0"/>
      <w:divBdr>
        <w:top w:val="none" w:sz="0" w:space="0" w:color="auto"/>
        <w:left w:val="none" w:sz="0" w:space="0" w:color="auto"/>
        <w:bottom w:val="none" w:sz="0" w:space="0" w:color="auto"/>
        <w:right w:val="none" w:sz="0" w:space="0" w:color="auto"/>
      </w:divBdr>
    </w:div>
    <w:div w:id="746344273">
      <w:bodyDiv w:val="1"/>
      <w:marLeft w:val="0"/>
      <w:marRight w:val="0"/>
      <w:marTop w:val="0"/>
      <w:marBottom w:val="0"/>
      <w:divBdr>
        <w:top w:val="none" w:sz="0" w:space="0" w:color="auto"/>
        <w:left w:val="none" w:sz="0" w:space="0" w:color="auto"/>
        <w:bottom w:val="none" w:sz="0" w:space="0" w:color="auto"/>
        <w:right w:val="none" w:sz="0" w:space="0" w:color="auto"/>
      </w:divBdr>
    </w:div>
    <w:div w:id="749471592">
      <w:bodyDiv w:val="1"/>
      <w:marLeft w:val="0"/>
      <w:marRight w:val="0"/>
      <w:marTop w:val="0"/>
      <w:marBottom w:val="0"/>
      <w:divBdr>
        <w:top w:val="none" w:sz="0" w:space="0" w:color="auto"/>
        <w:left w:val="none" w:sz="0" w:space="0" w:color="auto"/>
        <w:bottom w:val="none" w:sz="0" w:space="0" w:color="auto"/>
        <w:right w:val="none" w:sz="0" w:space="0" w:color="auto"/>
      </w:divBdr>
    </w:div>
    <w:div w:id="750389936">
      <w:bodyDiv w:val="1"/>
      <w:marLeft w:val="0"/>
      <w:marRight w:val="0"/>
      <w:marTop w:val="0"/>
      <w:marBottom w:val="0"/>
      <w:divBdr>
        <w:top w:val="none" w:sz="0" w:space="0" w:color="auto"/>
        <w:left w:val="none" w:sz="0" w:space="0" w:color="auto"/>
        <w:bottom w:val="none" w:sz="0" w:space="0" w:color="auto"/>
        <w:right w:val="none" w:sz="0" w:space="0" w:color="auto"/>
      </w:divBdr>
    </w:div>
    <w:div w:id="751390968">
      <w:bodyDiv w:val="1"/>
      <w:marLeft w:val="0"/>
      <w:marRight w:val="0"/>
      <w:marTop w:val="0"/>
      <w:marBottom w:val="0"/>
      <w:divBdr>
        <w:top w:val="none" w:sz="0" w:space="0" w:color="auto"/>
        <w:left w:val="none" w:sz="0" w:space="0" w:color="auto"/>
        <w:bottom w:val="none" w:sz="0" w:space="0" w:color="auto"/>
        <w:right w:val="none" w:sz="0" w:space="0" w:color="auto"/>
      </w:divBdr>
    </w:div>
    <w:div w:id="752168568">
      <w:bodyDiv w:val="1"/>
      <w:marLeft w:val="0"/>
      <w:marRight w:val="0"/>
      <w:marTop w:val="0"/>
      <w:marBottom w:val="0"/>
      <w:divBdr>
        <w:top w:val="none" w:sz="0" w:space="0" w:color="auto"/>
        <w:left w:val="none" w:sz="0" w:space="0" w:color="auto"/>
        <w:bottom w:val="none" w:sz="0" w:space="0" w:color="auto"/>
        <w:right w:val="none" w:sz="0" w:space="0" w:color="auto"/>
      </w:divBdr>
    </w:div>
    <w:div w:id="752238899">
      <w:bodyDiv w:val="1"/>
      <w:marLeft w:val="0"/>
      <w:marRight w:val="0"/>
      <w:marTop w:val="0"/>
      <w:marBottom w:val="0"/>
      <w:divBdr>
        <w:top w:val="none" w:sz="0" w:space="0" w:color="auto"/>
        <w:left w:val="none" w:sz="0" w:space="0" w:color="auto"/>
        <w:bottom w:val="none" w:sz="0" w:space="0" w:color="auto"/>
        <w:right w:val="none" w:sz="0" w:space="0" w:color="auto"/>
      </w:divBdr>
    </w:div>
    <w:div w:id="754716089">
      <w:bodyDiv w:val="1"/>
      <w:marLeft w:val="0"/>
      <w:marRight w:val="0"/>
      <w:marTop w:val="0"/>
      <w:marBottom w:val="0"/>
      <w:divBdr>
        <w:top w:val="none" w:sz="0" w:space="0" w:color="auto"/>
        <w:left w:val="none" w:sz="0" w:space="0" w:color="auto"/>
        <w:bottom w:val="none" w:sz="0" w:space="0" w:color="auto"/>
        <w:right w:val="none" w:sz="0" w:space="0" w:color="auto"/>
      </w:divBdr>
    </w:div>
    <w:div w:id="755981280">
      <w:bodyDiv w:val="1"/>
      <w:marLeft w:val="0"/>
      <w:marRight w:val="0"/>
      <w:marTop w:val="0"/>
      <w:marBottom w:val="0"/>
      <w:divBdr>
        <w:top w:val="none" w:sz="0" w:space="0" w:color="auto"/>
        <w:left w:val="none" w:sz="0" w:space="0" w:color="auto"/>
        <w:bottom w:val="none" w:sz="0" w:space="0" w:color="auto"/>
        <w:right w:val="none" w:sz="0" w:space="0" w:color="auto"/>
      </w:divBdr>
    </w:div>
    <w:div w:id="756026411">
      <w:bodyDiv w:val="1"/>
      <w:marLeft w:val="0"/>
      <w:marRight w:val="0"/>
      <w:marTop w:val="0"/>
      <w:marBottom w:val="0"/>
      <w:divBdr>
        <w:top w:val="none" w:sz="0" w:space="0" w:color="auto"/>
        <w:left w:val="none" w:sz="0" w:space="0" w:color="auto"/>
        <w:bottom w:val="none" w:sz="0" w:space="0" w:color="auto"/>
        <w:right w:val="none" w:sz="0" w:space="0" w:color="auto"/>
      </w:divBdr>
    </w:div>
    <w:div w:id="756755484">
      <w:bodyDiv w:val="1"/>
      <w:marLeft w:val="0"/>
      <w:marRight w:val="0"/>
      <w:marTop w:val="0"/>
      <w:marBottom w:val="0"/>
      <w:divBdr>
        <w:top w:val="none" w:sz="0" w:space="0" w:color="auto"/>
        <w:left w:val="none" w:sz="0" w:space="0" w:color="auto"/>
        <w:bottom w:val="none" w:sz="0" w:space="0" w:color="auto"/>
        <w:right w:val="none" w:sz="0" w:space="0" w:color="auto"/>
      </w:divBdr>
    </w:div>
    <w:div w:id="756827019">
      <w:bodyDiv w:val="1"/>
      <w:marLeft w:val="0"/>
      <w:marRight w:val="0"/>
      <w:marTop w:val="0"/>
      <w:marBottom w:val="0"/>
      <w:divBdr>
        <w:top w:val="none" w:sz="0" w:space="0" w:color="auto"/>
        <w:left w:val="none" w:sz="0" w:space="0" w:color="auto"/>
        <w:bottom w:val="none" w:sz="0" w:space="0" w:color="auto"/>
        <w:right w:val="none" w:sz="0" w:space="0" w:color="auto"/>
      </w:divBdr>
    </w:div>
    <w:div w:id="756948667">
      <w:bodyDiv w:val="1"/>
      <w:marLeft w:val="0"/>
      <w:marRight w:val="0"/>
      <w:marTop w:val="0"/>
      <w:marBottom w:val="0"/>
      <w:divBdr>
        <w:top w:val="none" w:sz="0" w:space="0" w:color="auto"/>
        <w:left w:val="none" w:sz="0" w:space="0" w:color="auto"/>
        <w:bottom w:val="none" w:sz="0" w:space="0" w:color="auto"/>
        <w:right w:val="none" w:sz="0" w:space="0" w:color="auto"/>
      </w:divBdr>
    </w:div>
    <w:div w:id="757095985">
      <w:bodyDiv w:val="1"/>
      <w:marLeft w:val="0"/>
      <w:marRight w:val="0"/>
      <w:marTop w:val="0"/>
      <w:marBottom w:val="0"/>
      <w:divBdr>
        <w:top w:val="none" w:sz="0" w:space="0" w:color="auto"/>
        <w:left w:val="none" w:sz="0" w:space="0" w:color="auto"/>
        <w:bottom w:val="none" w:sz="0" w:space="0" w:color="auto"/>
        <w:right w:val="none" w:sz="0" w:space="0" w:color="auto"/>
      </w:divBdr>
    </w:div>
    <w:div w:id="757943622">
      <w:bodyDiv w:val="1"/>
      <w:marLeft w:val="0"/>
      <w:marRight w:val="0"/>
      <w:marTop w:val="0"/>
      <w:marBottom w:val="0"/>
      <w:divBdr>
        <w:top w:val="none" w:sz="0" w:space="0" w:color="auto"/>
        <w:left w:val="none" w:sz="0" w:space="0" w:color="auto"/>
        <w:bottom w:val="none" w:sz="0" w:space="0" w:color="auto"/>
        <w:right w:val="none" w:sz="0" w:space="0" w:color="auto"/>
      </w:divBdr>
    </w:div>
    <w:div w:id="758062740">
      <w:bodyDiv w:val="1"/>
      <w:marLeft w:val="0"/>
      <w:marRight w:val="0"/>
      <w:marTop w:val="0"/>
      <w:marBottom w:val="0"/>
      <w:divBdr>
        <w:top w:val="none" w:sz="0" w:space="0" w:color="auto"/>
        <w:left w:val="none" w:sz="0" w:space="0" w:color="auto"/>
        <w:bottom w:val="none" w:sz="0" w:space="0" w:color="auto"/>
        <w:right w:val="none" w:sz="0" w:space="0" w:color="auto"/>
      </w:divBdr>
    </w:div>
    <w:div w:id="759720374">
      <w:bodyDiv w:val="1"/>
      <w:marLeft w:val="0"/>
      <w:marRight w:val="0"/>
      <w:marTop w:val="0"/>
      <w:marBottom w:val="0"/>
      <w:divBdr>
        <w:top w:val="none" w:sz="0" w:space="0" w:color="auto"/>
        <w:left w:val="none" w:sz="0" w:space="0" w:color="auto"/>
        <w:bottom w:val="none" w:sz="0" w:space="0" w:color="auto"/>
        <w:right w:val="none" w:sz="0" w:space="0" w:color="auto"/>
      </w:divBdr>
    </w:div>
    <w:div w:id="761075501">
      <w:bodyDiv w:val="1"/>
      <w:marLeft w:val="0"/>
      <w:marRight w:val="0"/>
      <w:marTop w:val="0"/>
      <w:marBottom w:val="0"/>
      <w:divBdr>
        <w:top w:val="none" w:sz="0" w:space="0" w:color="auto"/>
        <w:left w:val="none" w:sz="0" w:space="0" w:color="auto"/>
        <w:bottom w:val="none" w:sz="0" w:space="0" w:color="auto"/>
        <w:right w:val="none" w:sz="0" w:space="0" w:color="auto"/>
      </w:divBdr>
    </w:div>
    <w:div w:id="761680336">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2722537">
      <w:bodyDiv w:val="1"/>
      <w:marLeft w:val="0"/>
      <w:marRight w:val="0"/>
      <w:marTop w:val="0"/>
      <w:marBottom w:val="0"/>
      <w:divBdr>
        <w:top w:val="none" w:sz="0" w:space="0" w:color="auto"/>
        <w:left w:val="none" w:sz="0" w:space="0" w:color="auto"/>
        <w:bottom w:val="none" w:sz="0" w:space="0" w:color="auto"/>
        <w:right w:val="none" w:sz="0" w:space="0" w:color="auto"/>
      </w:divBdr>
    </w:div>
    <w:div w:id="764305860">
      <w:bodyDiv w:val="1"/>
      <w:marLeft w:val="0"/>
      <w:marRight w:val="0"/>
      <w:marTop w:val="0"/>
      <w:marBottom w:val="0"/>
      <w:divBdr>
        <w:top w:val="none" w:sz="0" w:space="0" w:color="auto"/>
        <w:left w:val="none" w:sz="0" w:space="0" w:color="auto"/>
        <w:bottom w:val="none" w:sz="0" w:space="0" w:color="auto"/>
        <w:right w:val="none" w:sz="0" w:space="0" w:color="auto"/>
      </w:divBdr>
    </w:div>
    <w:div w:id="765031718">
      <w:bodyDiv w:val="1"/>
      <w:marLeft w:val="0"/>
      <w:marRight w:val="0"/>
      <w:marTop w:val="0"/>
      <w:marBottom w:val="0"/>
      <w:divBdr>
        <w:top w:val="none" w:sz="0" w:space="0" w:color="auto"/>
        <w:left w:val="none" w:sz="0" w:space="0" w:color="auto"/>
        <w:bottom w:val="none" w:sz="0" w:space="0" w:color="auto"/>
        <w:right w:val="none" w:sz="0" w:space="0" w:color="auto"/>
      </w:divBdr>
    </w:div>
    <w:div w:id="765728727">
      <w:bodyDiv w:val="1"/>
      <w:marLeft w:val="0"/>
      <w:marRight w:val="0"/>
      <w:marTop w:val="0"/>
      <w:marBottom w:val="0"/>
      <w:divBdr>
        <w:top w:val="none" w:sz="0" w:space="0" w:color="auto"/>
        <w:left w:val="none" w:sz="0" w:space="0" w:color="auto"/>
        <w:bottom w:val="none" w:sz="0" w:space="0" w:color="auto"/>
        <w:right w:val="none" w:sz="0" w:space="0" w:color="auto"/>
      </w:divBdr>
    </w:div>
    <w:div w:id="765803956">
      <w:bodyDiv w:val="1"/>
      <w:marLeft w:val="0"/>
      <w:marRight w:val="0"/>
      <w:marTop w:val="0"/>
      <w:marBottom w:val="0"/>
      <w:divBdr>
        <w:top w:val="none" w:sz="0" w:space="0" w:color="auto"/>
        <w:left w:val="none" w:sz="0" w:space="0" w:color="auto"/>
        <w:bottom w:val="none" w:sz="0" w:space="0" w:color="auto"/>
        <w:right w:val="none" w:sz="0" w:space="0" w:color="auto"/>
      </w:divBdr>
    </w:div>
    <w:div w:id="767234057">
      <w:bodyDiv w:val="1"/>
      <w:marLeft w:val="0"/>
      <w:marRight w:val="0"/>
      <w:marTop w:val="0"/>
      <w:marBottom w:val="0"/>
      <w:divBdr>
        <w:top w:val="none" w:sz="0" w:space="0" w:color="auto"/>
        <w:left w:val="none" w:sz="0" w:space="0" w:color="auto"/>
        <w:bottom w:val="none" w:sz="0" w:space="0" w:color="auto"/>
        <w:right w:val="none" w:sz="0" w:space="0" w:color="auto"/>
      </w:divBdr>
    </w:div>
    <w:div w:id="767308039">
      <w:bodyDiv w:val="1"/>
      <w:marLeft w:val="0"/>
      <w:marRight w:val="0"/>
      <w:marTop w:val="0"/>
      <w:marBottom w:val="0"/>
      <w:divBdr>
        <w:top w:val="none" w:sz="0" w:space="0" w:color="auto"/>
        <w:left w:val="none" w:sz="0" w:space="0" w:color="auto"/>
        <w:bottom w:val="none" w:sz="0" w:space="0" w:color="auto"/>
        <w:right w:val="none" w:sz="0" w:space="0" w:color="auto"/>
      </w:divBdr>
    </w:div>
    <w:div w:id="768307181">
      <w:bodyDiv w:val="1"/>
      <w:marLeft w:val="0"/>
      <w:marRight w:val="0"/>
      <w:marTop w:val="0"/>
      <w:marBottom w:val="0"/>
      <w:divBdr>
        <w:top w:val="none" w:sz="0" w:space="0" w:color="auto"/>
        <w:left w:val="none" w:sz="0" w:space="0" w:color="auto"/>
        <w:bottom w:val="none" w:sz="0" w:space="0" w:color="auto"/>
        <w:right w:val="none" w:sz="0" w:space="0" w:color="auto"/>
      </w:divBdr>
    </w:div>
    <w:div w:id="768742861">
      <w:bodyDiv w:val="1"/>
      <w:marLeft w:val="0"/>
      <w:marRight w:val="0"/>
      <w:marTop w:val="0"/>
      <w:marBottom w:val="0"/>
      <w:divBdr>
        <w:top w:val="none" w:sz="0" w:space="0" w:color="auto"/>
        <w:left w:val="none" w:sz="0" w:space="0" w:color="auto"/>
        <w:bottom w:val="none" w:sz="0" w:space="0" w:color="auto"/>
        <w:right w:val="none" w:sz="0" w:space="0" w:color="auto"/>
      </w:divBdr>
    </w:div>
    <w:div w:id="768813386">
      <w:bodyDiv w:val="1"/>
      <w:marLeft w:val="0"/>
      <w:marRight w:val="0"/>
      <w:marTop w:val="0"/>
      <w:marBottom w:val="0"/>
      <w:divBdr>
        <w:top w:val="none" w:sz="0" w:space="0" w:color="auto"/>
        <w:left w:val="none" w:sz="0" w:space="0" w:color="auto"/>
        <w:bottom w:val="none" w:sz="0" w:space="0" w:color="auto"/>
        <w:right w:val="none" w:sz="0" w:space="0" w:color="auto"/>
      </w:divBdr>
    </w:div>
    <w:div w:id="769080477">
      <w:bodyDiv w:val="1"/>
      <w:marLeft w:val="0"/>
      <w:marRight w:val="0"/>
      <w:marTop w:val="0"/>
      <w:marBottom w:val="0"/>
      <w:divBdr>
        <w:top w:val="none" w:sz="0" w:space="0" w:color="auto"/>
        <w:left w:val="none" w:sz="0" w:space="0" w:color="auto"/>
        <w:bottom w:val="none" w:sz="0" w:space="0" w:color="auto"/>
        <w:right w:val="none" w:sz="0" w:space="0" w:color="auto"/>
      </w:divBdr>
    </w:div>
    <w:div w:id="769660004">
      <w:bodyDiv w:val="1"/>
      <w:marLeft w:val="0"/>
      <w:marRight w:val="0"/>
      <w:marTop w:val="0"/>
      <w:marBottom w:val="0"/>
      <w:divBdr>
        <w:top w:val="none" w:sz="0" w:space="0" w:color="auto"/>
        <w:left w:val="none" w:sz="0" w:space="0" w:color="auto"/>
        <w:bottom w:val="none" w:sz="0" w:space="0" w:color="auto"/>
        <w:right w:val="none" w:sz="0" w:space="0" w:color="auto"/>
      </w:divBdr>
    </w:div>
    <w:div w:id="770248562">
      <w:bodyDiv w:val="1"/>
      <w:marLeft w:val="0"/>
      <w:marRight w:val="0"/>
      <w:marTop w:val="0"/>
      <w:marBottom w:val="0"/>
      <w:divBdr>
        <w:top w:val="none" w:sz="0" w:space="0" w:color="auto"/>
        <w:left w:val="none" w:sz="0" w:space="0" w:color="auto"/>
        <w:bottom w:val="none" w:sz="0" w:space="0" w:color="auto"/>
        <w:right w:val="none" w:sz="0" w:space="0" w:color="auto"/>
      </w:divBdr>
    </w:div>
    <w:div w:id="770273822">
      <w:bodyDiv w:val="1"/>
      <w:marLeft w:val="0"/>
      <w:marRight w:val="0"/>
      <w:marTop w:val="0"/>
      <w:marBottom w:val="0"/>
      <w:divBdr>
        <w:top w:val="none" w:sz="0" w:space="0" w:color="auto"/>
        <w:left w:val="none" w:sz="0" w:space="0" w:color="auto"/>
        <w:bottom w:val="none" w:sz="0" w:space="0" w:color="auto"/>
        <w:right w:val="none" w:sz="0" w:space="0" w:color="auto"/>
      </w:divBdr>
    </w:div>
    <w:div w:id="770854648">
      <w:bodyDiv w:val="1"/>
      <w:marLeft w:val="0"/>
      <w:marRight w:val="0"/>
      <w:marTop w:val="0"/>
      <w:marBottom w:val="0"/>
      <w:divBdr>
        <w:top w:val="none" w:sz="0" w:space="0" w:color="auto"/>
        <w:left w:val="none" w:sz="0" w:space="0" w:color="auto"/>
        <w:bottom w:val="none" w:sz="0" w:space="0" w:color="auto"/>
        <w:right w:val="none" w:sz="0" w:space="0" w:color="auto"/>
      </w:divBdr>
    </w:div>
    <w:div w:id="771047730">
      <w:bodyDiv w:val="1"/>
      <w:marLeft w:val="0"/>
      <w:marRight w:val="0"/>
      <w:marTop w:val="0"/>
      <w:marBottom w:val="0"/>
      <w:divBdr>
        <w:top w:val="none" w:sz="0" w:space="0" w:color="auto"/>
        <w:left w:val="none" w:sz="0" w:space="0" w:color="auto"/>
        <w:bottom w:val="none" w:sz="0" w:space="0" w:color="auto"/>
        <w:right w:val="none" w:sz="0" w:space="0" w:color="auto"/>
      </w:divBdr>
    </w:div>
    <w:div w:id="771048350">
      <w:bodyDiv w:val="1"/>
      <w:marLeft w:val="0"/>
      <w:marRight w:val="0"/>
      <w:marTop w:val="0"/>
      <w:marBottom w:val="0"/>
      <w:divBdr>
        <w:top w:val="none" w:sz="0" w:space="0" w:color="auto"/>
        <w:left w:val="none" w:sz="0" w:space="0" w:color="auto"/>
        <w:bottom w:val="none" w:sz="0" w:space="0" w:color="auto"/>
        <w:right w:val="none" w:sz="0" w:space="0" w:color="auto"/>
      </w:divBdr>
    </w:div>
    <w:div w:id="771440775">
      <w:bodyDiv w:val="1"/>
      <w:marLeft w:val="0"/>
      <w:marRight w:val="0"/>
      <w:marTop w:val="0"/>
      <w:marBottom w:val="0"/>
      <w:divBdr>
        <w:top w:val="none" w:sz="0" w:space="0" w:color="auto"/>
        <w:left w:val="none" w:sz="0" w:space="0" w:color="auto"/>
        <w:bottom w:val="none" w:sz="0" w:space="0" w:color="auto"/>
        <w:right w:val="none" w:sz="0" w:space="0" w:color="auto"/>
      </w:divBdr>
    </w:div>
    <w:div w:id="771902417">
      <w:bodyDiv w:val="1"/>
      <w:marLeft w:val="0"/>
      <w:marRight w:val="0"/>
      <w:marTop w:val="0"/>
      <w:marBottom w:val="0"/>
      <w:divBdr>
        <w:top w:val="none" w:sz="0" w:space="0" w:color="auto"/>
        <w:left w:val="none" w:sz="0" w:space="0" w:color="auto"/>
        <w:bottom w:val="none" w:sz="0" w:space="0" w:color="auto"/>
        <w:right w:val="none" w:sz="0" w:space="0" w:color="auto"/>
      </w:divBdr>
    </w:div>
    <w:div w:id="772089530">
      <w:bodyDiv w:val="1"/>
      <w:marLeft w:val="0"/>
      <w:marRight w:val="0"/>
      <w:marTop w:val="0"/>
      <w:marBottom w:val="0"/>
      <w:divBdr>
        <w:top w:val="none" w:sz="0" w:space="0" w:color="auto"/>
        <w:left w:val="none" w:sz="0" w:space="0" w:color="auto"/>
        <w:bottom w:val="none" w:sz="0" w:space="0" w:color="auto"/>
        <w:right w:val="none" w:sz="0" w:space="0" w:color="auto"/>
      </w:divBdr>
    </w:div>
    <w:div w:id="773013288">
      <w:bodyDiv w:val="1"/>
      <w:marLeft w:val="0"/>
      <w:marRight w:val="0"/>
      <w:marTop w:val="0"/>
      <w:marBottom w:val="0"/>
      <w:divBdr>
        <w:top w:val="none" w:sz="0" w:space="0" w:color="auto"/>
        <w:left w:val="none" w:sz="0" w:space="0" w:color="auto"/>
        <w:bottom w:val="none" w:sz="0" w:space="0" w:color="auto"/>
        <w:right w:val="none" w:sz="0" w:space="0" w:color="auto"/>
      </w:divBdr>
    </w:div>
    <w:div w:id="774137456">
      <w:bodyDiv w:val="1"/>
      <w:marLeft w:val="0"/>
      <w:marRight w:val="0"/>
      <w:marTop w:val="0"/>
      <w:marBottom w:val="0"/>
      <w:divBdr>
        <w:top w:val="none" w:sz="0" w:space="0" w:color="auto"/>
        <w:left w:val="none" w:sz="0" w:space="0" w:color="auto"/>
        <w:bottom w:val="none" w:sz="0" w:space="0" w:color="auto"/>
        <w:right w:val="none" w:sz="0" w:space="0" w:color="auto"/>
      </w:divBdr>
    </w:div>
    <w:div w:id="774666763">
      <w:bodyDiv w:val="1"/>
      <w:marLeft w:val="0"/>
      <w:marRight w:val="0"/>
      <w:marTop w:val="0"/>
      <w:marBottom w:val="0"/>
      <w:divBdr>
        <w:top w:val="none" w:sz="0" w:space="0" w:color="auto"/>
        <w:left w:val="none" w:sz="0" w:space="0" w:color="auto"/>
        <w:bottom w:val="none" w:sz="0" w:space="0" w:color="auto"/>
        <w:right w:val="none" w:sz="0" w:space="0" w:color="auto"/>
      </w:divBdr>
    </w:div>
    <w:div w:id="775684124">
      <w:bodyDiv w:val="1"/>
      <w:marLeft w:val="0"/>
      <w:marRight w:val="0"/>
      <w:marTop w:val="0"/>
      <w:marBottom w:val="0"/>
      <w:divBdr>
        <w:top w:val="none" w:sz="0" w:space="0" w:color="auto"/>
        <w:left w:val="none" w:sz="0" w:space="0" w:color="auto"/>
        <w:bottom w:val="none" w:sz="0" w:space="0" w:color="auto"/>
        <w:right w:val="none" w:sz="0" w:space="0" w:color="auto"/>
      </w:divBdr>
    </w:div>
    <w:div w:id="776019452">
      <w:bodyDiv w:val="1"/>
      <w:marLeft w:val="0"/>
      <w:marRight w:val="0"/>
      <w:marTop w:val="0"/>
      <w:marBottom w:val="0"/>
      <w:divBdr>
        <w:top w:val="none" w:sz="0" w:space="0" w:color="auto"/>
        <w:left w:val="none" w:sz="0" w:space="0" w:color="auto"/>
        <w:bottom w:val="none" w:sz="0" w:space="0" w:color="auto"/>
        <w:right w:val="none" w:sz="0" w:space="0" w:color="auto"/>
      </w:divBdr>
    </w:div>
    <w:div w:id="776295509">
      <w:bodyDiv w:val="1"/>
      <w:marLeft w:val="0"/>
      <w:marRight w:val="0"/>
      <w:marTop w:val="0"/>
      <w:marBottom w:val="0"/>
      <w:divBdr>
        <w:top w:val="none" w:sz="0" w:space="0" w:color="auto"/>
        <w:left w:val="none" w:sz="0" w:space="0" w:color="auto"/>
        <w:bottom w:val="none" w:sz="0" w:space="0" w:color="auto"/>
        <w:right w:val="none" w:sz="0" w:space="0" w:color="auto"/>
      </w:divBdr>
    </w:div>
    <w:div w:id="776682374">
      <w:bodyDiv w:val="1"/>
      <w:marLeft w:val="0"/>
      <w:marRight w:val="0"/>
      <w:marTop w:val="0"/>
      <w:marBottom w:val="0"/>
      <w:divBdr>
        <w:top w:val="none" w:sz="0" w:space="0" w:color="auto"/>
        <w:left w:val="none" w:sz="0" w:space="0" w:color="auto"/>
        <w:bottom w:val="none" w:sz="0" w:space="0" w:color="auto"/>
        <w:right w:val="none" w:sz="0" w:space="0" w:color="auto"/>
      </w:divBdr>
    </w:div>
    <w:div w:id="777792011">
      <w:bodyDiv w:val="1"/>
      <w:marLeft w:val="0"/>
      <w:marRight w:val="0"/>
      <w:marTop w:val="0"/>
      <w:marBottom w:val="0"/>
      <w:divBdr>
        <w:top w:val="none" w:sz="0" w:space="0" w:color="auto"/>
        <w:left w:val="none" w:sz="0" w:space="0" w:color="auto"/>
        <w:bottom w:val="none" w:sz="0" w:space="0" w:color="auto"/>
        <w:right w:val="none" w:sz="0" w:space="0" w:color="auto"/>
      </w:divBdr>
    </w:div>
    <w:div w:id="780150412">
      <w:bodyDiv w:val="1"/>
      <w:marLeft w:val="0"/>
      <w:marRight w:val="0"/>
      <w:marTop w:val="0"/>
      <w:marBottom w:val="0"/>
      <w:divBdr>
        <w:top w:val="none" w:sz="0" w:space="0" w:color="auto"/>
        <w:left w:val="none" w:sz="0" w:space="0" w:color="auto"/>
        <w:bottom w:val="none" w:sz="0" w:space="0" w:color="auto"/>
        <w:right w:val="none" w:sz="0" w:space="0" w:color="auto"/>
      </w:divBdr>
    </w:div>
    <w:div w:id="780298189">
      <w:bodyDiv w:val="1"/>
      <w:marLeft w:val="0"/>
      <w:marRight w:val="0"/>
      <w:marTop w:val="0"/>
      <w:marBottom w:val="0"/>
      <w:divBdr>
        <w:top w:val="none" w:sz="0" w:space="0" w:color="auto"/>
        <w:left w:val="none" w:sz="0" w:space="0" w:color="auto"/>
        <w:bottom w:val="none" w:sz="0" w:space="0" w:color="auto"/>
        <w:right w:val="none" w:sz="0" w:space="0" w:color="auto"/>
      </w:divBdr>
    </w:div>
    <w:div w:id="783380676">
      <w:bodyDiv w:val="1"/>
      <w:marLeft w:val="0"/>
      <w:marRight w:val="0"/>
      <w:marTop w:val="0"/>
      <w:marBottom w:val="0"/>
      <w:divBdr>
        <w:top w:val="none" w:sz="0" w:space="0" w:color="auto"/>
        <w:left w:val="none" w:sz="0" w:space="0" w:color="auto"/>
        <w:bottom w:val="none" w:sz="0" w:space="0" w:color="auto"/>
        <w:right w:val="none" w:sz="0" w:space="0" w:color="auto"/>
      </w:divBdr>
    </w:div>
    <w:div w:id="783429395">
      <w:bodyDiv w:val="1"/>
      <w:marLeft w:val="0"/>
      <w:marRight w:val="0"/>
      <w:marTop w:val="0"/>
      <w:marBottom w:val="0"/>
      <w:divBdr>
        <w:top w:val="none" w:sz="0" w:space="0" w:color="auto"/>
        <w:left w:val="none" w:sz="0" w:space="0" w:color="auto"/>
        <w:bottom w:val="none" w:sz="0" w:space="0" w:color="auto"/>
        <w:right w:val="none" w:sz="0" w:space="0" w:color="auto"/>
      </w:divBdr>
    </w:div>
    <w:div w:id="784543878">
      <w:bodyDiv w:val="1"/>
      <w:marLeft w:val="0"/>
      <w:marRight w:val="0"/>
      <w:marTop w:val="0"/>
      <w:marBottom w:val="0"/>
      <w:divBdr>
        <w:top w:val="none" w:sz="0" w:space="0" w:color="auto"/>
        <w:left w:val="none" w:sz="0" w:space="0" w:color="auto"/>
        <w:bottom w:val="none" w:sz="0" w:space="0" w:color="auto"/>
        <w:right w:val="none" w:sz="0" w:space="0" w:color="auto"/>
      </w:divBdr>
    </w:div>
    <w:div w:id="785391054">
      <w:bodyDiv w:val="1"/>
      <w:marLeft w:val="0"/>
      <w:marRight w:val="0"/>
      <w:marTop w:val="0"/>
      <w:marBottom w:val="0"/>
      <w:divBdr>
        <w:top w:val="none" w:sz="0" w:space="0" w:color="auto"/>
        <w:left w:val="none" w:sz="0" w:space="0" w:color="auto"/>
        <w:bottom w:val="none" w:sz="0" w:space="0" w:color="auto"/>
        <w:right w:val="none" w:sz="0" w:space="0" w:color="auto"/>
      </w:divBdr>
    </w:div>
    <w:div w:id="786628798">
      <w:bodyDiv w:val="1"/>
      <w:marLeft w:val="0"/>
      <w:marRight w:val="0"/>
      <w:marTop w:val="0"/>
      <w:marBottom w:val="0"/>
      <w:divBdr>
        <w:top w:val="none" w:sz="0" w:space="0" w:color="auto"/>
        <w:left w:val="none" w:sz="0" w:space="0" w:color="auto"/>
        <w:bottom w:val="none" w:sz="0" w:space="0" w:color="auto"/>
        <w:right w:val="none" w:sz="0" w:space="0" w:color="auto"/>
      </w:divBdr>
    </w:div>
    <w:div w:id="788741395">
      <w:bodyDiv w:val="1"/>
      <w:marLeft w:val="0"/>
      <w:marRight w:val="0"/>
      <w:marTop w:val="0"/>
      <w:marBottom w:val="0"/>
      <w:divBdr>
        <w:top w:val="none" w:sz="0" w:space="0" w:color="auto"/>
        <w:left w:val="none" w:sz="0" w:space="0" w:color="auto"/>
        <w:bottom w:val="none" w:sz="0" w:space="0" w:color="auto"/>
        <w:right w:val="none" w:sz="0" w:space="0" w:color="auto"/>
      </w:divBdr>
    </w:div>
    <w:div w:id="788817685">
      <w:bodyDiv w:val="1"/>
      <w:marLeft w:val="0"/>
      <w:marRight w:val="0"/>
      <w:marTop w:val="0"/>
      <w:marBottom w:val="0"/>
      <w:divBdr>
        <w:top w:val="none" w:sz="0" w:space="0" w:color="auto"/>
        <w:left w:val="none" w:sz="0" w:space="0" w:color="auto"/>
        <w:bottom w:val="none" w:sz="0" w:space="0" w:color="auto"/>
        <w:right w:val="none" w:sz="0" w:space="0" w:color="auto"/>
      </w:divBdr>
    </w:div>
    <w:div w:id="789207456">
      <w:bodyDiv w:val="1"/>
      <w:marLeft w:val="0"/>
      <w:marRight w:val="0"/>
      <w:marTop w:val="0"/>
      <w:marBottom w:val="0"/>
      <w:divBdr>
        <w:top w:val="none" w:sz="0" w:space="0" w:color="auto"/>
        <w:left w:val="none" w:sz="0" w:space="0" w:color="auto"/>
        <w:bottom w:val="none" w:sz="0" w:space="0" w:color="auto"/>
        <w:right w:val="none" w:sz="0" w:space="0" w:color="auto"/>
      </w:divBdr>
    </w:div>
    <w:div w:id="789863467">
      <w:bodyDiv w:val="1"/>
      <w:marLeft w:val="0"/>
      <w:marRight w:val="0"/>
      <w:marTop w:val="0"/>
      <w:marBottom w:val="0"/>
      <w:divBdr>
        <w:top w:val="none" w:sz="0" w:space="0" w:color="auto"/>
        <w:left w:val="none" w:sz="0" w:space="0" w:color="auto"/>
        <w:bottom w:val="none" w:sz="0" w:space="0" w:color="auto"/>
        <w:right w:val="none" w:sz="0" w:space="0" w:color="auto"/>
      </w:divBdr>
    </w:div>
    <w:div w:id="790786933">
      <w:bodyDiv w:val="1"/>
      <w:marLeft w:val="0"/>
      <w:marRight w:val="0"/>
      <w:marTop w:val="0"/>
      <w:marBottom w:val="0"/>
      <w:divBdr>
        <w:top w:val="none" w:sz="0" w:space="0" w:color="auto"/>
        <w:left w:val="none" w:sz="0" w:space="0" w:color="auto"/>
        <w:bottom w:val="none" w:sz="0" w:space="0" w:color="auto"/>
        <w:right w:val="none" w:sz="0" w:space="0" w:color="auto"/>
      </w:divBdr>
    </w:div>
    <w:div w:id="792794372">
      <w:bodyDiv w:val="1"/>
      <w:marLeft w:val="0"/>
      <w:marRight w:val="0"/>
      <w:marTop w:val="0"/>
      <w:marBottom w:val="0"/>
      <w:divBdr>
        <w:top w:val="none" w:sz="0" w:space="0" w:color="auto"/>
        <w:left w:val="none" w:sz="0" w:space="0" w:color="auto"/>
        <w:bottom w:val="none" w:sz="0" w:space="0" w:color="auto"/>
        <w:right w:val="none" w:sz="0" w:space="0" w:color="auto"/>
      </w:divBdr>
    </w:div>
    <w:div w:id="793720346">
      <w:bodyDiv w:val="1"/>
      <w:marLeft w:val="0"/>
      <w:marRight w:val="0"/>
      <w:marTop w:val="0"/>
      <w:marBottom w:val="0"/>
      <w:divBdr>
        <w:top w:val="none" w:sz="0" w:space="0" w:color="auto"/>
        <w:left w:val="none" w:sz="0" w:space="0" w:color="auto"/>
        <w:bottom w:val="none" w:sz="0" w:space="0" w:color="auto"/>
        <w:right w:val="none" w:sz="0" w:space="0" w:color="auto"/>
      </w:divBdr>
    </w:div>
    <w:div w:id="794370571">
      <w:bodyDiv w:val="1"/>
      <w:marLeft w:val="0"/>
      <w:marRight w:val="0"/>
      <w:marTop w:val="0"/>
      <w:marBottom w:val="0"/>
      <w:divBdr>
        <w:top w:val="none" w:sz="0" w:space="0" w:color="auto"/>
        <w:left w:val="none" w:sz="0" w:space="0" w:color="auto"/>
        <w:bottom w:val="none" w:sz="0" w:space="0" w:color="auto"/>
        <w:right w:val="none" w:sz="0" w:space="0" w:color="auto"/>
      </w:divBdr>
    </w:div>
    <w:div w:id="794374281">
      <w:bodyDiv w:val="1"/>
      <w:marLeft w:val="0"/>
      <w:marRight w:val="0"/>
      <w:marTop w:val="0"/>
      <w:marBottom w:val="0"/>
      <w:divBdr>
        <w:top w:val="none" w:sz="0" w:space="0" w:color="auto"/>
        <w:left w:val="none" w:sz="0" w:space="0" w:color="auto"/>
        <w:bottom w:val="none" w:sz="0" w:space="0" w:color="auto"/>
        <w:right w:val="none" w:sz="0" w:space="0" w:color="auto"/>
      </w:divBdr>
    </w:div>
    <w:div w:id="796994098">
      <w:bodyDiv w:val="1"/>
      <w:marLeft w:val="0"/>
      <w:marRight w:val="0"/>
      <w:marTop w:val="0"/>
      <w:marBottom w:val="0"/>
      <w:divBdr>
        <w:top w:val="none" w:sz="0" w:space="0" w:color="auto"/>
        <w:left w:val="none" w:sz="0" w:space="0" w:color="auto"/>
        <w:bottom w:val="none" w:sz="0" w:space="0" w:color="auto"/>
        <w:right w:val="none" w:sz="0" w:space="0" w:color="auto"/>
      </w:divBdr>
    </w:div>
    <w:div w:id="797525217">
      <w:bodyDiv w:val="1"/>
      <w:marLeft w:val="0"/>
      <w:marRight w:val="0"/>
      <w:marTop w:val="0"/>
      <w:marBottom w:val="0"/>
      <w:divBdr>
        <w:top w:val="none" w:sz="0" w:space="0" w:color="auto"/>
        <w:left w:val="none" w:sz="0" w:space="0" w:color="auto"/>
        <w:bottom w:val="none" w:sz="0" w:space="0" w:color="auto"/>
        <w:right w:val="none" w:sz="0" w:space="0" w:color="auto"/>
      </w:divBdr>
    </w:div>
    <w:div w:id="799343771">
      <w:bodyDiv w:val="1"/>
      <w:marLeft w:val="0"/>
      <w:marRight w:val="0"/>
      <w:marTop w:val="0"/>
      <w:marBottom w:val="0"/>
      <w:divBdr>
        <w:top w:val="none" w:sz="0" w:space="0" w:color="auto"/>
        <w:left w:val="none" w:sz="0" w:space="0" w:color="auto"/>
        <w:bottom w:val="none" w:sz="0" w:space="0" w:color="auto"/>
        <w:right w:val="none" w:sz="0" w:space="0" w:color="auto"/>
      </w:divBdr>
    </w:div>
    <w:div w:id="800657658">
      <w:bodyDiv w:val="1"/>
      <w:marLeft w:val="0"/>
      <w:marRight w:val="0"/>
      <w:marTop w:val="0"/>
      <w:marBottom w:val="0"/>
      <w:divBdr>
        <w:top w:val="none" w:sz="0" w:space="0" w:color="auto"/>
        <w:left w:val="none" w:sz="0" w:space="0" w:color="auto"/>
        <w:bottom w:val="none" w:sz="0" w:space="0" w:color="auto"/>
        <w:right w:val="none" w:sz="0" w:space="0" w:color="auto"/>
      </w:divBdr>
    </w:div>
    <w:div w:id="800920733">
      <w:bodyDiv w:val="1"/>
      <w:marLeft w:val="0"/>
      <w:marRight w:val="0"/>
      <w:marTop w:val="0"/>
      <w:marBottom w:val="0"/>
      <w:divBdr>
        <w:top w:val="none" w:sz="0" w:space="0" w:color="auto"/>
        <w:left w:val="none" w:sz="0" w:space="0" w:color="auto"/>
        <w:bottom w:val="none" w:sz="0" w:space="0" w:color="auto"/>
        <w:right w:val="none" w:sz="0" w:space="0" w:color="auto"/>
      </w:divBdr>
    </w:div>
    <w:div w:id="801769976">
      <w:bodyDiv w:val="1"/>
      <w:marLeft w:val="0"/>
      <w:marRight w:val="0"/>
      <w:marTop w:val="0"/>
      <w:marBottom w:val="0"/>
      <w:divBdr>
        <w:top w:val="none" w:sz="0" w:space="0" w:color="auto"/>
        <w:left w:val="none" w:sz="0" w:space="0" w:color="auto"/>
        <w:bottom w:val="none" w:sz="0" w:space="0" w:color="auto"/>
        <w:right w:val="none" w:sz="0" w:space="0" w:color="auto"/>
      </w:divBdr>
    </w:div>
    <w:div w:id="802309015">
      <w:bodyDiv w:val="1"/>
      <w:marLeft w:val="0"/>
      <w:marRight w:val="0"/>
      <w:marTop w:val="0"/>
      <w:marBottom w:val="0"/>
      <w:divBdr>
        <w:top w:val="none" w:sz="0" w:space="0" w:color="auto"/>
        <w:left w:val="none" w:sz="0" w:space="0" w:color="auto"/>
        <w:bottom w:val="none" w:sz="0" w:space="0" w:color="auto"/>
        <w:right w:val="none" w:sz="0" w:space="0" w:color="auto"/>
      </w:divBdr>
    </w:div>
    <w:div w:id="804197678">
      <w:bodyDiv w:val="1"/>
      <w:marLeft w:val="0"/>
      <w:marRight w:val="0"/>
      <w:marTop w:val="0"/>
      <w:marBottom w:val="0"/>
      <w:divBdr>
        <w:top w:val="none" w:sz="0" w:space="0" w:color="auto"/>
        <w:left w:val="none" w:sz="0" w:space="0" w:color="auto"/>
        <w:bottom w:val="none" w:sz="0" w:space="0" w:color="auto"/>
        <w:right w:val="none" w:sz="0" w:space="0" w:color="auto"/>
      </w:divBdr>
    </w:div>
    <w:div w:id="804278002">
      <w:bodyDiv w:val="1"/>
      <w:marLeft w:val="0"/>
      <w:marRight w:val="0"/>
      <w:marTop w:val="0"/>
      <w:marBottom w:val="0"/>
      <w:divBdr>
        <w:top w:val="none" w:sz="0" w:space="0" w:color="auto"/>
        <w:left w:val="none" w:sz="0" w:space="0" w:color="auto"/>
        <w:bottom w:val="none" w:sz="0" w:space="0" w:color="auto"/>
        <w:right w:val="none" w:sz="0" w:space="0" w:color="auto"/>
      </w:divBdr>
    </w:div>
    <w:div w:id="804473021">
      <w:bodyDiv w:val="1"/>
      <w:marLeft w:val="0"/>
      <w:marRight w:val="0"/>
      <w:marTop w:val="0"/>
      <w:marBottom w:val="0"/>
      <w:divBdr>
        <w:top w:val="none" w:sz="0" w:space="0" w:color="auto"/>
        <w:left w:val="none" w:sz="0" w:space="0" w:color="auto"/>
        <w:bottom w:val="none" w:sz="0" w:space="0" w:color="auto"/>
        <w:right w:val="none" w:sz="0" w:space="0" w:color="auto"/>
      </w:divBdr>
    </w:div>
    <w:div w:id="804617057">
      <w:bodyDiv w:val="1"/>
      <w:marLeft w:val="0"/>
      <w:marRight w:val="0"/>
      <w:marTop w:val="0"/>
      <w:marBottom w:val="0"/>
      <w:divBdr>
        <w:top w:val="none" w:sz="0" w:space="0" w:color="auto"/>
        <w:left w:val="none" w:sz="0" w:space="0" w:color="auto"/>
        <w:bottom w:val="none" w:sz="0" w:space="0" w:color="auto"/>
        <w:right w:val="none" w:sz="0" w:space="0" w:color="auto"/>
      </w:divBdr>
    </w:div>
    <w:div w:id="806314610">
      <w:bodyDiv w:val="1"/>
      <w:marLeft w:val="0"/>
      <w:marRight w:val="0"/>
      <w:marTop w:val="0"/>
      <w:marBottom w:val="0"/>
      <w:divBdr>
        <w:top w:val="none" w:sz="0" w:space="0" w:color="auto"/>
        <w:left w:val="none" w:sz="0" w:space="0" w:color="auto"/>
        <w:bottom w:val="none" w:sz="0" w:space="0" w:color="auto"/>
        <w:right w:val="none" w:sz="0" w:space="0" w:color="auto"/>
      </w:divBdr>
    </w:div>
    <w:div w:id="806825374">
      <w:bodyDiv w:val="1"/>
      <w:marLeft w:val="0"/>
      <w:marRight w:val="0"/>
      <w:marTop w:val="0"/>
      <w:marBottom w:val="0"/>
      <w:divBdr>
        <w:top w:val="none" w:sz="0" w:space="0" w:color="auto"/>
        <w:left w:val="none" w:sz="0" w:space="0" w:color="auto"/>
        <w:bottom w:val="none" w:sz="0" w:space="0" w:color="auto"/>
        <w:right w:val="none" w:sz="0" w:space="0" w:color="auto"/>
      </w:divBdr>
    </w:div>
    <w:div w:id="807552519">
      <w:bodyDiv w:val="1"/>
      <w:marLeft w:val="0"/>
      <w:marRight w:val="0"/>
      <w:marTop w:val="0"/>
      <w:marBottom w:val="0"/>
      <w:divBdr>
        <w:top w:val="none" w:sz="0" w:space="0" w:color="auto"/>
        <w:left w:val="none" w:sz="0" w:space="0" w:color="auto"/>
        <w:bottom w:val="none" w:sz="0" w:space="0" w:color="auto"/>
        <w:right w:val="none" w:sz="0" w:space="0" w:color="auto"/>
      </w:divBdr>
    </w:div>
    <w:div w:id="807667427">
      <w:bodyDiv w:val="1"/>
      <w:marLeft w:val="0"/>
      <w:marRight w:val="0"/>
      <w:marTop w:val="0"/>
      <w:marBottom w:val="0"/>
      <w:divBdr>
        <w:top w:val="none" w:sz="0" w:space="0" w:color="auto"/>
        <w:left w:val="none" w:sz="0" w:space="0" w:color="auto"/>
        <w:bottom w:val="none" w:sz="0" w:space="0" w:color="auto"/>
        <w:right w:val="none" w:sz="0" w:space="0" w:color="auto"/>
      </w:divBdr>
    </w:div>
    <w:div w:id="807750202">
      <w:bodyDiv w:val="1"/>
      <w:marLeft w:val="0"/>
      <w:marRight w:val="0"/>
      <w:marTop w:val="0"/>
      <w:marBottom w:val="0"/>
      <w:divBdr>
        <w:top w:val="none" w:sz="0" w:space="0" w:color="auto"/>
        <w:left w:val="none" w:sz="0" w:space="0" w:color="auto"/>
        <w:bottom w:val="none" w:sz="0" w:space="0" w:color="auto"/>
        <w:right w:val="none" w:sz="0" w:space="0" w:color="auto"/>
      </w:divBdr>
    </w:div>
    <w:div w:id="808518949">
      <w:bodyDiv w:val="1"/>
      <w:marLeft w:val="0"/>
      <w:marRight w:val="0"/>
      <w:marTop w:val="0"/>
      <w:marBottom w:val="0"/>
      <w:divBdr>
        <w:top w:val="none" w:sz="0" w:space="0" w:color="auto"/>
        <w:left w:val="none" w:sz="0" w:space="0" w:color="auto"/>
        <w:bottom w:val="none" w:sz="0" w:space="0" w:color="auto"/>
        <w:right w:val="none" w:sz="0" w:space="0" w:color="auto"/>
      </w:divBdr>
    </w:div>
    <w:div w:id="809858309">
      <w:bodyDiv w:val="1"/>
      <w:marLeft w:val="0"/>
      <w:marRight w:val="0"/>
      <w:marTop w:val="0"/>
      <w:marBottom w:val="0"/>
      <w:divBdr>
        <w:top w:val="none" w:sz="0" w:space="0" w:color="auto"/>
        <w:left w:val="none" w:sz="0" w:space="0" w:color="auto"/>
        <w:bottom w:val="none" w:sz="0" w:space="0" w:color="auto"/>
        <w:right w:val="none" w:sz="0" w:space="0" w:color="auto"/>
      </w:divBdr>
    </w:div>
    <w:div w:id="809905392">
      <w:bodyDiv w:val="1"/>
      <w:marLeft w:val="0"/>
      <w:marRight w:val="0"/>
      <w:marTop w:val="0"/>
      <w:marBottom w:val="0"/>
      <w:divBdr>
        <w:top w:val="none" w:sz="0" w:space="0" w:color="auto"/>
        <w:left w:val="none" w:sz="0" w:space="0" w:color="auto"/>
        <w:bottom w:val="none" w:sz="0" w:space="0" w:color="auto"/>
        <w:right w:val="none" w:sz="0" w:space="0" w:color="auto"/>
      </w:divBdr>
    </w:div>
    <w:div w:id="809983235">
      <w:bodyDiv w:val="1"/>
      <w:marLeft w:val="0"/>
      <w:marRight w:val="0"/>
      <w:marTop w:val="0"/>
      <w:marBottom w:val="0"/>
      <w:divBdr>
        <w:top w:val="none" w:sz="0" w:space="0" w:color="auto"/>
        <w:left w:val="none" w:sz="0" w:space="0" w:color="auto"/>
        <w:bottom w:val="none" w:sz="0" w:space="0" w:color="auto"/>
        <w:right w:val="none" w:sz="0" w:space="0" w:color="auto"/>
      </w:divBdr>
    </w:div>
    <w:div w:id="810246246">
      <w:bodyDiv w:val="1"/>
      <w:marLeft w:val="0"/>
      <w:marRight w:val="0"/>
      <w:marTop w:val="0"/>
      <w:marBottom w:val="0"/>
      <w:divBdr>
        <w:top w:val="none" w:sz="0" w:space="0" w:color="auto"/>
        <w:left w:val="none" w:sz="0" w:space="0" w:color="auto"/>
        <w:bottom w:val="none" w:sz="0" w:space="0" w:color="auto"/>
        <w:right w:val="none" w:sz="0" w:space="0" w:color="auto"/>
      </w:divBdr>
    </w:div>
    <w:div w:id="810250982">
      <w:bodyDiv w:val="1"/>
      <w:marLeft w:val="0"/>
      <w:marRight w:val="0"/>
      <w:marTop w:val="0"/>
      <w:marBottom w:val="0"/>
      <w:divBdr>
        <w:top w:val="none" w:sz="0" w:space="0" w:color="auto"/>
        <w:left w:val="none" w:sz="0" w:space="0" w:color="auto"/>
        <w:bottom w:val="none" w:sz="0" w:space="0" w:color="auto"/>
        <w:right w:val="none" w:sz="0" w:space="0" w:color="auto"/>
      </w:divBdr>
    </w:div>
    <w:div w:id="810437380">
      <w:bodyDiv w:val="1"/>
      <w:marLeft w:val="0"/>
      <w:marRight w:val="0"/>
      <w:marTop w:val="0"/>
      <w:marBottom w:val="0"/>
      <w:divBdr>
        <w:top w:val="none" w:sz="0" w:space="0" w:color="auto"/>
        <w:left w:val="none" w:sz="0" w:space="0" w:color="auto"/>
        <w:bottom w:val="none" w:sz="0" w:space="0" w:color="auto"/>
        <w:right w:val="none" w:sz="0" w:space="0" w:color="auto"/>
      </w:divBdr>
    </w:div>
    <w:div w:id="810949906">
      <w:bodyDiv w:val="1"/>
      <w:marLeft w:val="0"/>
      <w:marRight w:val="0"/>
      <w:marTop w:val="0"/>
      <w:marBottom w:val="0"/>
      <w:divBdr>
        <w:top w:val="none" w:sz="0" w:space="0" w:color="auto"/>
        <w:left w:val="none" w:sz="0" w:space="0" w:color="auto"/>
        <w:bottom w:val="none" w:sz="0" w:space="0" w:color="auto"/>
        <w:right w:val="none" w:sz="0" w:space="0" w:color="auto"/>
      </w:divBdr>
    </w:div>
    <w:div w:id="813134914">
      <w:bodyDiv w:val="1"/>
      <w:marLeft w:val="0"/>
      <w:marRight w:val="0"/>
      <w:marTop w:val="0"/>
      <w:marBottom w:val="0"/>
      <w:divBdr>
        <w:top w:val="none" w:sz="0" w:space="0" w:color="auto"/>
        <w:left w:val="none" w:sz="0" w:space="0" w:color="auto"/>
        <w:bottom w:val="none" w:sz="0" w:space="0" w:color="auto"/>
        <w:right w:val="none" w:sz="0" w:space="0" w:color="auto"/>
      </w:divBdr>
    </w:div>
    <w:div w:id="814225019">
      <w:bodyDiv w:val="1"/>
      <w:marLeft w:val="0"/>
      <w:marRight w:val="0"/>
      <w:marTop w:val="0"/>
      <w:marBottom w:val="0"/>
      <w:divBdr>
        <w:top w:val="none" w:sz="0" w:space="0" w:color="auto"/>
        <w:left w:val="none" w:sz="0" w:space="0" w:color="auto"/>
        <w:bottom w:val="none" w:sz="0" w:space="0" w:color="auto"/>
        <w:right w:val="none" w:sz="0" w:space="0" w:color="auto"/>
      </w:divBdr>
    </w:div>
    <w:div w:id="814301856">
      <w:bodyDiv w:val="1"/>
      <w:marLeft w:val="0"/>
      <w:marRight w:val="0"/>
      <w:marTop w:val="0"/>
      <w:marBottom w:val="0"/>
      <w:divBdr>
        <w:top w:val="none" w:sz="0" w:space="0" w:color="auto"/>
        <w:left w:val="none" w:sz="0" w:space="0" w:color="auto"/>
        <w:bottom w:val="none" w:sz="0" w:space="0" w:color="auto"/>
        <w:right w:val="none" w:sz="0" w:space="0" w:color="auto"/>
      </w:divBdr>
    </w:div>
    <w:div w:id="817459517">
      <w:bodyDiv w:val="1"/>
      <w:marLeft w:val="0"/>
      <w:marRight w:val="0"/>
      <w:marTop w:val="0"/>
      <w:marBottom w:val="0"/>
      <w:divBdr>
        <w:top w:val="none" w:sz="0" w:space="0" w:color="auto"/>
        <w:left w:val="none" w:sz="0" w:space="0" w:color="auto"/>
        <w:bottom w:val="none" w:sz="0" w:space="0" w:color="auto"/>
        <w:right w:val="none" w:sz="0" w:space="0" w:color="auto"/>
      </w:divBdr>
    </w:div>
    <w:div w:id="817647325">
      <w:bodyDiv w:val="1"/>
      <w:marLeft w:val="0"/>
      <w:marRight w:val="0"/>
      <w:marTop w:val="0"/>
      <w:marBottom w:val="0"/>
      <w:divBdr>
        <w:top w:val="none" w:sz="0" w:space="0" w:color="auto"/>
        <w:left w:val="none" w:sz="0" w:space="0" w:color="auto"/>
        <w:bottom w:val="none" w:sz="0" w:space="0" w:color="auto"/>
        <w:right w:val="none" w:sz="0" w:space="0" w:color="auto"/>
      </w:divBdr>
    </w:div>
    <w:div w:id="818810511">
      <w:bodyDiv w:val="1"/>
      <w:marLeft w:val="0"/>
      <w:marRight w:val="0"/>
      <w:marTop w:val="0"/>
      <w:marBottom w:val="0"/>
      <w:divBdr>
        <w:top w:val="none" w:sz="0" w:space="0" w:color="auto"/>
        <w:left w:val="none" w:sz="0" w:space="0" w:color="auto"/>
        <w:bottom w:val="none" w:sz="0" w:space="0" w:color="auto"/>
        <w:right w:val="none" w:sz="0" w:space="0" w:color="auto"/>
      </w:divBdr>
    </w:div>
    <w:div w:id="819732408">
      <w:bodyDiv w:val="1"/>
      <w:marLeft w:val="0"/>
      <w:marRight w:val="0"/>
      <w:marTop w:val="0"/>
      <w:marBottom w:val="0"/>
      <w:divBdr>
        <w:top w:val="none" w:sz="0" w:space="0" w:color="auto"/>
        <w:left w:val="none" w:sz="0" w:space="0" w:color="auto"/>
        <w:bottom w:val="none" w:sz="0" w:space="0" w:color="auto"/>
        <w:right w:val="none" w:sz="0" w:space="0" w:color="auto"/>
      </w:divBdr>
    </w:div>
    <w:div w:id="820075731">
      <w:bodyDiv w:val="1"/>
      <w:marLeft w:val="0"/>
      <w:marRight w:val="0"/>
      <w:marTop w:val="0"/>
      <w:marBottom w:val="0"/>
      <w:divBdr>
        <w:top w:val="none" w:sz="0" w:space="0" w:color="auto"/>
        <w:left w:val="none" w:sz="0" w:space="0" w:color="auto"/>
        <w:bottom w:val="none" w:sz="0" w:space="0" w:color="auto"/>
        <w:right w:val="none" w:sz="0" w:space="0" w:color="auto"/>
      </w:divBdr>
    </w:div>
    <w:div w:id="821508711">
      <w:bodyDiv w:val="1"/>
      <w:marLeft w:val="0"/>
      <w:marRight w:val="0"/>
      <w:marTop w:val="0"/>
      <w:marBottom w:val="0"/>
      <w:divBdr>
        <w:top w:val="none" w:sz="0" w:space="0" w:color="auto"/>
        <w:left w:val="none" w:sz="0" w:space="0" w:color="auto"/>
        <w:bottom w:val="none" w:sz="0" w:space="0" w:color="auto"/>
        <w:right w:val="none" w:sz="0" w:space="0" w:color="auto"/>
      </w:divBdr>
    </w:div>
    <w:div w:id="821698797">
      <w:bodyDiv w:val="1"/>
      <w:marLeft w:val="0"/>
      <w:marRight w:val="0"/>
      <w:marTop w:val="0"/>
      <w:marBottom w:val="0"/>
      <w:divBdr>
        <w:top w:val="none" w:sz="0" w:space="0" w:color="auto"/>
        <w:left w:val="none" w:sz="0" w:space="0" w:color="auto"/>
        <w:bottom w:val="none" w:sz="0" w:space="0" w:color="auto"/>
        <w:right w:val="none" w:sz="0" w:space="0" w:color="auto"/>
      </w:divBdr>
    </w:div>
    <w:div w:id="825974966">
      <w:bodyDiv w:val="1"/>
      <w:marLeft w:val="0"/>
      <w:marRight w:val="0"/>
      <w:marTop w:val="0"/>
      <w:marBottom w:val="0"/>
      <w:divBdr>
        <w:top w:val="none" w:sz="0" w:space="0" w:color="auto"/>
        <w:left w:val="none" w:sz="0" w:space="0" w:color="auto"/>
        <w:bottom w:val="none" w:sz="0" w:space="0" w:color="auto"/>
        <w:right w:val="none" w:sz="0" w:space="0" w:color="auto"/>
      </w:divBdr>
    </w:div>
    <w:div w:id="826938092">
      <w:bodyDiv w:val="1"/>
      <w:marLeft w:val="0"/>
      <w:marRight w:val="0"/>
      <w:marTop w:val="0"/>
      <w:marBottom w:val="0"/>
      <w:divBdr>
        <w:top w:val="none" w:sz="0" w:space="0" w:color="auto"/>
        <w:left w:val="none" w:sz="0" w:space="0" w:color="auto"/>
        <w:bottom w:val="none" w:sz="0" w:space="0" w:color="auto"/>
        <w:right w:val="none" w:sz="0" w:space="0" w:color="auto"/>
      </w:divBdr>
    </w:div>
    <w:div w:id="827288351">
      <w:bodyDiv w:val="1"/>
      <w:marLeft w:val="0"/>
      <w:marRight w:val="0"/>
      <w:marTop w:val="0"/>
      <w:marBottom w:val="0"/>
      <w:divBdr>
        <w:top w:val="none" w:sz="0" w:space="0" w:color="auto"/>
        <w:left w:val="none" w:sz="0" w:space="0" w:color="auto"/>
        <w:bottom w:val="none" w:sz="0" w:space="0" w:color="auto"/>
        <w:right w:val="none" w:sz="0" w:space="0" w:color="auto"/>
      </w:divBdr>
    </w:div>
    <w:div w:id="828669071">
      <w:bodyDiv w:val="1"/>
      <w:marLeft w:val="0"/>
      <w:marRight w:val="0"/>
      <w:marTop w:val="0"/>
      <w:marBottom w:val="0"/>
      <w:divBdr>
        <w:top w:val="none" w:sz="0" w:space="0" w:color="auto"/>
        <w:left w:val="none" w:sz="0" w:space="0" w:color="auto"/>
        <w:bottom w:val="none" w:sz="0" w:space="0" w:color="auto"/>
        <w:right w:val="none" w:sz="0" w:space="0" w:color="auto"/>
      </w:divBdr>
    </w:div>
    <w:div w:id="830292808">
      <w:bodyDiv w:val="1"/>
      <w:marLeft w:val="0"/>
      <w:marRight w:val="0"/>
      <w:marTop w:val="0"/>
      <w:marBottom w:val="0"/>
      <w:divBdr>
        <w:top w:val="none" w:sz="0" w:space="0" w:color="auto"/>
        <w:left w:val="none" w:sz="0" w:space="0" w:color="auto"/>
        <w:bottom w:val="none" w:sz="0" w:space="0" w:color="auto"/>
        <w:right w:val="none" w:sz="0" w:space="0" w:color="auto"/>
      </w:divBdr>
    </w:div>
    <w:div w:id="830487998">
      <w:bodyDiv w:val="1"/>
      <w:marLeft w:val="0"/>
      <w:marRight w:val="0"/>
      <w:marTop w:val="0"/>
      <w:marBottom w:val="0"/>
      <w:divBdr>
        <w:top w:val="none" w:sz="0" w:space="0" w:color="auto"/>
        <w:left w:val="none" w:sz="0" w:space="0" w:color="auto"/>
        <w:bottom w:val="none" w:sz="0" w:space="0" w:color="auto"/>
        <w:right w:val="none" w:sz="0" w:space="0" w:color="auto"/>
      </w:divBdr>
    </w:div>
    <w:div w:id="831993463">
      <w:bodyDiv w:val="1"/>
      <w:marLeft w:val="0"/>
      <w:marRight w:val="0"/>
      <w:marTop w:val="0"/>
      <w:marBottom w:val="0"/>
      <w:divBdr>
        <w:top w:val="none" w:sz="0" w:space="0" w:color="auto"/>
        <w:left w:val="none" w:sz="0" w:space="0" w:color="auto"/>
        <w:bottom w:val="none" w:sz="0" w:space="0" w:color="auto"/>
        <w:right w:val="none" w:sz="0" w:space="0" w:color="auto"/>
      </w:divBdr>
    </w:div>
    <w:div w:id="832255787">
      <w:bodyDiv w:val="1"/>
      <w:marLeft w:val="0"/>
      <w:marRight w:val="0"/>
      <w:marTop w:val="0"/>
      <w:marBottom w:val="0"/>
      <w:divBdr>
        <w:top w:val="none" w:sz="0" w:space="0" w:color="auto"/>
        <w:left w:val="none" w:sz="0" w:space="0" w:color="auto"/>
        <w:bottom w:val="none" w:sz="0" w:space="0" w:color="auto"/>
        <w:right w:val="none" w:sz="0" w:space="0" w:color="auto"/>
      </w:divBdr>
    </w:div>
    <w:div w:id="832720935">
      <w:bodyDiv w:val="1"/>
      <w:marLeft w:val="0"/>
      <w:marRight w:val="0"/>
      <w:marTop w:val="0"/>
      <w:marBottom w:val="0"/>
      <w:divBdr>
        <w:top w:val="none" w:sz="0" w:space="0" w:color="auto"/>
        <w:left w:val="none" w:sz="0" w:space="0" w:color="auto"/>
        <w:bottom w:val="none" w:sz="0" w:space="0" w:color="auto"/>
        <w:right w:val="none" w:sz="0" w:space="0" w:color="auto"/>
      </w:divBdr>
    </w:div>
    <w:div w:id="834416507">
      <w:bodyDiv w:val="1"/>
      <w:marLeft w:val="0"/>
      <w:marRight w:val="0"/>
      <w:marTop w:val="0"/>
      <w:marBottom w:val="0"/>
      <w:divBdr>
        <w:top w:val="none" w:sz="0" w:space="0" w:color="auto"/>
        <w:left w:val="none" w:sz="0" w:space="0" w:color="auto"/>
        <w:bottom w:val="none" w:sz="0" w:space="0" w:color="auto"/>
        <w:right w:val="none" w:sz="0" w:space="0" w:color="auto"/>
      </w:divBdr>
    </w:div>
    <w:div w:id="835728989">
      <w:bodyDiv w:val="1"/>
      <w:marLeft w:val="0"/>
      <w:marRight w:val="0"/>
      <w:marTop w:val="0"/>
      <w:marBottom w:val="0"/>
      <w:divBdr>
        <w:top w:val="none" w:sz="0" w:space="0" w:color="auto"/>
        <w:left w:val="none" w:sz="0" w:space="0" w:color="auto"/>
        <w:bottom w:val="none" w:sz="0" w:space="0" w:color="auto"/>
        <w:right w:val="none" w:sz="0" w:space="0" w:color="auto"/>
      </w:divBdr>
    </w:div>
    <w:div w:id="835995489">
      <w:bodyDiv w:val="1"/>
      <w:marLeft w:val="0"/>
      <w:marRight w:val="0"/>
      <w:marTop w:val="0"/>
      <w:marBottom w:val="0"/>
      <w:divBdr>
        <w:top w:val="none" w:sz="0" w:space="0" w:color="auto"/>
        <w:left w:val="none" w:sz="0" w:space="0" w:color="auto"/>
        <w:bottom w:val="none" w:sz="0" w:space="0" w:color="auto"/>
        <w:right w:val="none" w:sz="0" w:space="0" w:color="auto"/>
      </w:divBdr>
    </w:div>
    <w:div w:id="838082992">
      <w:bodyDiv w:val="1"/>
      <w:marLeft w:val="0"/>
      <w:marRight w:val="0"/>
      <w:marTop w:val="0"/>
      <w:marBottom w:val="0"/>
      <w:divBdr>
        <w:top w:val="none" w:sz="0" w:space="0" w:color="auto"/>
        <w:left w:val="none" w:sz="0" w:space="0" w:color="auto"/>
        <w:bottom w:val="none" w:sz="0" w:space="0" w:color="auto"/>
        <w:right w:val="none" w:sz="0" w:space="0" w:color="auto"/>
      </w:divBdr>
    </w:div>
    <w:div w:id="842741040">
      <w:bodyDiv w:val="1"/>
      <w:marLeft w:val="0"/>
      <w:marRight w:val="0"/>
      <w:marTop w:val="0"/>
      <w:marBottom w:val="0"/>
      <w:divBdr>
        <w:top w:val="none" w:sz="0" w:space="0" w:color="auto"/>
        <w:left w:val="none" w:sz="0" w:space="0" w:color="auto"/>
        <w:bottom w:val="none" w:sz="0" w:space="0" w:color="auto"/>
        <w:right w:val="none" w:sz="0" w:space="0" w:color="auto"/>
      </w:divBdr>
    </w:div>
    <w:div w:id="842816478">
      <w:bodyDiv w:val="1"/>
      <w:marLeft w:val="0"/>
      <w:marRight w:val="0"/>
      <w:marTop w:val="0"/>
      <w:marBottom w:val="0"/>
      <w:divBdr>
        <w:top w:val="none" w:sz="0" w:space="0" w:color="auto"/>
        <w:left w:val="none" w:sz="0" w:space="0" w:color="auto"/>
        <w:bottom w:val="none" w:sz="0" w:space="0" w:color="auto"/>
        <w:right w:val="none" w:sz="0" w:space="0" w:color="auto"/>
      </w:divBdr>
    </w:div>
    <w:div w:id="843593490">
      <w:bodyDiv w:val="1"/>
      <w:marLeft w:val="0"/>
      <w:marRight w:val="0"/>
      <w:marTop w:val="0"/>
      <w:marBottom w:val="0"/>
      <w:divBdr>
        <w:top w:val="none" w:sz="0" w:space="0" w:color="auto"/>
        <w:left w:val="none" w:sz="0" w:space="0" w:color="auto"/>
        <w:bottom w:val="none" w:sz="0" w:space="0" w:color="auto"/>
        <w:right w:val="none" w:sz="0" w:space="0" w:color="auto"/>
      </w:divBdr>
    </w:div>
    <w:div w:id="847251595">
      <w:bodyDiv w:val="1"/>
      <w:marLeft w:val="0"/>
      <w:marRight w:val="0"/>
      <w:marTop w:val="0"/>
      <w:marBottom w:val="0"/>
      <w:divBdr>
        <w:top w:val="none" w:sz="0" w:space="0" w:color="auto"/>
        <w:left w:val="none" w:sz="0" w:space="0" w:color="auto"/>
        <w:bottom w:val="none" w:sz="0" w:space="0" w:color="auto"/>
        <w:right w:val="none" w:sz="0" w:space="0" w:color="auto"/>
      </w:divBdr>
    </w:div>
    <w:div w:id="850144011">
      <w:bodyDiv w:val="1"/>
      <w:marLeft w:val="0"/>
      <w:marRight w:val="0"/>
      <w:marTop w:val="0"/>
      <w:marBottom w:val="0"/>
      <w:divBdr>
        <w:top w:val="none" w:sz="0" w:space="0" w:color="auto"/>
        <w:left w:val="none" w:sz="0" w:space="0" w:color="auto"/>
        <w:bottom w:val="none" w:sz="0" w:space="0" w:color="auto"/>
        <w:right w:val="none" w:sz="0" w:space="0" w:color="auto"/>
      </w:divBdr>
    </w:div>
    <w:div w:id="851188859">
      <w:bodyDiv w:val="1"/>
      <w:marLeft w:val="0"/>
      <w:marRight w:val="0"/>
      <w:marTop w:val="0"/>
      <w:marBottom w:val="0"/>
      <w:divBdr>
        <w:top w:val="none" w:sz="0" w:space="0" w:color="auto"/>
        <w:left w:val="none" w:sz="0" w:space="0" w:color="auto"/>
        <w:bottom w:val="none" w:sz="0" w:space="0" w:color="auto"/>
        <w:right w:val="none" w:sz="0" w:space="0" w:color="auto"/>
      </w:divBdr>
    </w:div>
    <w:div w:id="851339184">
      <w:bodyDiv w:val="1"/>
      <w:marLeft w:val="0"/>
      <w:marRight w:val="0"/>
      <w:marTop w:val="0"/>
      <w:marBottom w:val="0"/>
      <w:divBdr>
        <w:top w:val="none" w:sz="0" w:space="0" w:color="auto"/>
        <w:left w:val="none" w:sz="0" w:space="0" w:color="auto"/>
        <w:bottom w:val="none" w:sz="0" w:space="0" w:color="auto"/>
        <w:right w:val="none" w:sz="0" w:space="0" w:color="auto"/>
      </w:divBdr>
    </w:div>
    <w:div w:id="852646885">
      <w:bodyDiv w:val="1"/>
      <w:marLeft w:val="0"/>
      <w:marRight w:val="0"/>
      <w:marTop w:val="0"/>
      <w:marBottom w:val="0"/>
      <w:divBdr>
        <w:top w:val="none" w:sz="0" w:space="0" w:color="auto"/>
        <w:left w:val="none" w:sz="0" w:space="0" w:color="auto"/>
        <w:bottom w:val="none" w:sz="0" w:space="0" w:color="auto"/>
        <w:right w:val="none" w:sz="0" w:space="0" w:color="auto"/>
      </w:divBdr>
    </w:div>
    <w:div w:id="853226272">
      <w:bodyDiv w:val="1"/>
      <w:marLeft w:val="0"/>
      <w:marRight w:val="0"/>
      <w:marTop w:val="0"/>
      <w:marBottom w:val="0"/>
      <w:divBdr>
        <w:top w:val="none" w:sz="0" w:space="0" w:color="auto"/>
        <w:left w:val="none" w:sz="0" w:space="0" w:color="auto"/>
        <w:bottom w:val="none" w:sz="0" w:space="0" w:color="auto"/>
        <w:right w:val="none" w:sz="0" w:space="0" w:color="auto"/>
      </w:divBdr>
    </w:div>
    <w:div w:id="855264368">
      <w:bodyDiv w:val="1"/>
      <w:marLeft w:val="0"/>
      <w:marRight w:val="0"/>
      <w:marTop w:val="0"/>
      <w:marBottom w:val="0"/>
      <w:divBdr>
        <w:top w:val="none" w:sz="0" w:space="0" w:color="auto"/>
        <w:left w:val="none" w:sz="0" w:space="0" w:color="auto"/>
        <w:bottom w:val="none" w:sz="0" w:space="0" w:color="auto"/>
        <w:right w:val="none" w:sz="0" w:space="0" w:color="auto"/>
      </w:divBdr>
    </w:div>
    <w:div w:id="857084808">
      <w:bodyDiv w:val="1"/>
      <w:marLeft w:val="0"/>
      <w:marRight w:val="0"/>
      <w:marTop w:val="0"/>
      <w:marBottom w:val="0"/>
      <w:divBdr>
        <w:top w:val="none" w:sz="0" w:space="0" w:color="auto"/>
        <w:left w:val="none" w:sz="0" w:space="0" w:color="auto"/>
        <w:bottom w:val="none" w:sz="0" w:space="0" w:color="auto"/>
        <w:right w:val="none" w:sz="0" w:space="0" w:color="auto"/>
      </w:divBdr>
    </w:div>
    <w:div w:id="857937169">
      <w:bodyDiv w:val="1"/>
      <w:marLeft w:val="0"/>
      <w:marRight w:val="0"/>
      <w:marTop w:val="0"/>
      <w:marBottom w:val="0"/>
      <w:divBdr>
        <w:top w:val="none" w:sz="0" w:space="0" w:color="auto"/>
        <w:left w:val="none" w:sz="0" w:space="0" w:color="auto"/>
        <w:bottom w:val="none" w:sz="0" w:space="0" w:color="auto"/>
        <w:right w:val="none" w:sz="0" w:space="0" w:color="auto"/>
      </w:divBdr>
    </w:div>
    <w:div w:id="858592021">
      <w:bodyDiv w:val="1"/>
      <w:marLeft w:val="0"/>
      <w:marRight w:val="0"/>
      <w:marTop w:val="0"/>
      <w:marBottom w:val="0"/>
      <w:divBdr>
        <w:top w:val="none" w:sz="0" w:space="0" w:color="auto"/>
        <w:left w:val="none" w:sz="0" w:space="0" w:color="auto"/>
        <w:bottom w:val="none" w:sz="0" w:space="0" w:color="auto"/>
        <w:right w:val="none" w:sz="0" w:space="0" w:color="auto"/>
      </w:divBdr>
    </w:div>
    <w:div w:id="859322661">
      <w:bodyDiv w:val="1"/>
      <w:marLeft w:val="0"/>
      <w:marRight w:val="0"/>
      <w:marTop w:val="0"/>
      <w:marBottom w:val="0"/>
      <w:divBdr>
        <w:top w:val="none" w:sz="0" w:space="0" w:color="auto"/>
        <w:left w:val="none" w:sz="0" w:space="0" w:color="auto"/>
        <w:bottom w:val="none" w:sz="0" w:space="0" w:color="auto"/>
        <w:right w:val="none" w:sz="0" w:space="0" w:color="auto"/>
      </w:divBdr>
    </w:div>
    <w:div w:id="860750552">
      <w:bodyDiv w:val="1"/>
      <w:marLeft w:val="0"/>
      <w:marRight w:val="0"/>
      <w:marTop w:val="0"/>
      <w:marBottom w:val="0"/>
      <w:divBdr>
        <w:top w:val="none" w:sz="0" w:space="0" w:color="auto"/>
        <w:left w:val="none" w:sz="0" w:space="0" w:color="auto"/>
        <w:bottom w:val="none" w:sz="0" w:space="0" w:color="auto"/>
        <w:right w:val="none" w:sz="0" w:space="0" w:color="auto"/>
      </w:divBdr>
    </w:div>
    <w:div w:id="862089273">
      <w:bodyDiv w:val="1"/>
      <w:marLeft w:val="0"/>
      <w:marRight w:val="0"/>
      <w:marTop w:val="0"/>
      <w:marBottom w:val="0"/>
      <w:divBdr>
        <w:top w:val="none" w:sz="0" w:space="0" w:color="auto"/>
        <w:left w:val="none" w:sz="0" w:space="0" w:color="auto"/>
        <w:bottom w:val="none" w:sz="0" w:space="0" w:color="auto"/>
        <w:right w:val="none" w:sz="0" w:space="0" w:color="auto"/>
      </w:divBdr>
    </w:div>
    <w:div w:id="863641235">
      <w:bodyDiv w:val="1"/>
      <w:marLeft w:val="0"/>
      <w:marRight w:val="0"/>
      <w:marTop w:val="0"/>
      <w:marBottom w:val="0"/>
      <w:divBdr>
        <w:top w:val="none" w:sz="0" w:space="0" w:color="auto"/>
        <w:left w:val="none" w:sz="0" w:space="0" w:color="auto"/>
        <w:bottom w:val="none" w:sz="0" w:space="0" w:color="auto"/>
        <w:right w:val="none" w:sz="0" w:space="0" w:color="auto"/>
      </w:divBdr>
    </w:div>
    <w:div w:id="864058789">
      <w:bodyDiv w:val="1"/>
      <w:marLeft w:val="0"/>
      <w:marRight w:val="0"/>
      <w:marTop w:val="0"/>
      <w:marBottom w:val="0"/>
      <w:divBdr>
        <w:top w:val="none" w:sz="0" w:space="0" w:color="auto"/>
        <w:left w:val="none" w:sz="0" w:space="0" w:color="auto"/>
        <w:bottom w:val="none" w:sz="0" w:space="0" w:color="auto"/>
        <w:right w:val="none" w:sz="0" w:space="0" w:color="auto"/>
      </w:divBdr>
    </w:div>
    <w:div w:id="865095039">
      <w:bodyDiv w:val="1"/>
      <w:marLeft w:val="0"/>
      <w:marRight w:val="0"/>
      <w:marTop w:val="0"/>
      <w:marBottom w:val="0"/>
      <w:divBdr>
        <w:top w:val="none" w:sz="0" w:space="0" w:color="auto"/>
        <w:left w:val="none" w:sz="0" w:space="0" w:color="auto"/>
        <w:bottom w:val="none" w:sz="0" w:space="0" w:color="auto"/>
        <w:right w:val="none" w:sz="0" w:space="0" w:color="auto"/>
      </w:divBdr>
    </w:div>
    <w:div w:id="865337609">
      <w:bodyDiv w:val="1"/>
      <w:marLeft w:val="0"/>
      <w:marRight w:val="0"/>
      <w:marTop w:val="0"/>
      <w:marBottom w:val="0"/>
      <w:divBdr>
        <w:top w:val="none" w:sz="0" w:space="0" w:color="auto"/>
        <w:left w:val="none" w:sz="0" w:space="0" w:color="auto"/>
        <w:bottom w:val="none" w:sz="0" w:space="0" w:color="auto"/>
        <w:right w:val="none" w:sz="0" w:space="0" w:color="auto"/>
      </w:divBdr>
    </w:div>
    <w:div w:id="871771847">
      <w:bodyDiv w:val="1"/>
      <w:marLeft w:val="0"/>
      <w:marRight w:val="0"/>
      <w:marTop w:val="0"/>
      <w:marBottom w:val="0"/>
      <w:divBdr>
        <w:top w:val="none" w:sz="0" w:space="0" w:color="auto"/>
        <w:left w:val="none" w:sz="0" w:space="0" w:color="auto"/>
        <w:bottom w:val="none" w:sz="0" w:space="0" w:color="auto"/>
        <w:right w:val="none" w:sz="0" w:space="0" w:color="auto"/>
      </w:divBdr>
    </w:div>
    <w:div w:id="872764983">
      <w:bodyDiv w:val="1"/>
      <w:marLeft w:val="0"/>
      <w:marRight w:val="0"/>
      <w:marTop w:val="0"/>
      <w:marBottom w:val="0"/>
      <w:divBdr>
        <w:top w:val="none" w:sz="0" w:space="0" w:color="auto"/>
        <w:left w:val="none" w:sz="0" w:space="0" w:color="auto"/>
        <w:bottom w:val="none" w:sz="0" w:space="0" w:color="auto"/>
        <w:right w:val="none" w:sz="0" w:space="0" w:color="auto"/>
      </w:divBdr>
    </w:div>
    <w:div w:id="875772168">
      <w:bodyDiv w:val="1"/>
      <w:marLeft w:val="0"/>
      <w:marRight w:val="0"/>
      <w:marTop w:val="0"/>
      <w:marBottom w:val="0"/>
      <w:divBdr>
        <w:top w:val="none" w:sz="0" w:space="0" w:color="auto"/>
        <w:left w:val="none" w:sz="0" w:space="0" w:color="auto"/>
        <w:bottom w:val="none" w:sz="0" w:space="0" w:color="auto"/>
        <w:right w:val="none" w:sz="0" w:space="0" w:color="auto"/>
      </w:divBdr>
    </w:div>
    <w:div w:id="876238211">
      <w:bodyDiv w:val="1"/>
      <w:marLeft w:val="0"/>
      <w:marRight w:val="0"/>
      <w:marTop w:val="0"/>
      <w:marBottom w:val="0"/>
      <w:divBdr>
        <w:top w:val="none" w:sz="0" w:space="0" w:color="auto"/>
        <w:left w:val="none" w:sz="0" w:space="0" w:color="auto"/>
        <w:bottom w:val="none" w:sz="0" w:space="0" w:color="auto"/>
        <w:right w:val="none" w:sz="0" w:space="0" w:color="auto"/>
      </w:divBdr>
    </w:div>
    <w:div w:id="878906002">
      <w:bodyDiv w:val="1"/>
      <w:marLeft w:val="0"/>
      <w:marRight w:val="0"/>
      <w:marTop w:val="0"/>
      <w:marBottom w:val="0"/>
      <w:divBdr>
        <w:top w:val="none" w:sz="0" w:space="0" w:color="auto"/>
        <w:left w:val="none" w:sz="0" w:space="0" w:color="auto"/>
        <w:bottom w:val="none" w:sz="0" w:space="0" w:color="auto"/>
        <w:right w:val="none" w:sz="0" w:space="0" w:color="auto"/>
      </w:divBdr>
    </w:div>
    <w:div w:id="879249115">
      <w:bodyDiv w:val="1"/>
      <w:marLeft w:val="0"/>
      <w:marRight w:val="0"/>
      <w:marTop w:val="0"/>
      <w:marBottom w:val="0"/>
      <w:divBdr>
        <w:top w:val="none" w:sz="0" w:space="0" w:color="auto"/>
        <w:left w:val="none" w:sz="0" w:space="0" w:color="auto"/>
        <w:bottom w:val="none" w:sz="0" w:space="0" w:color="auto"/>
        <w:right w:val="none" w:sz="0" w:space="0" w:color="auto"/>
      </w:divBdr>
    </w:div>
    <w:div w:id="879708451">
      <w:bodyDiv w:val="1"/>
      <w:marLeft w:val="0"/>
      <w:marRight w:val="0"/>
      <w:marTop w:val="0"/>
      <w:marBottom w:val="0"/>
      <w:divBdr>
        <w:top w:val="none" w:sz="0" w:space="0" w:color="auto"/>
        <w:left w:val="none" w:sz="0" w:space="0" w:color="auto"/>
        <w:bottom w:val="none" w:sz="0" w:space="0" w:color="auto"/>
        <w:right w:val="none" w:sz="0" w:space="0" w:color="auto"/>
      </w:divBdr>
    </w:div>
    <w:div w:id="880631605">
      <w:bodyDiv w:val="1"/>
      <w:marLeft w:val="0"/>
      <w:marRight w:val="0"/>
      <w:marTop w:val="0"/>
      <w:marBottom w:val="0"/>
      <w:divBdr>
        <w:top w:val="none" w:sz="0" w:space="0" w:color="auto"/>
        <w:left w:val="none" w:sz="0" w:space="0" w:color="auto"/>
        <w:bottom w:val="none" w:sz="0" w:space="0" w:color="auto"/>
        <w:right w:val="none" w:sz="0" w:space="0" w:color="auto"/>
      </w:divBdr>
    </w:div>
    <w:div w:id="880819724">
      <w:bodyDiv w:val="1"/>
      <w:marLeft w:val="0"/>
      <w:marRight w:val="0"/>
      <w:marTop w:val="0"/>
      <w:marBottom w:val="0"/>
      <w:divBdr>
        <w:top w:val="none" w:sz="0" w:space="0" w:color="auto"/>
        <w:left w:val="none" w:sz="0" w:space="0" w:color="auto"/>
        <w:bottom w:val="none" w:sz="0" w:space="0" w:color="auto"/>
        <w:right w:val="none" w:sz="0" w:space="0" w:color="auto"/>
      </w:divBdr>
    </w:div>
    <w:div w:id="880822497">
      <w:bodyDiv w:val="1"/>
      <w:marLeft w:val="0"/>
      <w:marRight w:val="0"/>
      <w:marTop w:val="0"/>
      <w:marBottom w:val="0"/>
      <w:divBdr>
        <w:top w:val="none" w:sz="0" w:space="0" w:color="auto"/>
        <w:left w:val="none" w:sz="0" w:space="0" w:color="auto"/>
        <w:bottom w:val="none" w:sz="0" w:space="0" w:color="auto"/>
        <w:right w:val="none" w:sz="0" w:space="0" w:color="auto"/>
      </w:divBdr>
    </w:div>
    <w:div w:id="882134357">
      <w:bodyDiv w:val="1"/>
      <w:marLeft w:val="0"/>
      <w:marRight w:val="0"/>
      <w:marTop w:val="0"/>
      <w:marBottom w:val="0"/>
      <w:divBdr>
        <w:top w:val="none" w:sz="0" w:space="0" w:color="auto"/>
        <w:left w:val="none" w:sz="0" w:space="0" w:color="auto"/>
        <w:bottom w:val="none" w:sz="0" w:space="0" w:color="auto"/>
        <w:right w:val="none" w:sz="0" w:space="0" w:color="auto"/>
      </w:divBdr>
    </w:div>
    <w:div w:id="883295780">
      <w:bodyDiv w:val="1"/>
      <w:marLeft w:val="0"/>
      <w:marRight w:val="0"/>
      <w:marTop w:val="0"/>
      <w:marBottom w:val="0"/>
      <w:divBdr>
        <w:top w:val="none" w:sz="0" w:space="0" w:color="auto"/>
        <w:left w:val="none" w:sz="0" w:space="0" w:color="auto"/>
        <w:bottom w:val="none" w:sz="0" w:space="0" w:color="auto"/>
        <w:right w:val="none" w:sz="0" w:space="0" w:color="auto"/>
      </w:divBdr>
    </w:div>
    <w:div w:id="884490441">
      <w:bodyDiv w:val="1"/>
      <w:marLeft w:val="0"/>
      <w:marRight w:val="0"/>
      <w:marTop w:val="0"/>
      <w:marBottom w:val="0"/>
      <w:divBdr>
        <w:top w:val="none" w:sz="0" w:space="0" w:color="auto"/>
        <w:left w:val="none" w:sz="0" w:space="0" w:color="auto"/>
        <w:bottom w:val="none" w:sz="0" w:space="0" w:color="auto"/>
        <w:right w:val="none" w:sz="0" w:space="0" w:color="auto"/>
      </w:divBdr>
    </w:div>
    <w:div w:id="885457228">
      <w:bodyDiv w:val="1"/>
      <w:marLeft w:val="0"/>
      <w:marRight w:val="0"/>
      <w:marTop w:val="0"/>
      <w:marBottom w:val="0"/>
      <w:divBdr>
        <w:top w:val="none" w:sz="0" w:space="0" w:color="auto"/>
        <w:left w:val="none" w:sz="0" w:space="0" w:color="auto"/>
        <w:bottom w:val="none" w:sz="0" w:space="0" w:color="auto"/>
        <w:right w:val="none" w:sz="0" w:space="0" w:color="auto"/>
      </w:divBdr>
    </w:div>
    <w:div w:id="885802205">
      <w:bodyDiv w:val="1"/>
      <w:marLeft w:val="0"/>
      <w:marRight w:val="0"/>
      <w:marTop w:val="0"/>
      <w:marBottom w:val="0"/>
      <w:divBdr>
        <w:top w:val="none" w:sz="0" w:space="0" w:color="auto"/>
        <w:left w:val="none" w:sz="0" w:space="0" w:color="auto"/>
        <w:bottom w:val="none" w:sz="0" w:space="0" w:color="auto"/>
        <w:right w:val="none" w:sz="0" w:space="0" w:color="auto"/>
      </w:divBdr>
    </w:div>
    <w:div w:id="885988724">
      <w:bodyDiv w:val="1"/>
      <w:marLeft w:val="0"/>
      <w:marRight w:val="0"/>
      <w:marTop w:val="0"/>
      <w:marBottom w:val="0"/>
      <w:divBdr>
        <w:top w:val="none" w:sz="0" w:space="0" w:color="auto"/>
        <w:left w:val="none" w:sz="0" w:space="0" w:color="auto"/>
        <w:bottom w:val="none" w:sz="0" w:space="0" w:color="auto"/>
        <w:right w:val="none" w:sz="0" w:space="0" w:color="auto"/>
      </w:divBdr>
    </w:div>
    <w:div w:id="887641274">
      <w:bodyDiv w:val="1"/>
      <w:marLeft w:val="0"/>
      <w:marRight w:val="0"/>
      <w:marTop w:val="0"/>
      <w:marBottom w:val="0"/>
      <w:divBdr>
        <w:top w:val="none" w:sz="0" w:space="0" w:color="auto"/>
        <w:left w:val="none" w:sz="0" w:space="0" w:color="auto"/>
        <w:bottom w:val="none" w:sz="0" w:space="0" w:color="auto"/>
        <w:right w:val="none" w:sz="0" w:space="0" w:color="auto"/>
      </w:divBdr>
    </w:div>
    <w:div w:id="887758856">
      <w:bodyDiv w:val="1"/>
      <w:marLeft w:val="0"/>
      <w:marRight w:val="0"/>
      <w:marTop w:val="0"/>
      <w:marBottom w:val="0"/>
      <w:divBdr>
        <w:top w:val="none" w:sz="0" w:space="0" w:color="auto"/>
        <w:left w:val="none" w:sz="0" w:space="0" w:color="auto"/>
        <w:bottom w:val="none" w:sz="0" w:space="0" w:color="auto"/>
        <w:right w:val="none" w:sz="0" w:space="0" w:color="auto"/>
      </w:divBdr>
    </w:div>
    <w:div w:id="888496041">
      <w:bodyDiv w:val="1"/>
      <w:marLeft w:val="0"/>
      <w:marRight w:val="0"/>
      <w:marTop w:val="0"/>
      <w:marBottom w:val="0"/>
      <w:divBdr>
        <w:top w:val="none" w:sz="0" w:space="0" w:color="auto"/>
        <w:left w:val="none" w:sz="0" w:space="0" w:color="auto"/>
        <w:bottom w:val="none" w:sz="0" w:space="0" w:color="auto"/>
        <w:right w:val="none" w:sz="0" w:space="0" w:color="auto"/>
      </w:divBdr>
    </w:div>
    <w:div w:id="888802378">
      <w:bodyDiv w:val="1"/>
      <w:marLeft w:val="0"/>
      <w:marRight w:val="0"/>
      <w:marTop w:val="0"/>
      <w:marBottom w:val="0"/>
      <w:divBdr>
        <w:top w:val="none" w:sz="0" w:space="0" w:color="auto"/>
        <w:left w:val="none" w:sz="0" w:space="0" w:color="auto"/>
        <w:bottom w:val="none" w:sz="0" w:space="0" w:color="auto"/>
        <w:right w:val="none" w:sz="0" w:space="0" w:color="auto"/>
      </w:divBdr>
    </w:div>
    <w:div w:id="889802170">
      <w:bodyDiv w:val="1"/>
      <w:marLeft w:val="0"/>
      <w:marRight w:val="0"/>
      <w:marTop w:val="0"/>
      <w:marBottom w:val="0"/>
      <w:divBdr>
        <w:top w:val="none" w:sz="0" w:space="0" w:color="auto"/>
        <w:left w:val="none" w:sz="0" w:space="0" w:color="auto"/>
        <w:bottom w:val="none" w:sz="0" w:space="0" w:color="auto"/>
        <w:right w:val="none" w:sz="0" w:space="0" w:color="auto"/>
      </w:divBdr>
    </w:div>
    <w:div w:id="889802452">
      <w:bodyDiv w:val="1"/>
      <w:marLeft w:val="0"/>
      <w:marRight w:val="0"/>
      <w:marTop w:val="0"/>
      <w:marBottom w:val="0"/>
      <w:divBdr>
        <w:top w:val="none" w:sz="0" w:space="0" w:color="auto"/>
        <w:left w:val="none" w:sz="0" w:space="0" w:color="auto"/>
        <w:bottom w:val="none" w:sz="0" w:space="0" w:color="auto"/>
        <w:right w:val="none" w:sz="0" w:space="0" w:color="auto"/>
      </w:divBdr>
    </w:div>
    <w:div w:id="891190262">
      <w:bodyDiv w:val="1"/>
      <w:marLeft w:val="0"/>
      <w:marRight w:val="0"/>
      <w:marTop w:val="0"/>
      <w:marBottom w:val="0"/>
      <w:divBdr>
        <w:top w:val="none" w:sz="0" w:space="0" w:color="auto"/>
        <w:left w:val="none" w:sz="0" w:space="0" w:color="auto"/>
        <w:bottom w:val="none" w:sz="0" w:space="0" w:color="auto"/>
        <w:right w:val="none" w:sz="0" w:space="0" w:color="auto"/>
      </w:divBdr>
    </w:div>
    <w:div w:id="891303884">
      <w:bodyDiv w:val="1"/>
      <w:marLeft w:val="0"/>
      <w:marRight w:val="0"/>
      <w:marTop w:val="0"/>
      <w:marBottom w:val="0"/>
      <w:divBdr>
        <w:top w:val="none" w:sz="0" w:space="0" w:color="auto"/>
        <w:left w:val="none" w:sz="0" w:space="0" w:color="auto"/>
        <w:bottom w:val="none" w:sz="0" w:space="0" w:color="auto"/>
        <w:right w:val="none" w:sz="0" w:space="0" w:color="auto"/>
      </w:divBdr>
    </w:div>
    <w:div w:id="892469299">
      <w:bodyDiv w:val="1"/>
      <w:marLeft w:val="0"/>
      <w:marRight w:val="0"/>
      <w:marTop w:val="0"/>
      <w:marBottom w:val="0"/>
      <w:divBdr>
        <w:top w:val="none" w:sz="0" w:space="0" w:color="auto"/>
        <w:left w:val="none" w:sz="0" w:space="0" w:color="auto"/>
        <w:bottom w:val="none" w:sz="0" w:space="0" w:color="auto"/>
        <w:right w:val="none" w:sz="0" w:space="0" w:color="auto"/>
      </w:divBdr>
    </w:div>
    <w:div w:id="892620394">
      <w:bodyDiv w:val="1"/>
      <w:marLeft w:val="0"/>
      <w:marRight w:val="0"/>
      <w:marTop w:val="0"/>
      <w:marBottom w:val="0"/>
      <w:divBdr>
        <w:top w:val="none" w:sz="0" w:space="0" w:color="auto"/>
        <w:left w:val="none" w:sz="0" w:space="0" w:color="auto"/>
        <w:bottom w:val="none" w:sz="0" w:space="0" w:color="auto"/>
        <w:right w:val="none" w:sz="0" w:space="0" w:color="auto"/>
      </w:divBdr>
    </w:div>
    <w:div w:id="895165232">
      <w:bodyDiv w:val="1"/>
      <w:marLeft w:val="0"/>
      <w:marRight w:val="0"/>
      <w:marTop w:val="0"/>
      <w:marBottom w:val="0"/>
      <w:divBdr>
        <w:top w:val="none" w:sz="0" w:space="0" w:color="auto"/>
        <w:left w:val="none" w:sz="0" w:space="0" w:color="auto"/>
        <w:bottom w:val="none" w:sz="0" w:space="0" w:color="auto"/>
        <w:right w:val="none" w:sz="0" w:space="0" w:color="auto"/>
      </w:divBdr>
    </w:div>
    <w:div w:id="895315347">
      <w:bodyDiv w:val="1"/>
      <w:marLeft w:val="0"/>
      <w:marRight w:val="0"/>
      <w:marTop w:val="0"/>
      <w:marBottom w:val="0"/>
      <w:divBdr>
        <w:top w:val="none" w:sz="0" w:space="0" w:color="auto"/>
        <w:left w:val="none" w:sz="0" w:space="0" w:color="auto"/>
        <w:bottom w:val="none" w:sz="0" w:space="0" w:color="auto"/>
        <w:right w:val="none" w:sz="0" w:space="0" w:color="auto"/>
      </w:divBdr>
    </w:div>
    <w:div w:id="896015347">
      <w:bodyDiv w:val="1"/>
      <w:marLeft w:val="0"/>
      <w:marRight w:val="0"/>
      <w:marTop w:val="0"/>
      <w:marBottom w:val="0"/>
      <w:divBdr>
        <w:top w:val="none" w:sz="0" w:space="0" w:color="auto"/>
        <w:left w:val="none" w:sz="0" w:space="0" w:color="auto"/>
        <w:bottom w:val="none" w:sz="0" w:space="0" w:color="auto"/>
        <w:right w:val="none" w:sz="0" w:space="0" w:color="auto"/>
      </w:divBdr>
    </w:div>
    <w:div w:id="896475216">
      <w:bodyDiv w:val="1"/>
      <w:marLeft w:val="0"/>
      <w:marRight w:val="0"/>
      <w:marTop w:val="0"/>
      <w:marBottom w:val="0"/>
      <w:divBdr>
        <w:top w:val="none" w:sz="0" w:space="0" w:color="auto"/>
        <w:left w:val="none" w:sz="0" w:space="0" w:color="auto"/>
        <w:bottom w:val="none" w:sz="0" w:space="0" w:color="auto"/>
        <w:right w:val="none" w:sz="0" w:space="0" w:color="auto"/>
      </w:divBdr>
    </w:div>
    <w:div w:id="897786799">
      <w:bodyDiv w:val="1"/>
      <w:marLeft w:val="0"/>
      <w:marRight w:val="0"/>
      <w:marTop w:val="0"/>
      <w:marBottom w:val="0"/>
      <w:divBdr>
        <w:top w:val="none" w:sz="0" w:space="0" w:color="auto"/>
        <w:left w:val="none" w:sz="0" w:space="0" w:color="auto"/>
        <w:bottom w:val="none" w:sz="0" w:space="0" w:color="auto"/>
        <w:right w:val="none" w:sz="0" w:space="0" w:color="auto"/>
      </w:divBdr>
    </w:div>
    <w:div w:id="900406602">
      <w:bodyDiv w:val="1"/>
      <w:marLeft w:val="0"/>
      <w:marRight w:val="0"/>
      <w:marTop w:val="0"/>
      <w:marBottom w:val="0"/>
      <w:divBdr>
        <w:top w:val="none" w:sz="0" w:space="0" w:color="auto"/>
        <w:left w:val="none" w:sz="0" w:space="0" w:color="auto"/>
        <w:bottom w:val="none" w:sz="0" w:space="0" w:color="auto"/>
        <w:right w:val="none" w:sz="0" w:space="0" w:color="auto"/>
      </w:divBdr>
    </w:div>
    <w:div w:id="903025046">
      <w:bodyDiv w:val="1"/>
      <w:marLeft w:val="0"/>
      <w:marRight w:val="0"/>
      <w:marTop w:val="0"/>
      <w:marBottom w:val="0"/>
      <w:divBdr>
        <w:top w:val="none" w:sz="0" w:space="0" w:color="auto"/>
        <w:left w:val="none" w:sz="0" w:space="0" w:color="auto"/>
        <w:bottom w:val="none" w:sz="0" w:space="0" w:color="auto"/>
        <w:right w:val="none" w:sz="0" w:space="0" w:color="auto"/>
      </w:divBdr>
    </w:div>
    <w:div w:id="904995069">
      <w:bodyDiv w:val="1"/>
      <w:marLeft w:val="0"/>
      <w:marRight w:val="0"/>
      <w:marTop w:val="0"/>
      <w:marBottom w:val="0"/>
      <w:divBdr>
        <w:top w:val="none" w:sz="0" w:space="0" w:color="auto"/>
        <w:left w:val="none" w:sz="0" w:space="0" w:color="auto"/>
        <w:bottom w:val="none" w:sz="0" w:space="0" w:color="auto"/>
        <w:right w:val="none" w:sz="0" w:space="0" w:color="auto"/>
      </w:divBdr>
    </w:div>
    <w:div w:id="905215380">
      <w:bodyDiv w:val="1"/>
      <w:marLeft w:val="0"/>
      <w:marRight w:val="0"/>
      <w:marTop w:val="0"/>
      <w:marBottom w:val="0"/>
      <w:divBdr>
        <w:top w:val="none" w:sz="0" w:space="0" w:color="auto"/>
        <w:left w:val="none" w:sz="0" w:space="0" w:color="auto"/>
        <w:bottom w:val="none" w:sz="0" w:space="0" w:color="auto"/>
        <w:right w:val="none" w:sz="0" w:space="0" w:color="auto"/>
      </w:divBdr>
    </w:div>
    <w:div w:id="907305168">
      <w:bodyDiv w:val="1"/>
      <w:marLeft w:val="0"/>
      <w:marRight w:val="0"/>
      <w:marTop w:val="0"/>
      <w:marBottom w:val="0"/>
      <w:divBdr>
        <w:top w:val="none" w:sz="0" w:space="0" w:color="auto"/>
        <w:left w:val="none" w:sz="0" w:space="0" w:color="auto"/>
        <w:bottom w:val="none" w:sz="0" w:space="0" w:color="auto"/>
        <w:right w:val="none" w:sz="0" w:space="0" w:color="auto"/>
      </w:divBdr>
    </w:div>
    <w:div w:id="909267079">
      <w:bodyDiv w:val="1"/>
      <w:marLeft w:val="0"/>
      <w:marRight w:val="0"/>
      <w:marTop w:val="0"/>
      <w:marBottom w:val="0"/>
      <w:divBdr>
        <w:top w:val="none" w:sz="0" w:space="0" w:color="auto"/>
        <w:left w:val="none" w:sz="0" w:space="0" w:color="auto"/>
        <w:bottom w:val="none" w:sz="0" w:space="0" w:color="auto"/>
        <w:right w:val="none" w:sz="0" w:space="0" w:color="auto"/>
      </w:divBdr>
    </w:div>
    <w:div w:id="910240599">
      <w:bodyDiv w:val="1"/>
      <w:marLeft w:val="0"/>
      <w:marRight w:val="0"/>
      <w:marTop w:val="0"/>
      <w:marBottom w:val="0"/>
      <w:divBdr>
        <w:top w:val="none" w:sz="0" w:space="0" w:color="auto"/>
        <w:left w:val="none" w:sz="0" w:space="0" w:color="auto"/>
        <w:bottom w:val="none" w:sz="0" w:space="0" w:color="auto"/>
        <w:right w:val="none" w:sz="0" w:space="0" w:color="auto"/>
      </w:divBdr>
    </w:div>
    <w:div w:id="910695198">
      <w:bodyDiv w:val="1"/>
      <w:marLeft w:val="0"/>
      <w:marRight w:val="0"/>
      <w:marTop w:val="0"/>
      <w:marBottom w:val="0"/>
      <w:divBdr>
        <w:top w:val="none" w:sz="0" w:space="0" w:color="auto"/>
        <w:left w:val="none" w:sz="0" w:space="0" w:color="auto"/>
        <w:bottom w:val="none" w:sz="0" w:space="0" w:color="auto"/>
        <w:right w:val="none" w:sz="0" w:space="0" w:color="auto"/>
      </w:divBdr>
    </w:div>
    <w:div w:id="912005023">
      <w:bodyDiv w:val="1"/>
      <w:marLeft w:val="0"/>
      <w:marRight w:val="0"/>
      <w:marTop w:val="0"/>
      <w:marBottom w:val="0"/>
      <w:divBdr>
        <w:top w:val="none" w:sz="0" w:space="0" w:color="auto"/>
        <w:left w:val="none" w:sz="0" w:space="0" w:color="auto"/>
        <w:bottom w:val="none" w:sz="0" w:space="0" w:color="auto"/>
        <w:right w:val="none" w:sz="0" w:space="0" w:color="auto"/>
      </w:divBdr>
    </w:div>
    <w:div w:id="912929829">
      <w:bodyDiv w:val="1"/>
      <w:marLeft w:val="0"/>
      <w:marRight w:val="0"/>
      <w:marTop w:val="0"/>
      <w:marBottom w:val="0"/>
      <w:divBdr>
        <w:top w:val="none" w:sz="0" w:space="0" w:color="auto"/>
        <w:left w:val="none" w:sz="0" w:space="0" w:color="auto"/>
        <w:bottom w:val="none" w:sz="0" w:space="0" w:color="auto"/>
        <w:right w:val="none" w:sz="0" w:space="0" w:color="auto"/>
      </w:divBdr>
    </w:div>
    <w:div w:id="913395975">
      <w:bodyDiv w:val="1"/>
      <w:marLeft w:val="0"/>
      <w:marRight w:val="0"/>
      <w:marTop w:val="0"/>
      <w:marBottom w:val="0"/>
      <w:divBdr>
        <w:top w:val="none" w:sz="0" w:space="0" w:color="auto"/>
        <w:left w:val="none" w:sz="0" w:space="0" w:color="auto"/>
        <w:bottom w:val="none" w:sz="0" w:space="0" w:color="auto"/>
        <w:right w:val="none" w:sz="0" w:space="0" w:color="auto"/>
      </w:divBdr>
    </w:div>
    <w:div w:id="915170026">
      <w:bodyDiv w:val="1"/>
      <w:marLeft w:val="0"/>
      <w:marRight w:val="0"/>
      <w:marTop w:val="0"/>
      <w:marBottom w:val="0"/>
      <w:divBdr>
        <w:top w:val="none" w:sz="0" w:space="0" w:color="auto"/>
        <w:left w:val="none" w:sz="0" w:space="0" w:color="auto"/>
        <w:bottom w:val="none" w:sz="0" w:space="0" w:color="auto"/>
        <w:right w:val="none" w:sz="0" w:space="0" w:color="auto"/>
      </w:divBdr>
    </w:div>
    <w:div w:id="915239760">
      <w:bodyDiv w:val="1"/>
      <w:marLeft w:val="0"/>
      <w:marRight w:val="0"/>
      <w:marTop w:val="0"/>
      <w:marBottom w:val="0"/>
      <w:divBdr>
        <w:top w:val="none" w:sz="0" w:space="0" w:color="auto"/>
        <w:left w:val="none" w:sz="0" w:space="0" w:color="auto"/>
        <w:bottom w:val="none" w:sz="0" w:space="0" w:color="auto"/>
        <w:right w:val="none" w:sz="0" w:space="0" w:color="auto"/>
      </w:divBdr>
    </w:div>
    <w:div w:id="916862292">
      <w:bodyDiv w:val="1"/>
      <w:marLeft w:val="0"/>
      <w:marRight w:val="0"/>
      <w:marTop w:val="0"/>
      <w:marBottom w:val="0"/>
      <w:divBdr>
        <w:top w:val="none" w:sz="0" w:space="0" w:color="auto"/>
        <w:left w:val="none" w:sz="0" w:space="0" w:color="auto"/>
        <w:bottom w:val="none" w:sz="0" w:space="0" w:color="auto"/>
        <w:right w:val="none" w:sz="0" w:space="0" w:color="auto"/>
      </w:divBdr>
    </w:div>
    <w:div w:id="917012094">
      <w:bodyDiv w:val="1"/>
      <w:marLeft w:val="0"/>
      <w:marRight w:val="0"/>
      <w:marTop w:val="0"/>
      <w:marBottom w:val="0"/>
      <w:divBdr>
        <w:top w:val="none" w:sz="0" w:space="0" w:color="auto"/>
        <w:left w:val="none" w:sz="0" w:space="0" w:color="auto"/>
        <w:bottom w:val="none" w:sz="0" w:space="0" w:color="auto"/>
        <w:right w:val="none" w:sz="0" w:space="0" w:color="auto"/>
      </w:divBdr>
    </w:div>
    <w:div w:id="920063732">
      <w:bodyDiv w:val="1"/>
      <w:marLeft w:val="0"/>
      <w:marRight w:val="0"/>
      <w:marTop w:val="0"/>
      <w:marBottom w:val="0"/>
      <w:divBdr>
        <w:top w:val="none" w:sz="0" w:space="0" w:color="auto"/>
        <w:left w:val="none" w:sz="0" w:space="0" w:color="auto"/>
        <w:bottom w:val="none" w:sz="0" w:space="0" w:color="auto"/>
        <w:right w:val="none" w:sz="0" w:space="0" w:color="auto"/>
      </w:divBdr>
    </w:div>
    <w:div w:id="920599922">
      <w:bodyDiv w:val="1"/>
      <w:marLeft w:val="0"/>
      <w:marRight w:val="0"/>
      <w:marTop w:val="0"/>
      <w:marBottom w:val="0"/>
      <w:divBdr>
        <w:top w:val="none" w:sz="0" w:space="0" w:color="auto"/>
        <w:left w:val="none" w:sz="0" w:space="0" w:color="auto"/>
        <w:bottom w:val="none" w:sz="0" w:space="0" w:color="auto"/>
        <w:right w:val="none" w:sz="0" w:space="0" w:color="auto"/>
      </w:divBdr>
    </w:div>
    <w:div w:id="920991024">
      <w:bodyDiv w:val="1"/>
      <w:marLeft w:val="0"/>
      <w:marRight w:val="0"/>
      <w:marTop w:val="0"/>
      <w:marBottom w:val="0"/>
      <w:divBdr>
        <w:top w:val="none" w:sz="0" w:space="0" w:color="auto"/>
        <w:left w:val="none" w:sz="0" w:space="0" w:color="auto"/>
        <w:bottom w:val="none" w:sz="0" w:space="0" w:color="auto"/>
        <w:right w:val="none" w:sz="0" w:space="0" w:color="auto"/>
      </w:divBdr>
    </w:div>
    <w:div w:id="921522943">
      <w:bodyDiv w:val="1"/>
      <w:marLeft w:val="0"/>
      <w:marRight w:val="0"/>
      <w:marTop w:val="0"/>
      <w:marBottom w:val="0"/>
      <w:divBdr>
        <w:top w:val="none" w:sz="0" w:space="0" w:color="auto"/>
        <w:left w:val="none" w:sz="0" w:space="0" w:color="auto"/>
        <w:bottom w:val="none" w:sz="0" w:space="0" w:color="auto"/>
        <w:right w:val="none" w:sz="0" w:space="0" w:color="auto"/>
      </w:divBdr>
    </w:div>
    <w:div w:id="921597457">
      <w:bodyDiv w:val="1"/>
      <w:marLeft w:val="0"/>
      <w:marRight w:val="0"/>
      <w:marTop w:val="0"/>
      <w:marBottom w:val="0"/>
      <w:divBdr>
        <w:top w:val="none" w:sz="0" w:space="0" w:color="auto"/>
        <w:left w:val="none" w:sz="0" w:space="0" w:color="auto"/>
        <w:bottom w:val="none" w:sz="0" w:space="0" w:color="auto"/>
        <w:right w:val="none" w:sz="0" w:space="0" w:color="auto"/>
      </w:divBdr>
    </w:div>
    <w:div w:id="922297853">
      <w:bodyDiv w:val="1"/>
      <w:marLeft w:val="0"/>
      <w:marRight w:val="0"/>
      <w:marTop w:val="0"/>
      <w:marBottom w:val="0"/>
      <w:divBdr>
        <w:top w:val="none" w:sz="0" w:space="0" w:color="auto"/>
        <w:left w:val="none" w:sz="0" w:space="0" w:color="auto"/>
        <w:bottom w:val="none" w:sz="0" w:space="0" w:color="auto"/>
        <w:right w:val="none" w:sz="0" w:space="0" w:color="auto"/>
      </w:divBdr>
    </w:div>
    <w:div w:id="922446020">
      <w:bodyDiv w:val="1"/>
      <w:marLeft w:val="0"/>
      <w:marRight w:val="0"/>
      <w:marTop w:val="0"/>
      <w:marBottom w:val="0"/>
      <w:divBdr>
        <w:top w:val="none" w:sz="0" w:space="0" w:color="auto"/>
        <w:left w:val="none" w:sz="0" w:space="0" w:color="auto"/>
        <w:bottom w:val="none" w:sz="0" w:space="0" w:color="auto"/>
        <w:right w:val="none" w:sz="0" w:space="0" w:color="auto"/>
      </w:divBdr>
    </w:div>
    <w:div w:id="922879522">
      <w:bodyDiv w:val="1"/>
      <w:marLeft w:val="0"/>
      <w:marRight w:val="0"/>
      <w:marTop w:val="0"/>
      <w:marBottom w:val="0"/>
      <w:divBdr>
        <w:top w:val="none" w:sz="0" w:space="0" w:color="auto"/>
        <w:left w:val="none" w:sz="0" w:space="0" w:color="auto"/>
        <w:bottom w:val="none" w:sz="0" w:space="0" w:color="auto"/>
        <w:right w:val="none" w:sz="0" w:space="0" w:color="auto"/>
      </w:divBdr>
    </w:div>
    <w:div w:id="923799832">
      <w:bodyDiv w:val="1"/>
      <w:marLeft w:val="0"/>
      <w:marRight w:val="0"/>
      <w:marTop w:val="0"/>
      <w:marBottom w:val="0"/>
      <w:divBdr>
        <w:top w:val="none" w:sz="0" w:space="0" w:color="auto"/>
        <w:left w:val="none" w:sz="0" w:space="0" w:color="auto"/>
        <w:bottom w:val="none" w:sz="0" w:space="0" w:color="auto"/>
        <w:right w:val="none" w:sz="0" w:space="0" w:color="auto"/>
      </w:divBdr>
    </w:div>
    <w:div w:id="926033717">
      <w:bodyDiv w:val="1"/>
      <w:marLeft w:val="0"/>
      <w:marRight w:val="0"/>
      <w:marTop w:val="0"/>
      <w:marBottom w:val="0"/>
      <w:divBdr>
        <w:top w:val="none" w:sz="0" w:space="0" w:color="auto"/>
        <w:left w:val="none" w:sz="0" w:space="0" w:color="auto"/>
        <w:bottom w:val="none" w:sz="0" w:space="0" w:color="auto"/>
        <w:right w:val="none" w:sz="0" w:space="0" w:color="auto"/>
      </w:divBdr>
    </w:div>
    <w:div w:id="926884115">
      <w:bodyDiv w:val="1"/>
      <w:marLeft w:val="0"/>
      <w:marRight w:val="0"/>
      <w:marTop w:val="0"/>
      <w:marBottom w:val="0"/>
      <w:divBdr>
        <w:top w:val="none" w:sz="0" w:space="0" w:color="auto"/>
        <w:left w:val="none" w:sz="0" w:space="0" w:color="auto"/>
        <w:bottom w:val="none" w:sz="0" w:space="0" w:color="auto"/>
        <w:right w:val="none" w:sz="0" w:space="0" w:color="auto"/>
      </w:divBdr>
    </w:div>
    <w:div w:id="927227446">
      <w:bodyDiv w:val="1"/>
      <w:marLeft w:val="0"/>
      <w:marRight w:val="0"/>
      <w:marTop w:val="0"/>
      <w:marBottom w:val="0"/>
      <w:divBdr>
        <w:top w:val="none" w:sz="0" w:space="0" w:color="auto"/>
        <w:left w:val="none" w:sz="0" w:space="0" w:color="auto"/>
        <w:bottom w:val="none" w:sz="0" w:space="0" w:color="auto"/>
        <w:right w:val="none" w:sz="0" w:space="0" w:color="auto"/>
      </w:divBdr>
    </w:div>
    <w:div w:id="929657019">
      <w:bodyDiv w:val="1"/>
      <w:marLeft w:val="0"/>
      <w:marRight w:val="0"/>
      <w:marTop w:val="0"/>
      <w:marBottom w:val="0"/>
      <w:divBdr>
        <w:top w:val="none" w:sz="0" w:space="0" w:color="auto"/>
        <w:left w:val="none" w:sz="0" w:space="0" w:color="auto"/>
        <w:bottom w:val="none" w:sz="0" w:space="0" w:color="auto"/>
        <w:right w:val="none" w:sz="0" w:space="0" w:color="auto"/>
      </w:divBdr>
    </w:div>
    <w:div w:id="932274696">
      <w:bodyDiv w:val="1"/>
      <w:marLeft w:val="0"/>
      <w:marRight w:val="0"/>
      <w:marTop w:val="0"/>
      <w:marBottom w:val="0"/>
      <w:divBdr>
        <w:top w:val="none" w:sz="0" w:space="0" w:color="auto"/>
        <w:left w:val="none" w:sz="0" w:space="0" w:color="auto"/>
        <w:bottom w:val="none" w:sz="0" w:space="0" w:color="auto"/>
        <w:right w:val="none" w:sz="0" w:space="0" w:color="auto"/>
      </w:divBdr>
    </w:div>
    <w:div w:id="932476229">
      <w:bodyDiv w:val="1"/>
      <w:marLeft w:val="0"/>
      <w:marRight w:val="0"/>
      <w:marTop w:val="0"/>
      <w:marBottom w:val="0"/>
      <w:divBdr>
        <w:top w:val="none" w:sz="0" w:space="0" w:color="auto"/>
        <w:left w:val="none" w:sz="0" w:space="0" w:color="auto"/>
        <w:bottom w:val="none" w:sz="0" w:space="0" w:color="auto"/>
        <w:right w:val="none" w:sz="0" w:space="0" w:color="auto"/>
      </w:divBdr>
    </w:div>
    <w:div w:id="932973940">
      <w:bodyDiv w:val="1"/>
      <w:marLeft w:val="0"/>
      <w:marRight w:val="0"/>
      <w:marTop w:val="0"/>
      <w:marBottom w:val="0"/>
      <w:divBdr>
        <w:top w:val="none" w:sz="0" w:space="0" w:color="auto"/>
        <w:left w:val="none" w:sz="0" w:space="0" w:color="auto"/>
        <w:bottom w:val="none" w:sz="0" w:space="0" w:color="auto"/>
        <w:right w:val="none" w:sz="0" w:space="0" w:color="auto"/>
      </w:divBdr>
    </w:div>
    <w:div w:id="933172288">
      <w:bodyDiv w:val="1"/>
      <w:marLeft w:val="0"/>
      <w:marRight w:val="0"/>
      <w:marTop w:val="0"/>
      <w:marBottom w:val="0"/>
      <w:divBdr>
        <w:top w:val="none" w:sz="0" w:space="0" w:color="auto"/>
        <w:left w:val="none" w:sz="0" w:space="0" w:color="auto"/>
        <w:bottom w:val="none" w:sz="0" w:space="0" w:color="auto"/>
        <w:right w:val="none" w:sz="0" w:space="0" w:color="auto"/>
      </w:divBdr>
    </w:div>
    <w:div w:id="933905257">
      <w:bodyDiv w:val="1"/>
      <w:marLeft w:val="0"/>
      <w:marRight w:val="0"/>
      <w:marTop w:val="0"/>
      <w:marBottom w:val="0"/>
      <w:divBdr>
        <w:top w:val="none" w:sz="0" w:space="0" w:color="auto"/>
        <w:left w:val="none" w:sz="0" w:space="0" w:color="auto"/>
        <w:bottom w:val="none" w:sz="0" w:space="0" w:color="auto"/>
        <w:right w:val="none" w:sz="0" w:space="0" w:color="auto"/>
      </w:divBdr>
    </w:div>
    <w:div w:id="934439605">
      <w:bodyDiv w:val="1"/>
      <w:marLeft w:val="0"/>
      <w:marRight w:val="0"/>
      <w:marTop w:val="0"/>
      <w:marBottom w:val="0"/>
      <w:divBdr>
        <w:top w:val="none" w:sz="0" w:space="0" w:color="auto"/>
        <w:left w:val="none" w:sz="0" w:space="0" w:color="auto"/>
        <w:bottom w:val="none" w:sz="0" w:space="0" w:color="auto"/>
        <w:right w:val="none" w:sz="0" w:space="0" w:color="auto"/>
      </w:divBdr>
    </w:div>
    <w:div w:id="935482887">
      <w:bodyDiv w:val="1"/>
      <w:marLeft w:val="0"/>
      <w:marRight w:val="0"/>
      <w:marTop w:val="0"/>
      <w:marBottom w:val="0"/>
      <w:divBdr>
        <w:top w:val="none" w:sz="0" w:space="0" w:color="auto"/>
        <w:left w:val="none" w:sz="0" w:space="0" w:color="auto"/>
        <w:bottom w:val="none" w:sz="0" w:space="0" w:color="auto"/>
        <w:right w:val="none" w:sz="0" w:space="0" w:color="auto"/>
      </w:divBdr>
    </w:div>
    <w:div w:id="935484229">
      <w:bodyDiv w:val="1"/>
      <w:marLeft w:val="0"/>
      <w:marRight w:val="0"/>
      <w:marTop w:val="0"/>
      <w:marBottom w:val="0"/>
      <w:divBdr>
        <w:top w:val="none" w:sz="0" w:space="0" w:color="auto"/>
        <w:left w:val="none" w:sz="0" w:space="0" w:color="auto"/>
        <w:bottom w:val="none" w:sz="0" w:space="0" w:color="auto"/>
        <w:right w:val="none" w:sz="0" w:space="0" w:color="auto"/>
      </w:divBdr>
    </w:div>
    <w:div w:id="935985987">
      <w:bodyDiv w:val="1"/>
      <w:marLeft w:val="0"/>
      <w:marRight w:val="0"/>
      <w:marTop w:val="0"/>
      <w:marBottom w:val="0"/>
      <w:divBdr>
        <w:top w:val="none" w:sz="0" w:space="0" w:color="auto"/>
        <w:left w:val="none" w:sz="0" w:space="0" w:color="auto"/>
        <w:bottom w:val="none" w:sz="0" w:space="0" w:color="auto"/>
        <w:right w:val="none" w:sz="0" w:space="0" w:color="auto"/>
      </w:divBdr>
    </w:div>
    <w:div w:id="937833542">
      <w:bodyDiv w:val="1"/>
      <w:marLeft w:val="0"/>
      <w:marRight w:val="0"/>
      <w:marTop w:val="0"/>
      <w:marBottom w:val="0"/>
      <w:divBdr>
        <w:top w:val="none" w:sz="0" w:space="0" w:color="auto"/>
        <w:left w:val="none" w:sz="0" w:space="0" w:color="auto"/>
        <w:bottom w:val="none" w:sz="0" w:space="0" w:color="auto"/>
        <w:right w:val="none" w:sz="0" w:space="0" w:color="auto"/>
      </w:divBdr>
    </w:div>
    <w:div w:id="938752026">
      <w:bodyDiv w:val="1"/>
      <w:marLeft w:val="0"/>
      <w:marRight w:val="0"/>
      <w:marTop w:val="0"/>
      <w:marBottom w:val="0"/>
      <w:divBdr>
        <w:top w:val="none" w:sz="0" w:space="0" w:color="auto"/>
        <w:left w:val="none" w:sz="0" w:space="0" w:color="auto"/>
        <w:bottom w:val="none" w:sz="0" w:space="0" w:color="auto"/>
        <w:right w:val="none" w:sz="0" w:space="0" w:color="auto"/>
      </w:divBdr>
    </w:div>
    <w:div w:id="939139543">
      <w:bodyDiv w:val="1"/>
      <w:marLeft w:val="0"/>
      <w:marRight w:val="0"/>
      <w:marTop w:val="0"/>
      <w:marBottom w:val="0"/>
      <w:divBdr>
        <w:top w:val="none" w:sz="0" w:space="0" w:color="auto"/>
        <w:left w:val="none" w:sz="0" w:space="0" w:color="auto"/>
        <w:bottom w:val="none" w:sz="0" w:space="0" w:color="auto"/>
        <w:right w:val="none" w:sz="0" w:space="0" w:color="auto"/>
      </w:divBdr>
    </w:div>
    <w:div w:id="940991707">
      <w:bodyDiv w:val="1"/>
      <w:marLeft w:val="0"/>
      <w:marRight w:val="0"/>
      <w:marTop w:val="0"/>
      <w:marBottom w:val="0"/>
      <w:divBdr>
        <w:top w:val="none" w:sz="0" w:space="0" w:color="auto"/>
        <w:left w:val="none" w:sz="0" w:space="0" w:color="auto"/>
        <w:bottom w:val="none" w:sz="0" w:space="0" w:color="auto"/>
        <w:right w:val="none" w:sz="0" w:space="0" w:color="auto"/>
      </w:divBdr>
    </w:div>
    <w:div w:id="942421421">
      <w:bodyDiv w:val="1"/>
      <w:marLeft w:val="0"/>
      <w:marRight w:val="0"/>
      <w:marTop w:val="0"/>
      <w:marBottom w:val="0"/>
      <w:divBdr>
        <w:top w:val="none" w:sz="0" w:space="0" w:color="auto"/>
        <w:left w:val="none" w:sz="0" w:space="0" w:color="auto"/>
        <w:bottom w:val="none" w:sz="0" w:space="0" w:color="auto"/>
        <w:right w:val="none" w:sz="0" w:space="0" w:color="auto"/>
      </w:divBdr>
    </w:div>
    <w:div w:id="944386576">
      <w:bodyDiv w:val="1"/>
      <w:marLeft w:val="0"/>
      <w:marRight w:val="0"/>
      <w:marTop w:val="0"/>
      <w:marBottom w:val="0"/>
      <w:divBdr>
        <w:top w:val="none" w:sz="0" w:space="0" w:color="auto"/>
        <w:left w:val="none" w:sz="0" w:space="0" w:color="auto"/>
        <w:bottom w:val="none" w:sz="0" w:space="0" w:color="auto"/>
        <w:right w:val="none" w:sz="0" w:space="0" w:color="auto"/>
      </w:divBdr>
    </w:div>
    <w:div w:id="945160470">
      <w:bodyDiv w:val="1"/>
      <w:marLeft w:val="0"/>
      <w:marRight w:val="0"/>
      <w:marTop w:val="0"/>
      <w:marBottom w:val="0"/>
      <w:divBdr>
        <w:top w:val="none" w:sz="0" w:space="0" w:color="auto"/>
        <w:left w:val="none" w:sz="0" w:space="0" w:color="auto"/>
        <w:bottom w:val="none" w:sz="0" w:space="0" w:color="auto"/>
        <w:right w:val="none" w:sz="0" w:space="0" w:color="auto"/>
      </w:divBdr>
    </w:div>
    <w:div w:id="950823419">
      <w:bodyDiv w:val="1"/>
      <w:marLeft w:val="0"/>
      <w:marRight w:val="0"/>
      <w:marTop w:val="0"/>
      <w:marBottom w:val="0"/>
      <w:divBdr>
        <w:top w:val="none" w:sz="0" w:space="0" w:color="auto"/>
        <w:left w:val="none" w:sz="0" w:space="0" w:color="auto"/>
        <w:bottom w:val="none" w:sz="0" w:space="0" w:color="auto"/>
        <w:right w:val="none" w:sz="0" w:space="0" w:color="auto"/>
      </w:divBdr>
    </w:div>
    <w:div w:id="952438038">
      <w:bodyDiv w:val="1"/>
      <w:marLeft w:val="0"/>
      <w:marRight w:val="0"/>
      <w:marTop w:val="0"/>
      <w:marBottom w:val="0"/>
      <w:divBdr>
        <w:top w:val="none" w:sz="0" w:space="0" w:color="auto"/>
        <w:left w:val="none" w:sz="0" w:space="0" w:color="auto"/>
        <w:bottom w:val="none" w:sz="0" w:space="0" w:color="auto"/>
        <w:right w:val="none" w:sz="0" w:space="0" w:color="auto"/>
      </w:divBdr>
    </w:div>
    <w:div w:id="952830048">
      <w:bodyDiv w:val="1"/>
      <w:marLeft w:val="0"/>
      <w:marRight w:val="0"/>
      <w:marTop w:val="0"/>
      <w:marBottom w:val="0"/>
      <w:divBdr>
        <w:top w:val="none" w:sz="0" w:space="0" w:color="auto"/>
        <w:left w:val="none" w:sz="0" w:space="0" w:color="auto"/>
        <w:bottom w:val="none" w:sz="0" w:space="0" w:color="auto"/>
        <w:right w:val="none" w:sz="0" w:space="0" w:color="auto"/>
      </w:divBdr>
    </w:div>
    <w:div w:id="953558221">
      <w:bodyDiv w:val="1"/>
      <w:marLeft w:val="0"/>
      <w:marRight w:val="0"/>
      <w:marTop w:val="0"/>
      <w:marBottom w:val="0"/>
      <w:divBdr>
        <w:top w:val="none" w:sz="0" w:space="0" w:color="auto"/>
        <w:left w:val="none" w:sz="0" w:space="0" w:color="auto"/>
        <w:bottom w:val="none" w:sz="0" w:space="0" w:color="auto"/>
        <w:right w:val="none" w:sz="0" w:space="0" w:color="auto"/>
      </w:divBdr>
    </w:div>
    <w:div w:id="954680646">
      <w:bodyDiv w:val="1"/>
      <w:marLeft w:val="0"/>
      <w:marRight w:val="0"/>
      <w:marTop w:val="0"/>
      <w:marBottom w:val="0"/>
      <w:divBdr>
        <w:top w:val="none" w:sz="0" w:space="0" w:color="auto"/>
        <w:left w:val="none" w:sz="0" w:space="0" w:color="auto"/>
        <w:bottom w:val="none" w:sz="0" w:space="0" w:color="auto"/>
        <w:right w:val="none" w:sz="0" w:space="0" w:color="auto"/>
      </w:divBdr>
    </w:div>
    <w:div w:id="954944604">
      <w:bodyDiv w:val="1"/>
      <w:marLeft w:val="0"/>
      <w:marRight w:val="0"/>
      <w:marTop w:val="0"/>
      <w:marBottom w:val="0"/>
      <w:divBdr>
        <w:top w:val="none" w:sz="0" w:space="0" w:color="auto"/>
        <w:left w:val="none" w:sz="0" w:space="0" w:color="auto"/>
        <w:bottom w:val="none" w:sz="0" w:space="0" w:color="auto"/>
        <w:right w:val="none" w:sz="0" w:space="0" w:color="auto"/>
      </w:divBdr>
    </w:div>
    <w:div w:id="956260391">
      <w:bodyDiv w:val="1"/>
      <w:marLeft w:val="0"/>
      <w:marRight w:val="0"/>
      <w:marTop w:val="0"/>
      <w:marBottom w:val="0"/>
      <w:divBdr>
        <w:top w:val="none" w:sz="0" w:space="0" w:color="auto"/>
        <w:left w:val="none" w:sz="0" w:space="0" w:color="auto"/>
        <w:bottom w:val="none" w:sz="0" w:space="0" w:color="auto"/>
        <w:right w:val="none" w:sz="0" w:space="0" w:color="auto"/>
      </w:divBdr>
    </w:div>
    <w:div w:id="958028821">
      <w:bodyDiv w:val="1"/>
      <w:marLeft w:val="0"/>
      <w:marRight w:val="0"/>
      <w:marTop w:val="0"/>
      <w:marBottom w:val="0"/>
      <w:divBdr>
        <w:top w:val="none" w:sz="0" w:space="0" w:color="auto"/>
        <w:left w:val="none" w:sz="0" w:space="0" w:color="auto"/>
        <w:bottom w:val="none" w:sz="0" w:space="0" w:color="auto"/>
        <w:right w:val="none" w:sz="0" w:space="0" w:color="auto"/>
      </w:divBdr>
    </w:div>
    <w:div w:id="959720690">
      <w:bodyDiv w:val="1"/>
      <w:marLeft w:val="0"/>
      <w:marRight w:val="0"/>
      <w:marTop w:val="0"/>
      <w:marBottom w:val="0"/>
      <w:divBdr>
        <w:top w:val="none" w:sz="0" w:space="0" w:color="auto"/>
        <w:left w:val="none" w:sz="0" w:space="0" w:color="auto"/>
        <w:bottom w:val="none" w:sz="0" w:space="0" w:color="auto"/>
        <w:right w:val="none" w:sz="0" w:space="0" w:color="auto"/>
      </w:divBdr>
    </w:div>
    <w:div w:id="959801477">
      <w:bodyDiv w:val="1"/>
      <w:marLeft w:val="0"/>
      <w:marRight w:val="0"/>
      <w:marTop w:val="0"/>
      <w:marBottom w:val="0"/>
      <w:divBdr>
        <w:top w:val="none" w:sz="0" w:space="0" w:color="auto"/>
        <w:left w:val="none" w:sz="0" w:space="0" w:color="auto"/>
        <w:bottom w:val="none" w:sz="0" w:space="0" w:color="auto"/>
        <w:right w:val="none" w:sz="0" w:space="0" w:color="auto"/>
      </w:divBdr>
    </w:div>
    <w:div w:id="960652029">
      <w:bodyDiv w:val="1"/>
      <w:marLeft w:val="0"/>
      <w:marRight w:val="0"/>
      <w:marTop w:val="0"/>
      <w:marBottom w:val="0"/>
      <w:divBdr>
        <w:top w:val="none" w:sz="0" w:space="0" w:color="auto"/>
        <w:left w:val="none" w:sz="0" w:space="0" w:color="auto"/>
        <w:bottom w:val="none" w:sz="0" w:space="0" w:color="auto"/>
        <w:right w:val="none" w:sz="0" w:space="0" w:color="auto"/>
      </w:divBdr>
    </w:div>
    <w:div w:id="961032495">
      <w:bodyDiv w:val="1"/>
      <w:marLeft w:val="0"/>
      <w:marRight w:val="0"/>
      <w:marTop w:val="0"/>
      <w:marBottom w:val="0"/>
      <w:divBdr>
        <w:top w:val="none" w:sz="0" w:space="0" w:color="auto"/>
        <w:left w:val="none" w:sz="0" w:space="0" w:color="auto"/>
        <w:bottom w:val="none" w:sz="0" w:space="0" w:color="auto"/>
        <w:right w:val="none" w:sz="0" w:space="0" w:color="auto"/>
      </w:divBdr>
    </w:div>
    <w:div w:id="962004491">
      <w:bodyDiv w:val="1"/>
      <w:marLeft w:val="0"/>
      <w:marRight w:val="0"/>
      <w:marTop w:val="0"/>
      <w:marBottom w:val="0"/>
      <w:divBdr>
        <w:top w:val="none" w:sz="0" w:space="0" w:color="auto"/>
        <w:left w:val="none" w:sz="0" w:space="0" w:color="auto"/>
        <w:bottom w:val="none" w:sz="0" w:space="0" w:color="auto"/>
        <w:right w:val="none" w:sz="0" w:space="0" w:color="auto"/>
      </w:divBdr>
    </w:div>
    <w:div w:id="962226176">
      <w:bodyDiv w:val="1"/>
      <w:marLeft w:val="0"/>
      <w:marRight w:val="0"/>
      <w:marTop w:val="0"/>
      <w:marBottom w:val="0"/>
      <w:divBdr>
        <w:top w:val="none" w:sz="0" w:space="0" w:color="auto"/>
        <w:left w:val="none" w:sz="0" w:space="0" w:color="auto"/>
        <w:bottom w:val="none" w:sz="0" w:space="0" w:color="auto"/>
        <w:right w:val="none" w:sz="0" w:space="0" w:color="auto"/>
      </w:divBdr>
    </w:div>
    <w:div w:id="962881854">
      <w:bodyDiv w:val="1"/>
      <w:marLeft w:val="0"/>
      <w:marRight w:val="0"/>
      <w:marTop w:val="0"/>
      <w:marBottom w:val="0"/>
      <w:divBdr>
        <w:top w:val="none" w:sz="0" w:space="0" w:color="auto"/>
        <w:left w:val="none" w:sz="0" w:space="0" w:color="auto"/>
        <w:bottom w:val="none" w:sz="0" w:space="0" w:color="auto"/>
        <w:right w:val="none" w:sz="0" w:space="0" w:color="auto"/>
      </w:divBdr>
    </w:div>
    <w:div w:id="963467806">
      <w:bodyDiv w:val="1"/>
      <w:marLeft w:val="0"/>
      <w:marRight w:val="0"/>
      <w:marTop w:val="0"/>
      <w:marBottom w:val="0"/>
      <w:divBdr>
        <w:top w:val="none" w:sz="0" w:space="0" w:color="auto"/>
        <w:left w:val="none" w:sz="0" w:space="0" w:color="auto"/>
        <w:bottom w:val="none" w:sz="0" w:space="0" w:color="auto"/>
        <w:right w:val="none" w:sz="0" w:space="0" w:color="auto"/>
      </w:divBdr>
    </w:div>
    <w:div w:id="966468475">
      <w:bodyDiv w:val="1"/>
      <w:marLeft w:val="0"/>
      <w:marRight w:val="0"/>
      <w:marTop w:val="0"/>
      <w:marBottom w:val="0"/>
      <w:divBdr>
        <w:top w:val="none" w:sz="0" w:space="0" w:color="auto"/>
        <w:left w:val="none" w:sz="0" w:space="0" w:color="auto"/>
        <w:bottom w:val="none" w:sz="0" w:space="0" w:color="auto"/>
        <w:right w:val="none" w:sz="0" w:space="0" w:color="auto"/>
      </w:divBdr>
    </w:div>
    <w:div w:id="968434481">
      <w:bodyDiv w:val="1"/>
      <w:marLeft w:val="0"/>
      <w:marRight w:val="0"/>
      <w:marTop w:val="0"/>
      <w:marBottom w:val="0"/>
      <w:divBdr>
        <w:top w:val="none" w:sz="0" w:space="0" w:color="auto"/>
        <w:left w:val="none" w:sz="0" w:space="0" w:color="auto"/>
        <w:bottom w:val="none" w:sz="0" w:space="0" w:color="auto"/>
        <w:right w:val="none" w:sz="0" w:space="0" w:color="auto"/>
      </w:divBdr>
    </w:div>
    <w:div w:id="968437750">
      <w:bodyDiv w:val="1"/>
      <w:marLeft w:val="0"/>
      <w:marRight w:val="0"/>
      <w:marTop w:val="0"/>
      <w:marBottom w:val="0"/>
      <w:divBdr>
        <w:top w:val="none" w:sz="0" w:space="0" w:color="auto"/>
        <w:left w:val="none" w:sz="0" w:space="0" w:color="auto"/>
        <w:bottom w:val="none" w:sz="0" w:space="0" w:color="auto"/>
        <w:right w:val="none" w:sz="0" w:space="0" w:color="auto"/>
      </w:divBdr>
    </w:div>
    <w:div w:id="968825731">
      <w:bodyDiv w:val="1"/>
      <w:marLeft w:val="0"/>
      <w:marRight w:val="0"/>
      <w:marTop w:val="0"/>
      <w:marBottom w:val="0"/>
      <w:divBdr>
        <w:top w:val="none" w:sz="0" w:space="0" w:color="auto"/>
        <w:left w:val="none" w:sz="0" w:space="0" w:color="auto"/>
        <w:bottom w:val="none" w:sz="0" w:space="0" w:color="auto"/>
        <w:right w:val="none" w:sz="0" w:space="0" w:color="auto"/>
      </w:divBdr>
    </w:div>
    <w:div w:id="970522754">
      <w:bodyDiv w:val="1"/>
      <w:marLeft w:val="0"/>
      <w:marRight w:val="0"/>
      <w:marTop w:val="0"/>
      <w:marBottom w:val="0"/>
      <w:divBdr>
        <w:top w:val="none" w:sz="0" w:space="0" w:color="auto"/>
        <w:left w:val="none" w:sz="0" w:space="0" w:color="auto"/>
        <w:bottom w:val="none" w:sz="0" w:space="0" w:color="auto"/>
        <w:right w:val="none" w:sz="0" w:space="0" w:color="auto"/>
      </w:divBdr>
    </w:div>
    <w:div w:id="970944212">
      <w:bodyDiv w:val="1"/>
      <w:marLeft w:val="0"/>
      <w:marRight w:val="0"/>
      <w:marTop w:val="0"/>
      <w:marBottom w:val="0"/>
      <w:divBdr>
        <w:top w:val="none" w:sz="0" w:space="0" w:color="auto"/>
        <w:left w:val="none" w:sz="0" w:space="0" w:color="auto"/>
        <w:bottom w:val="none" w:sz="0" w:space="0" w:color="auto"/>
        <w:right w:val="none" w:sz="0" w:space="0" w:color="auto"/>
      </w:divBdr>
    </w:div>
    <w:div w:id="973216409">
      <w:bodyDiv w:val="1"/>
      <w:marLeft w:val="0"/>
      <w:marRight w:val="0"/>
      <w:marTop w:val="0"/>
      <w:marBottom w:val="0"/>
      <w:divBdr>
        <w:top w:val="none" w:sz="0" w:space="0" w:color="auto"/>
        <w:left w:val="none" w:sz="0" w:space="0" w:color="auto"/>
        <w:bottom w:val="none" w:sz="0" w:space="0" w:color="auto"/>
        <w:right w:val="none" w:sz="0" w:space="0" w:color="auto"/>
      </w:divBdr>
    </w:div>
    <w:div w:id="973874349">
      <w:bodyDiv w:val="1"/>
      <w:marLeft w:val="0"/>
      <w:marRight w:val="0"/>
      <w:marTop w:val="0"/>
      <w:marBottom w:val="0"/>
      <w:divBdr>
        <w:top w:val="none" w:sz="0" w:space="0" w:color="auto"/>
        <w:left w:val="none" w:sz="0" w:space="0" w:color="auto"/>
        <w:bottom w:val="none" w:sz="0" w:space="0" w:color="auto"/>
        <w:right w:val="none" w:sz="0" w:space="0" w:color="auto"/>
      </w:divBdr>
    </w:div>
    <w:div w:id="974336052">
      <w:bodyDiv w:val="1"/>
      <w:marLeft w:val="0"/>
      <w:marRight w:val="0"/>
      <w:marTop w:val="0"/>
      <w:marBottom w:val="0"/>
      <w:divBdr>
        <w:top w:val="none" w:sz="0" w:space="0" w:color="auto"/>
        <w:left w:val="none" w:sz="0" w:space="0" w:color="auto"/>
        <w:bottom w:val="none" w:sz="0" w:space="0" w:color="auto"/>
        <w:right w:val="none" w:sz="0" w:space="0" w:color="auto"/>
      </w:divBdr>
    </w:div>
    <w:div w:id="974602401">
      <w:bodyDiv w:val="1"/>
      <w:marLeft w:val="0"/>
      <w:marRight w:val="0"/>
      <w:marTop w:val="0"/>
      <w:marBottom w:val="0"/>
      <w:divBdr>
        <w:top w:val="none" w:sz="0" w:space="0" w:color="auto"/>
        <w:left w:val="none" w:sz="0" w:space="0" w:color="auto"/>
        <w:bottom w:val="none" w:sz="0" w:space="0" w:color="auto"/>
        <w:right w:val="none" w:sz="0" w:space="0" w:color="auto"/>
      </w:divBdr>
    </w:div>
    <w:div w:id="976229061">
      <w:bodyDiv w:val="1"/>
      <w:marLeft w:val="0"/>
      <w:marRight w:val="0"/>
      <w:marTop w:val="0"/>
      <w:marBottom w:val="0"/>
      <w:divBdr>
        <w:top w:val="none" w:sz="0" w:space="0" w:color="auto"/>
        <w:left w:val="none" w:sz="0" w:space="0" w:color="auto"/>
        <w:bottom w:val="none" w:sz="0" w:space="0" w:color="auto"/>
        <w:right w:val="none" w:sz="0" w:space="0" w:color="auto"/>
      </w:divBdr>
    </w:div>
    <w:div w:id="976640756">
      <w:bodyDiv w:val="1"/>
      <w:marLeft w:val="0"/>
      <w:marRight w:val="0"/>
      <w:marTop w:val="0"/>
      <w:marBottom w:val="0"/>
      <w:divBdr>
        <w:top w:val="none" w:sz="0" w:space="0" w:color="auto"/>
        <w:left w:val="none" w:sz="0" w:space="0" w:color="auto"/>
        <w:bottom w:val="none" w:sz="0" w:space="0" w:color="auto"/>
        <w:right w:val="none" w:sz="0" w:space="0" w:color="auto"/>
      </w:divBdr>
    </w:div>
    <w:div w:id="976884540">
      <w:bodyDiv w:val="1"/>
      <w:marLeft w:val="0"/>
      <w:marRight w:val="0"/>
      <w:marTop w:val="0"/>
      <w:marBottom w:val="0"/>
      <w:divBdr>
        <w:top w:val="none" w:sz="0" w:space="0" w:color="auto"/>
        <w:left w:val="none" w:sz="0" w:space="0" w:color="auto"/>
        <w:bottom w:val="none" w:sz="0" w:space="0" w:color="auto"/>
        <w:right w:val="none" w:sz="0" w:space="0" w:color="auto"/>
      </w:divBdr>
    </w:div>
    <w:div w:id="977536072">
      <w:bodyDiv w:val="1"/>
      <w:marLeft w:val="0"/>
      <w:marRight w:val="0"/>
      <w:marTop w:val="0"/>
      <w:marBottom w:val="0"/>
      <w:divBdr>
        <w:top w:val="none" w:sz="0" w:space="0" w:color="auto"/>
        <w:left w:val="none" w:sz="0" w:space="0" w:color="auto"/>
        <w:bottom w:val="none" w:sz="0" w:space="0" w:color="auto"/>
        <w:right w:val="none" w:sz="0" w:space="0" w:color="auto"/>
      </w:divBdr>
    </w:div>
    <w:div w:id="978262470">
      <w:bodyDiv w:val="1"/>
      <w:marLeft w:val="0"/>
      <w:marRight w:val="0"/>
      <w:marTop w:val="0"/>
      <w:marBottom w:val="0"/>
      <w:divBdr>
        <w:top w:val="none" w:sz="0" w:space="0" w:color="auto"/>
        <w:left w:val="none" w:sz="0" w:space="0" w:color="auto"/>
        <w:bottom w:val="none" w:sz="0" w:space="0" w:color="auto"/>
        <w:right w:val="none" w:sz="0" w:space="0" w:color="auto"/>
      </w:divBdr>
    </w:div>
    <w:div w:id="978265704">
      <w:bodyDiv w:val="1"/>
      <w:marLeft w:val="0"/>
      <w:marRight w:val="0"/>
      <w:marTop w:val="0"/>
      <w:marBottom w:val="0"/>
      <w:divBdr>
        <w:top w:val="none" w:sz="0" w:space="0" w:color="auto"/>
        <w:left w:val="none" w:sz="0" w:space="0" w:color="auto"/>
        <w:bottom w:val="none" w:sz="0" w:space="0" w:color="auto"/>
        <w:right w:val="none" w:sz="0" w:space="0" w:color="auto"/>
      </w:divBdr>
    </w:div>
    <w:div w:id="978729428">
      <w:bodyDiv w:val="1"/>
      <w:marLeft w:val="0"/>
      <w:marRight w:val="0"/>
      <w:marTop w:val="0"/>
      <w:marBottom w:val="0"/>
      <w:divBdr>
        <w:top w:val="none" w:sz="0" w:space="0" w:color="auto"/>
        <w:left w:val="none" w:sz="0" w:space="0" w:color="auto"/>
        <w:bottom w:val="none" w:sz="0" w:space="0" w:color="auto"/>
        <w:right w:val="none" w:sz="0" w:space="0" w:color="auto"/>
      </w:divBdr>
    </w:div>
    <w:div w:id="978875926">
      <w:bodyDiv w:val="1"/>
      <w:marLeft w:val="0"/>
      <w:marRight w:val="0"/>
      <w:marTop w:val="0"/>
      <w:marBottom w:val="0"/>
      <w:divBdr>
        <w:top w:val="none" w:sz="0" w:space="0" w:color="auto"/>
        <w:left w:val="none" w:sz="0" w:space="0" w:color="auto"/>
        <w:bottom w:val="none" w:sz="0" w:space="0" w:color="auto"/>
        <w:right w:val="none" w:sz="0" w:space="0" w:color="auto"/>
      </w:divBdr>
    </w:div>
    <w:div w:id="979650202">
      <w:bodyDiv w:val="1"/>
      <w:marLeft w:val="0"/>
      <w:marRight w:val="0"/>
      <w:marTop w:val="0"/>
      <w:marBottom w:val="0"/>
      <w:divBdr>
        <w:top w:val="none" w:sz="0" w:space="0" w:color="auto"/>
        <w:left w:val="none" w:sz="0" w:space="0" w:color="auto"/>
        <w:bottom w:val="none" w:sz="0" w:space="0" w:color="auto"/>
        <w:right w:val="none" w:sz="0" w:space="0" w:color="auto"/>
      </w:divBdr>
    </w:div>
    <w:div w:id="979698730">
      <w:bodyDiv w:val="1"/>
      <w:marLeft w:val="0"/>
      <w:marRight w:val="0"/>
      <w:marTop w:val="0"/>
      <w:marBottom w:val="0"/>
      <w:divBdr>
        <w:top w:val="none" w:sz="0" w:space="0" w:color="auto"/>
        <w:left w:val="none" w:sz="0" w:space="0" w:color="auto"/>
        <w:bottom w:val="none" w:sz="0" w:space="0" w:color="auto"/>
        <w:right w:val="none" w:sz="0" w:space="0" w:color="auto"/>
      </w:divBdr>
    </w:div>
    <w:div w:id="980382435">
      <w:bodyDiv w:val="1"/>
      <w:marLeft w:val="0"/>
      <w:marRight w:val="0"/>
      <w:marTop w:val="0"/>
      <w:marBottom w:val="0"/>
      <w:divBdr>
        <w:top w:val="none" w:sz="0" w:space="0" w:color="auto"/>
        <w:left w:val="none" w:sz="0" w:space="0" w:color="auto"/>
        <w:bottom w:val="none" w:sz="0" w:space="0" w:color="auto"/>
        <w:right w:val="none" w:sz="0" w:space="0" w:color="auto"/>
      </w:divBdr>
    </w:div>
    <w:div w:id="981425029">
      <w:bodyDiv w:val="1"/>
      <w:marLeft w:val="0"/>
      <w:marRight w:val="0"/>
      <w:marTop w:val="0"/>
      <w:marBottom w:val="0"/>
      <w:divBdr>
        <w:top w:val="none" w:sz="0" w:space="0" w:color="auto"/>
        <w:left w:val="none" w:sz="0" w:space="0" w:color="auto"/>
        <w:bottom w:val="none" w:sz="0" w:space="0" w:color="auto"/>
        <w:right w:val="none" w:sz="0" w:space="0" w:color="auto"/>
      </w:divBdr>
    </w:div>
    <w:div w:id="981814597">
      <w:bodyDiv w:val="1"/>
      <w:marLeft w:val="0"/>
      <w:marRight w:val="0"/>
      <w:marTop w:val="0"/>
      <w:marBottom w:val="0"/>
      <w:divBdr>
        <w:top w:val="none" w:sz="0" w:space="0" w:color="auto"/>
        <w:left w:val="none" w:sz="0" w:space="0" w:color="auto"/>
        <w:bottom w:val="none" w:sz="0" w:space="0" w:color="auto"/>
        <w:right w:val="none" w:sz="0" w:space="0" w:color="auto"/>
      </w:divBdr>
    </w:div>
    <w:div w:id="984119346">
      <w:bodyDiv w:val="1"/>
      <w:marLeft w:val="0"/>
      <w:marRight w:val="0"/>
      <w:marTop w:val="0"/>
      <w:marBottom w:val="0"/>
      <w:divBdr>
        <w:top w:val="none" w:sz="0" w:space="0" w:color="auto"/>
        <w:left w:val="none" w:sz="0" w:space="0" w:color="auto"/>
        <w:bottom w:val="none" w:sz="0" w:space="0" w:color="auto"/>
        <w:right w:val="none" w:sz="0" w:space="0" w:color="auto"/>
      </w:divBdr>
    </w:div>
    <w:div w:id="984119368">
      <w:bodyDiv w:val="1"/>
      <w:marLeft w:val="0"/>
      <w:marRight w:val="0"/>
      <w:marTop w:val="0"/>
      <w:marBottom w:val="0"/>
      <w:divBdr>
        <w:top w:val="none" w:sz="0" w:space="0" w:color="auto"/>
        <w:left w:val="none" w:sz="0" w:space="0" w:color="auto"/>
        <w:bottom w:val="none" w:sz="0" w:space="0" w:color="auto"/>
        <w:right w:val="none" w:sz="0" w:space="0" w:color="auto"/>
      </w:divBdr>
    </w:div>
    <w:div w:id="984241136">
      <w:bodyDiv w:val="1"/>
      <w:marLeft w:val="0"/>
      <w:marRight w:val="0"/>
      <w:marTop w:val="0"/>
      <w:marBottom w:val="0"/>
      <w:divBdr>
        <w:top w:val="none" w:sz="0" w:space="0" w:color="auto"/>
        <w:left w:val="none" w:sz="0" w:space="0" w:color="auto"/>
        <w:bottom w:val="none" w:sz="0" w:space="0" w:color="auto"/>
        <w:right w:val="none" w:sz="0" w:space="0" w:color="auto"/>
      </w:divBdr>
    </w:div>
    <w:div w:id="984550830">
      <w:bodyDiv w:val="1"/>
      <w:marLeft w:val="0"/>
      <w:marRight w:val="0"/>
      <w:marTop w:val="0"/>
      <w:marBottom w:val="0"/>
      <w:divBdr>
        <w:top w:val="none" w:sz="0" w:space="0" w:color="auto"/>
        <w:left w:val="none" w:sz="0" w:space="0" w:color="auto"/>
        <w:bottom w:val="none" w:sz="0" w:space="0" w:color="auto"/>
        <w:right w:val="none" w:sz="0" w:space="0" w:color="auto"/>
      </w:divBdr>
    </w:div>
    <w:div w:id="987705761">
      <w:bodyDiv w:val="1"/>
      <w:marLeft w:val="0"/>
      <w:marRight w:val="0"/>
      <w:marTop w:val="0"/>
      <w:marBottom w:val="0"/>
      <w:divBdr>
        <w:top w:val="none" w:sz="0" w:space="0" w:color="auto"/>
        <w:left w:val="none" w:sz="0" w:space="0" w:color="auto"/>
        <w:bottom w:val="none" w:sz="0" w:space="0" w:color="auto"/>
        <w:right w:val="none" w:sz="0" w:space="0" w:color="auto"/>
      </w:divBdr>
    </w:div>
    <w:div w:id="989404980">
      <w:bodyDiv w:val="1"/>
      <w:marLeft w:val="0"/>
      <w:marRight w:val="0"/>
      <w:marTop w:val="0"/>
      <w:marBottom w:val="0"/>
      <w:divBdr>
        <w:top w:val="none" w:sz="0" w:space="0" w:color="auto"/>
        <w:left w:val="none" w:sz="0" w:space="0" w:color="auto"/>
        <w:bottom w:val="none" w:sz="0" w:space="0" w:color="auto"/>
        <w:right w:val="none" w:sz="0" w:space="0" w:color="auto"/>
      </w:divBdr>
    </w:div>
    <w:div w:id="990015943">
      <w:bodyDiv w:val="1"/>
      <w:marLeft w:val="0"/>
      <w:marRight w:val="0"/>
      <w:marTop w:val="0"/>
      <w:marBottom w:val="0"/>
      <w:divBdr>
        <w:top w:val="none" w:sz="0" w:space="0" w:color="auto"/>
        <w:left w:val="none" w:sz="0" w:space="0" w:color="auto"/>
        <w:bottom w:val="none" w:sz="0" w:space="0" w:color="auto"/>
        <w:right w:val="none" w:sz="0" w:space="0" w:color="auto"/>
      </w:divBdr>
    </w:div>
    <w:div w:id="990982100">
      <w:bodyDiv w:val="1"/>
      <w:marLeft w:val="0"/>
      <w:marRight w:val="0"/>
      <w:marTop w:val="0"/>
      <w:marBottom w:val="0"/>
      <w:divBdr>
        <w:top w:val="none" w:sz="0" w:space="0" w:color="auto"/>
        <w:left w:val="none" w:sz="0" w:space="0" w:color="auto"/>
        <w:bottom w:val="none" w:sz="0" w:space="0" w:color="auto"/>
        <w:right w:val="none" w:sz="0" w:space="0" w:color="auto"/>
      </w:divBdr>
    </w:div>
    <w:div w:id="991830590">
      <w:bodyDiv w:val="1"/>
      <w:marLeft w:val="0"/>
      <w:marRight w:val="0"/>
      <w:marTop w:val="0"/>
      <w:marBottom w:val="0"/>
      <w:divBdr>
        <w:top w:val="none" w:sz="0" w:space="0" w:color="auto"/>
        <w:left w:val="none" w:sz="0" w:space="0" w:color="auto"/>
        <w:bottom w:val="none" w:sz="0" w:space="0" w:color="auto"/>
        <w:right w:val="none" w:sz="0" w:space="0" w:color="auto"/>
      </w:divBdr>
    </w:div>
    <w:div w:id="992023729">
      <w:bodyDiv w:val="1"/>
      <w:marLeft w:val="0"/>
      <w:marRight w:val="0"/>
      <w:marTop w:val="0"/>
      <w:marBottom w:val="0"/>
      <w:divBdr>
        <w:top w:val="none" w:sz="0" w:space="0" w:color="auto"/>
        <w:left w:val="none" w:sz="0" w:space="0" w:color="auto"/>
        <w:bottom w:val="none" w:sz="0" w:space="0" w:color="auto"/>
        <w:right w:val="none" w:sz="0" w:space="0" w:color="auto"/>
      </w:divBdr>
    </w:div>
    <w:div w:id="992104198">
      <w:bodyDiv w:val="1"/>
      <w:marLeft w:val="0"/>
      <w:marRight w:val="0"/>
      <w:marTop w:val="0"/>
      <w:marBottom w:val="0"/>
      <w:divBdr>
        <w:top w:val="none" w:sz="0" w:space="0" w:color="auto"/>
        <w:left w:val="none" w:sz="0" w:space="0" w:color="auto"/>
        <w:bottom w:val="none" w:sz="0" w:space="0" w:color="auto"/>
        <w:right w:val="none" w:sz="0" w:space="0" w:color="auto"/>
      </w:divBdr>
    </w:div>
    <w:div w:id="993029013">
      <w:bodyDiv w:val="1"/>
      <w:marLeft w:val="0"/>
      <w:marRight w:val="0"/>
      <w:marTop w:val="0"/>
      <w:marBottom w:val="0"/>
      <w:divBdr>
        <w:top w:val="none" w:sz="0" w:space="0" w:color="auto"/>
        <w:left w:val="none" w:sz="0" w:space="0" w:color="auto"/>
        <w:bottom w:val="none" w:sz="0" w:space="0" w:color="auto"/>
        <w:right w:val="none" w:sz="0" w:space="0" w:color="auto"/>
      </w:divBdr>
    </w:div>
    <w:div w:id="993334555">
      <w:bodyDiv w:val="1"/>
      <w:marLeft w:val="0"/>
      <w:marRight w:val="0"/>
      <w:marTop w:val="0"/>
      <w:marBottom w:val="0"/>
      <w:divBdr>
        <w:top w:val="none" w:sz="0" w:space="0" w:color="auto"/>
        <w:left w:val="none" w:sz="0" w:space="0" w:color="auto"/>
        <w:bottom w:val="none" w:sz="0" w:space="0" w:color="auto"/>
        <w:right w:val="none" w:sz="0" w:space="0" w:color="auto"/>
      </w:divBdr>
    </w:div>
    <w:div w:id="996999844">
      <w:bodyDiv w:val="1"/>
      <w:marLeft w:val="0"/>
      <w:marRight w:val="0"/>
      <w:marTop w:val="0"/>
      <w:marBottom w:val="0"/>
      <w:divBdr>
        <w:top w:val="none" w:sz="0" w:space="0" w:color="auto"/>
        <w:left w:val="none" w:sz="0" w:space="0" w:color="auto"/>
        <w:bottom w:val="none" w:sz="0" w:space="0" w:color="auto"/>
        <w:right w:val="none" w:sz="0" w:space="0" w:color="auto"/>
      </w:divBdr>
    </w:div>
    <w:div w:id="997924457">
      <w:bodyDiv w:val="1"/>
      <w:marLeft w:val="0"/>
      <w:marRight w:val="0"/>
      <w:marTop w:val="0"/>
      <w:marBottom w:val="0"/>
      <w:divBdr>
        <w:top w:val="none" w:sz="0" w:space="0" w:color="auto"/>
        <w:left w:val="none" w:sz="0" w:space="0" w:color="auto"/>
        <w:bottom w:val="none" w:sz="0" w:space="0" w:color="auto"/>
        <w:right w:val="none" w:sz="0" w:space="0" w:color="auto"/>
      </w:divBdr>
    </w:div>
    <w:div w:id="998387152">
      <w:bodyDiv w:val="1"/>
      <w:marLeft w:val="0"/>
      <w:marRight w:val="0"/>
      <w:marTop w:val="0"/>
      <w:marBottom w:val="0"/>
      <w:divBdr>
        <w:top w:val="none" w:sz="0" w:space="0" w:color="auto"/>
        <w:left w:val="none" w:sz="0" w:space="0" w:color="auto"/>
        <w:bottom w:val="none" w:sz="0" w:space="0" w:color="auto"/>
        <w:right w:val="none" w:sz="0" w:space="0" w:color="auto"/>
      </w:divBdr>
    </w:div>
    <w:div w:id="998652704">
      <w:bodyDiv w:val="1"/>
      <w:marLeft w:val="0"/>
      <w:marRight w:val="0"/>
      <w:marTop w:val="0"/>
      <w:marBottom w:val="0"/>
      <w:divBdr>
        <w:top w:val="none" w:sz="0" w:space="0" w:color="auto"/>
        <w:left w:val="none" w:sz="0" w:space="0" w:color="auto"/>
        <w:bottom w:val="none" w:sz="0" w:space="0" w:color="auto"/>
        <w:right w:val="none" w:sz="0" w:space="0" w:color="auto"/>
      </w:divBdr>
    </w:div>
    <w:div w:id="999234191">
      <w:bodyDiv w:val="1"/>
      <w:marLeft w:val="0"/>
      <w:marRight w:val="0"/>
      <w:marTop w:val="0"/>
      <w:marBottom w:val="0"/>
      <w:divBdr>
        <w:top w:val="none" w:sz="0" w:space="0" w:color="auto"/>
        <w:left w:val="none" w:sz="0" w:space="0" w:color="auto"/>
        <w:bottom w:val="none" w:sz="0" w:space="0" w:color="auto"/>
        <w:right w:val="none" w:sz="0" w:space="0" w:color="auto"/>
      </w:divBdr>
    </w:div>
    <w:div w:id="1001195940">
      <w:bodyDiv w:val="1"/>
      <w:marLeft w:val="0"/>
      <w:marRight w:val="0"/>
      <w:marTop w:val="0"/>
      <w:marBottom w:val="0"/>
      <w:divBdr>
        <w:top w:val="none" w:sz="0" w:space="0" w:color="auto"/>
        <w:left w:val="none" w:sz="0" w:space="0" w:color="auto"/>
        <w:bottom w:val="none" w:sz="0" w:space="0" w:color="auto"/>
        <w:right w:val="none" w:sz="0" w:space="0" w:color="auto"/>
      </w:divBdr>
    </w:div>
    <w:div w:id="1002003443">
      <w:bodyDiv w:val="1"/>
      <w:marLeft w:val="0"/>
      <w:marRight w:val="0"/>
      <w:marTop w:val="0"/>
      <w:marBottom w:val="0"/>
      <w:divBdr>
        <w:top w:val="none" w:sz="0" w:space="0" w:color="auto"/>
        <w:left w:val="none" w:sz="0" w:space="0" w:color="auto"/>
        <w:bottom w:val="none" w:sz="0" w:space="0" w:color="auto"/>
        <w:right w:val="none" w:sz="0" w:space="0" w:color="auto"/>
      </w:divBdr>
    </w:div>
    <w:div w:id="1002585728">
      <w:bodyDiv w:val="1"/>
      <w:marLeft w:val="0"/>
      <w:marRight w:val="0"/>
      <w:marTop w:val="0"/>
      <w:marBottom w:val="0"/>
      <w:divBdr>
        <w:top w:val="none" w:sz="0" w:space="0" w:color="auto"/>
        <w:left w:val="none" w:sz="0" w:space="0" w:color="auto"/>
        <w:bottom w:val="none" w:sz="0" w:space="0" w:color="auto"/>
        <w:right w:val="none" w:sz="0" w:space="0" w:color="auto"/>
      </w:divBdr>
    </w:div>
    <w:div w:id="1003508816">
      <w:bodyDiv w:val="1"/>
      <w:marLeft w:val="0"/>
      <w:marRight w:val="0"/>
      <w:marTop w:val="0"/>
      <w:marBottom w:val="0"/>
      <w:divBdr>
        <w:top w:val="none" w:sz="0" w:space="0" w:color="auto"/>
        <w:left w:val="none" w:sz="0" w:space="0" w:color="auto"/>
        <w:bottom w:val="none" w:sz="0" w:space="0" w:color="auto"/>
        <w:right w:val="none" w:sz="0" w:space="0" w:color="auto"/>
      </w:divBdr>
    </w:div>
    <w:div w:id="1003818108">
      <w:bodyDiv w:val="1"/>
      <w:marLeft w:val="0"/>
      <w:marRight w:val="0"/>
      <w:marTop w:val="0"/>
      <w:marBottom w:val="0"/>
      <w:divBdr>
        <w:top w:val="none" w:sz="0" w:space="0" w:color="auto"/>
        <w:left w:val="none" w:sz="0" w:space="0" w:color="auto"/>
        <w:bottom w:val="none" w:sz="0" w:space="0" w:color="auto"/>
        <w:right w:val="none" w:sz="0" w:space="0" w:color="auto"/>
      </w:divBdr>
    </w:div>
    <w:div w:id="1005013913">
      <w:bodyDiv w:val="1"/>
      <w:marLeft w:val="0"/>
      <w:marRight w:val="0"/>
      <w:marTop w:val="0"/>
      <w:marBottom w:val="0"/>
      <w:divBdr>
        <w:top w:val="none" w:sz="0" w:space="0" w:color="auto"/>
        <w:left w:val="none" w:sz="0" w:space="0" w:color="auto"/>
        <w:bottom w:val="none" w:sz="0" w:space="0" w:color="auto"/>
        <w:right w:val="none" w:sz="0" w:space="0" w:color="auto"/>
      </w:divBdr>
    </w:div>
    <w:div w:id="1006522504">
      <w:bodyDiv w:val="1"/>
      <w:marLeft w:val="0"/>
      <w:marRight w:val="0"/>
      <w:marTop w:val="0"/>
      <w:marBottom w:val="0"/>
      <w:divBdr>
        <w:top w:val="none" w:sz="0" w:space="0" w:color="auto"/>
        <w:left w:val="none" w:sz="0" w:space="0" w:color="auto"/>
        <w:bottom w:val="none" w:sz="0" w:space="0" w:color="auto"/>
        <w:right w:val="none" w:sz="0" w:space="0" w:color="auto"/>
      </w:divBdr>
    </w:div>
    <w:div w:id="1006593978">
      <w:bodyDiv w:val="1"/>
      <w:marLeft w:val="0"/>
      <w:marRight w:val="0"/>
      <w:marTop w:val="0"/>
      <w:marBottom w:val="0"/>
      <w:divBdr>
        <w:top w:val="none" w:sz="0" w:space="0" w:color="auto"/>
        <w:left w:val="none" w:sz="0" w:space="0" w:color="auto"/>
        <w:bottom w:val="none" w:sz="0" w:space="0" w:color="auto"/>
        <w:right w:val="none" w:sz="0" w:space="0" w:color="auto"/>
      </w:divBdr>
    </w:div>
    <w:div w:id="1006664845">
      <w:bodyDiv w:val="1"/>
      <w:marLeft w:val="0"/>
      <w:marRight w:val="0"/>
      <w:marTop w:val="0"/>
      <w:marBottom w:val="0"/>
      <w:divBdr>
        <w:top w:val="none" w:sz="0" w:space="0" w:color="auto"/>
        <w:left w:val="none" w:sz="0" w:space="0" w:color="auto"/>
        <w:bottom w:val="none" w:sz="0" w:space="0" w:color="auto"/>
        <w:right w:val="none" w:sz="0" w:space="0" w:color="auto"/>
      </w:divBdr>
    </w:div>
    <w:div w:id="1008094352">
      <w:bodyDiv w:val="1"/>
      <w:marLeft w:val="0"/>
      <w:marRight w:val="0"/>
      <w:marTop w:val="0"/>
      <w:marBottom w:val="0"/>
      <w:divBdr>
        <w:top w:val="none" w:sz="0" w:space="0" w:color="auto"/>
        <w:left w:val="none" w:sz="0" w:space="0" w:color="auto"/>
        <w:bottom w:val="none" w:sz="0" w:space="0" w:color="auto"/>
        <w:right w:val="none" w:sz="0" w:space="0" w:color="auto"/>
      </w:divBdr>
    </w:div>
    <w:div w:id="1008172607">
      <w:bodyDiv w:val="1"/>
      <w:marLeft w:val="0"/>
      <w:marRight w:val="0"/>
      <w:marTop w:val="0"/>
      <w:marBottom w:val="0"/>
      <w:divBdr>
        <w:top w:val="none" w:sz="0" w:space="0" w:color="auto"/>
        <w:left w:val="none" w:sz="0" w:space="0" w:color="auto"/>
        <w:bottom w:val="none" w:sz="0" w:space="0" w:color="auto"/>
        <w:right w:val="none" w:sz="0" w:space="0" w:color="auto"/>
      </w:divBdr>
    </w:div>
    <w:div w:id="1009865273">
      <w:bodyDiv w:val="1"/>
      <w:marLeft w:val="0"/>
      <w:marRight w:val="0"/>
      <w:marTop w:val="0"/>
      <w:marBottom w:val="0"/>
      <w:divBdr>
        <w:top w:val="none" w:sz="0" w:space="0" w:color="auto"/>
        <w:left w:val="none" w:sz="0" w:space="0" w:color="auto"/>
        <w:bottom w:val="none" w:sz="0" w:space="0" w:color="auto"/>
        <w:right w:val="none" w:sz="0" w:space="0" w:color="auto"/>
      </w:divBdr>
    </w:div>
    <w:div w:id="1011684686">
      <w:bodyDiv w:val="1"/>
      <w:marLeft w:val="0"/>
      <w:marRight w:val="0"/>
      <w:marTop w:val="0"/>
      <w:marBottom w:val="0"/>
      <w:divBdr>
        <w:top w:val="none" w:sz="0" w:space="0" w:color="auto"/>
        <w:left w:val="none" w:sz="0" w:space="0" w:color="auto"/>
        <w:bottom w:val="none" w:sz="0" w:space="0" w:color="auto"/>
        <w:right w:val="none" w:sz="0" w:space="0" w:color="auto"/>
      </w:divBdr>
    </w:div>
    <w:div w:id="1012028111">
      <w:bodyDiv w:val="1"/>
      <w:marLeft w:val="0"/>
      <w:marRight w:val="0"/>
      <w:marTop w:val="0"/>
      <w:marBottom w:val="0"/>
      <w:divBdr>
        <w:top w:val="none" w:sz="0" w:space="0" w:color="auto"/>
        <w:left w:val="none" w:sz="0" w:space="0" w:color="auto"/>
        <w:bottom w:val="none" w:sz="0" w:space="0" w:color="auto"/>
        <w:right w:val="none" w:sz="0" w:space="0" w:color="auto"/>
      </w:divBdr>
    </w:div>
    <w:div w:id="1012606108">
      <w:bodyDiv w:val="1"/>
      <w:marLeft w:val="0"/>
      <w:marRight w:val="0"/>
      <w:marTop w:val="0"/>
      <w:marBottom w:val="0"/>
      <w:divBdr>
        <w:top w:val="none" w:sz="0" w:space="0" w:color="auto"/>
        <w:left w:val="none" w:sz="0" w:space="0" w:color="auto"/>
        <w:bottom w:val="none" w:sz="0" w:space="0" w:color="auto"/>
        <w:right w:val="none" w:sz="0" w:space="0" w:color="auto"/>
      </w:divBdr>
    </w:div>
    <w:div w:id="1012685116">
      <w:bodyDiv w:val="1"/>
      <w:marLeft w:val="0"/>
      <w:marRight w:val="0"/>
      <w:marTop w:val="0"/>
      <w:marBottom w:val="0"/>
      <w:divBdr>
        <w:top w:val="none" w:sz="0" w:space="0" w:color="auto"/>
        <w:left w:val="none" w:sz="0" w:space="0" w:color="auto"/>
        <w:bottom w:val="none" w:sz="0" w:space="0" w:color="auto"/>
        <w:right w:val="none" w:sz="0" w:space="0" w:color="auto"/>
      </w:divBdr>
    </w:div>
    <w:div w:id="1013607873">
      <w:bodyDiv w:val="1"/>
      <w:marLeft w:val="0"/>
      <w:marRight w:val="0"/>
      <w:marTop w:val="0"/>
      <w:marBottom w:val="0"/>
      <w:divBdr>
        <w:top w:val="none" w:sz="0" w:space="0" w:color="auto"/>
        <w:left w:val="none" w:sz="0" w:space="0" w:color="auto"/>
        <w:bottom w:val="none" w:sz="0" w:space="0" w:color="auto"/>
        <w:right w:val="none" w:sz="0" w:space="0" w:color="auto"/>
      </w:divBdr>
    </w:div>
    <w:div w:id="1015569429">
      <w:bodyDiv w:val="1"/>
      <w:marLeft w:val="0"/>
      <w:marRight w:val="0"/>
      <w:marTop w:val="0"/>
      <w:marBottom w:val="0"/>
      <w:divBdr>
        <w:top w:val="none" w:sz="0" w:space="0" w:color="auto"/>
        <w:left w:val="none" w:sz="0" w:space="0" w:color="auto"/>
        <w:bottom w:val="none" w:sz="0" w:space="0" w:color="auto"/>
        <w:right w:val="none" w:sz="0" w:space="0" w:color="auto"/>
      </w:divBdr>
    </w:div>
    <w:div w:id="1016006262">
      <w:bodyDiv w:val="1"/>
      <w:marLeft w:val="0"/>
      <w:marRight w:val="0"/>
      <w:marTop w:val="0"/>
      <w:marBottom w:val="0"/>
      <w:divBdr>
        <w:top w:val="none" w:sz="0" w:space="0" w:color="auto"/>
        <w:left w:val="none" w:sz="0" w:space="0" w:color="auto"/>
        <w:bottom w:val="none" w:sz="0" w:space="0" w:color="auto"/>
        <w:right w:val="none" w:sz="0" w:space="0" w:color="auto"/>
      </w:divBdr>
    </w:div>
    <w:div w:id="1016494845">
      <w:bodyDiv w:val="1"/>
      <w:marLeft w:val="0"/>
      <w:marRight w:val="0"/>
      <w:marTop w:val="0"/>
      <w:marBottom w:val="0"/>
      <w:divBdr>
        <w:top w:val="none" w:sz="0" w:space="0" w:color="auto"/>
        <w:left w:val="none" w:sz="0" w:space="0" w:color="auto"/>
        <w:bottom w:val="none" w:sz="0" w:space="0" w:color="auto"/>
        <w:right w:val="none" w:sz="0" w:space="0" w:color="auto"/>
      </w:divBdr>
    </w:div>
    <w:div w:id="1016691548">
      <w:bodyDiv w:val="1"/>
      <w:marLeft w:val="0"/>
      <w:marRight w:val="0"/>
      <w:marTop w:val="0"/>
      <w:marBottom w:val="0"/>
      <w:divBdr>
        <w:top w:val="none" w:sz="0" w:space="0" w:color="auto"/>
        <w:left w:val="none" w:sz="0" w:space="0" w:color="auto"/>
        <w:bottom w:val="none" w:sz="0" w:space="0" w:color="auto"/>
        <w:right w:val="none" w:sz="0" w:space="0" w:color="auto"/>
      </w:divBdr>
    </w:div>
    <w:div w:id="1016734725">
      <w:bodyDiv w:val="1"/>
      <w:marLeft w:val="0"/>
      <w:marRight w:val="0"/>
      <w:marTop w:val="0"/>
      <w:marBottom w:val="0"/>
      <w:divBdr>
        <w:top w:val="none" w:sz="0" w:space="0" w:color="auto"/>
        <w:left w:val="none" w:sz="0" w:space="0" w:color="auto"/>
        <w:bottom w:val="none" w:sz="0" w:space="0" w:color="auto"/>
        <w:right w:val="none" w:sz="0" w:space="0" w:color="auto"/>
      </w:divBdr>
    </w:div>
    <w:div w:id="1016923979">
      <w:bodyDiv w:val="1"/>
      <w:marLeft w:val="0"/>
      <w:marRight w:val="0"/>
      <w:marTop w:val="0"/>
      <w:marBottom w:val="0"/>
      <w:divBdr>
        <w:top w:val="none" w:sz="0" w:space="0" w:color="auto"/>
        <w:left w:val="none" w:sz="0" w:space="0" w:color="auto"/>
        <w:bottom w:val="none" w:sz="0" w:space="0" w:color="auto"/>
        <w:right w:val="none" w:sz="0" w:space="0" w:color="auto"/>
      </w:divBdr>
    </w:div>
    <w:div w:id="1017999856">
      <w:bodyDiv w:val="1"/>
      <w:marLeft w:val="0"/>
      <w:marRight w:val="0"/>
      <w:marTop w:val="0"/>
      <w:marBottom w:val="0"/>
      <w:divBdr>
        <w:top w:val="none" w:sz="0" w:space="0" w:color="auto"/>
        <w:left w:val="none" w:sz="0" w:space="0" w:color="auto"/>
        <w:bottom w:val="none" w:sz="0" w:space="0" w:color="auto"/>
        <w:right w:val="none" w:sz="0" w:space="0" w:color="auto"/>
      </w:divBdr>
    </w:div>
    <w:div w:id="1018002502">
      <w:bodyDiv w:val="1"/>
      <w:marLeft w:val="0"/>
      <w:marRight w:val="0"/>
      <w:marTop w:val="0"/>
      <w:marBottom w:val="0"/>
      <w:divBdr>
        <w:top w:val="none" w:sz="0" w:space="0" w:color="auto"/>
        <w:left w:val="none" w:sz="0" w:space="0" w:color="auto"/>
        <w:bottom w:val="none" w:sz="0" w:space="0" w:color="auto"/>
        <w:right w:val="none" w:sz="0" w:space="0" w:color="auto"/>
      </w:divBdr>
    </w:div>
    <w:div w:id="1018577985">
      <w:bodyDiv w:val="1"/>
      <w:marLeft w:val="0"/>
      <w:marRight w:val="0"/>
      <w:marTop w:val="0"/>
      <w:marBottom w:val="0"/>
      <w:divBdr>
        <w:top w:val="none" w:sz="0" w:space="0" w:color="auto"/>
        <w:left w:val="none" w:sz="0" w:space="0" w:color="auto"/>
        <w:bottom w:val="none" w:sz="0" w:space="0" w:color="auto"/>
        <w:right w:val="none" w:sz="0" w:space="0" w:color="auto"/>
      </w:divBdr>
    </w:div>
    <w:div w:id="1018580669">
      <w:bodyDiv w:val="1"/>
      <w:marLeft w:val="0"/>
      <w:marRight w:val="0"/>
      <w:marTop w:val="0"/>
      <w:marBottom w:val="0"/>
      <w:divBdr>
        <w:top w:val="none" w:sz="0" w:space="0" w:color="auto"/>
        <w:left w:val="none" w:sz="0" w:space="0" w:color="auto"/>
        <w:bottom w:val="none" w:sz="0" w:space="0" w:color="auto"/>
        <w:right w:val="none" w:sz="0" w:space="0" w:color="auto"/>
      </w:divBdr>
    </w:div>
    <w:div w:id="1020618007">
      <w:bodyDiv w:val="1"/>
      <w:marLeft w:val="0"/>
      <w:marRight w:val="0"/>
      <w:marTop w:val="0"/>
      <w:marBottom w:val="0"/>
      <w:divBdr>
        <w:top w:val="none" w:sz="0" w:space="0" w:color="auto"/>
        <w:left w:val="none" w:sz="0" w:space="0" w:color="auto"/>
        <w:bottom w:val="none" w:sz="0" w:space="0" w:color="auto"/>
        <w:right w:val="none" w:sz="0" w:space="0" w:color="auto"/>
      </w:divBdr>
    </w:div>
    <w:div w:id="1020668381">
      <w:bodyDiv w:val="1"/>
      <w:marLeft w:val="0"/>
      <w:marRight w:val="0"/>
      <w:marTop w:val="0"/>
      <w:marBottom w:val="0"/>
      <w:divBdr>
        <w:top w:val="none" w:sz="0" w:space="0" w:color="auto"/>
        <w:left w:val="none" w:sz="0" w:space="0" w:color="auto"/>
        <w:bottom w:val="none" w:sz="0" w:space="0" w:color="auto"/>
        <w:right w:val="none" w:sz="0" w:space="0" w:color="auto"/>
      </w:divBdr>
    </w:div>
    <w:div w:id="1021934135">
      <w:bodyDiv w:val="1"/>
      <w:marLeft w:val="0"/>
      <w:marRight w:val="0"/>
      <w:marTop w:val="0"/>
      <w:marBottom w:val="0"/>
      <w:divBdr>
        <w:top w:val="none" w:sz="0" w:space="0" w:color="auto"/>
        <w:left w:val="none" w:sz="0" w:space="0" w:color="auto"/>
        <w:bottom w:val="none" w:sz="0" w:space="0" w:color="auto"/>
        <w:right w:val="none" w:sz="0" w:space="0" w:color="auto"/>
      </w:divBdr>
    </w:div>
    <w:div w:id="1023286086">
      <w:bodyDiv w:val="1"/>
      <w:marLeft w:val="0"/>
      <w:marRight w:val="0"/>
      <w:marTop w:val="0"/>
      <w:marBottom w:val="0"/>
      <w:divBdr>
        <w:top w:val="none" w:sz="0" w:space="0" w:color="auto"/>
        <w:left w:val="none" w:sz="0" w:space="0" w:color="auto"/>
        <w:bottom w:val="none" w:sz="0" w:space="0" w:color="auto"/>
        <w:right w:val="none" w:sz="0" w:space="0" w:color="auto"/>
      </w:divBdr>
    </w:div>
    <w:div w:id="1025865234">
      <w:bodyDiv w:val="1"/>
      <w:marLeft w:val="0"/>
      <w:marRight w:val="0"/>
      <w:marTop w:val="0"/>
      <w:marBottom w:val="0"/>
      <w:divBdr>
        <w:top w:val="none" w:sz="0" w:space="0" w:color="auto"/>
        <w:left w:val="none" w:sz="0" w:space="0" w:color="auto"/>
        <w:bottom w:val="none" w:sz="0" w:space="0" w:color="auto"/>
        <w:right w:val="none" w:sz="0" w:space="0" w:color="auto"/>
      </w:divBdr>
    </w:div>
    <w:div w:id="1027759824">
      <w:bodyDiv w:val="1"/>
      <w:marLeft w:val="0"/>
      <w:marRight w:val="0"/>
      <w:marTop w:val="0"/>
      <w:marBottom w:val="0"/>
      <w:divBdr>
        <w:top w:val="none" w:sz="0" w:space="0" w:color="auto"/>
        <w:left w:val="none" w:sz="0" w:space="0" w:color="auto"/>
        <w:bottom w:val="none" w:sz="0" w:space="0" w:color="auto"/>
        <w:right w:val="none" w:sz="0" w:space="0" w:color="auto"/>
      </w:divBdr>
    </w:div>
    <w:div w:id="1028028872">
      <w:bodyDiv w:val="1"/>
      <w:marLeft w:val="0"/>
      <w:marRight w:val="0"/>
      <w:marTop w:val="0"/>
      <w:marBottom w:val="0"/>
      <w:divBdr>
        <w:top w:val="none" w:sz="0" w:space="0" w:color="auto"/>
        <w:left w:val="none" w:sz="0" w:space="0" w:color="auto"/>
        <w:bottom w:val="none" w:sz="0" w:space="0" w:color="auto"/>
        <w:right w:val="none" w:sz="0" w:space="0" w:color="auto"/>
      </w:divBdr>
    </w:div>
    <w:div w:id="1028332070">
      <w:bodyDiv w:val="1"/>
      <w:marLeft w:val="0"/>
      <w:marRight w:val="0"/>
      <w:marTop w:val="0"/>
      <w:marBottom w:val="0"/>
      <w:divBdr>
        <w:top w:val="none" w:sz="0" w:space="0" w:color="auto"/>
        <w:left w:val="none" w:sz="0" w:space="0" w:color="auto"/>
        <w:bottom w:val="none" w:sz="0" w:space="0" w:color="auto"/>
        <w:right w:val="none" w:sz="0" w:space="0" w:color="auto"/>
      </w:divBdr>
    </w:div>
    <w:div w:id="1029449427">
      <w:bodyDiv w:val="1"/>
      <w:marLeft w:val="0"/>
      <w:marRight w:val="0"/>
      <w:marTop w:val="0"/>
      <w:marBottom w:val="0"/>
      <w:divBdr>
        <w:top w:val="none" w:sz="0" w:space="0" w:color="auto"/>
        <w:left w:val="none" w:sz="0" w:space="0" w:color="auto"/>
        <w:bottom w:val="none" w:sz="0" w:space="0" w:color="auto"/>
        <w:right w:val="none" w:sz="0" w:space="0" w:color="auto"/>
      </w:divBdr>
    </w:div>
    <w:div w:id="1032728731">
      <w:bodyDiv w:val="1"/>
      <w:marLeft w:val="0"/>
      <w:marRight w:val="0"/>
      <w:marTop w:val="0"/>
      <w:marBottom w:val="0"/>
      <w:divBdr>
        <w:top w:val="none" w:sz="0" w:space="0" w:color="auto"/>
        <w:left w:val="none" w:sz="0" w:space="0" w:color="auto"/>
        <w:bottom w:val="none" w:sz="0" w:space="0" w:color="auto"/>
        <w:right w:val="none" w:sz="0" w:space="0" w:color="auto"/>
      </w:divBdr>
    </w:div>
    <w:div w:id="1037387586">
      <w:bodyDiv w:val="1"/>
      <w:marLeft w:val="0"/>
      <w:marRight w:val="0"/>
      <w:marTop w:val="0"/>
      <w:marBottom w:val="0"/>
      <w:divBdr>
        <w:top w:val="none" w:sz="0" w:space="0" w:color="auto"/>
        <w:left w:val="none" w:sz="0" w:space="0" w:color="auto"/>
        <w:bottom w:val="none" w:sz="0" w:space="0" w:color="auto"/>
        <w:right w:val="none" w:sz="0" w:space="0" w:color="auto"/>
      </w:divBdr>
    </w:div>
    <w:div w:id="1037925649">
      <w:bodyDiv w:val="1"/>
      <w:marLeft w:val="0"/>
      <w:marRight w:val="0"/>
      <w:marTop w:val="0"/>
      <w:marBottom w:val="0"/>
      <w:divBdr>
        <w:top w:val="none" w:sz="0" w:space="0" w:color="auto"/>
        <w:left w:val="none" w:sz="0" w:space="0" w:color="auto"/>
        <w:bottom w:val="none" w:sz="0" w:space="0" w:color="auto"/>
        <w:right w:val="none" w:sz="0" w:space="0" w:color="auto"/>
      </w:divBdr>
    </w:div>
    <w:div w:id="1039160030">
      <w:bodyDiv w:val="1"/>
      <w:marLeft w:val="0"/>
      <w:marRight w:val="0"/>
      <w:marTop w:val="0"/>
      <w:marBottom w:val="0"/>
      <w:divBdr>
        <w:top w:val="none" w:sz="0" w:space="0" w:color="auto"/>
        <w:left w:val="none" w:sz="0" w:space="0" w:color="auto"/>
        <w:bottom w:val="none" w:sz="0" w:space="0" w:color="auto"/>
        <w:right w:val="none" w:sz="0" w:space="0" w:color="auto"/>
      </w:divBdr>
    </w:div>
    <w:div w:id="1040398072">
      <w:bodyDiv w:val="1"/>
      <w:marLeft w:val="0"/>
      <w:marRight w:val="0"/>
      <w:marTop w:val="0"/>
      <w:marBottom w:val="0"/>
      <w:divBdr>
        <w:top w:val="none" w:sz="0" w:space="0" w:color="auto"/>
        <w:left w:val="none" w:sz="0" w:space="0" w:color="auto"/>
        <w:bottom w:val="none" w:sz="0" w:space="0" w:color="auto"/>
        <w:right w:val="none" w:sz="0" w:space="0" w:color="auto"/>
      </w:divBdr>
    </w:div>
    <w:div w:id="1040475573">
      <w:bodyDiv w:val="1"/>
      <w:marLeft w:val="0"/>
      <w:marRight w:val="0"/>
      <w:marTop w:val="0"/>
      <w:marBottom w:val="0"/>
      <w:divBdr>
        <w:top w:val="none" w:sz="0" w:space="0" w:color="auto"/>
        <w:left w:val="none" w:sz="0" w:space="0" w:color="auto"/>
        <w:bottom w:val="none" w:sz="0" w:space="0" w:color="auto"/>
        <w:right w:val="none" w:sz="0" w:space="0" w:color="auto"/>
      </w:divBdr>
    </w:div>
    <w:div w:id="1041248994">
      <w:bodyDiv w:val="1"/>
      <w:marLeft w:val="0"/>
      <w:marRight w:val="0"/>
      <w:marTop w:val="0"/>
      <w:marBottom w:val="0"/>
      <w:divBdr>
        <w:top w:val="none" w:sz="0" w:space="0" w:color="auto"/>
        <w:left w:val="none" w:sz="0" w:space="0" w:color="auto"/>
        <w:bottom w:val="none" w:sz="0" w:space="0" w:color="auto"/>
        <w:right w:val="none" w:sz="0" w:space="0" w:color="auto"/>
      </w:divBdr>
    </w:div>
    <w:div w:id="1041369850">
      <w:bodyDiv w:val="1"/>
      <w:marLeft w:val="0"/>
      <w:marRight w:val="0"/>
      <w:marTop w:val="0"/>
      <w:marBottom w:val="0"/>
      <w:divBdr>
        <w:top w:val="none" w:sz="0" w:space="0" w:color="auto"/>
        <w:left w:val="none" w:sz="0" w:space="0" w:color="auto"/>
        <w:bottom w:val="none" w:sz="0" w:space="0" w:color="auto"/>
        <w:right w:val="none" w:sz="0" w:space="0" w:color="auto"/>
      </w:divBdr>
    </w:div>
    <w:div w:id="1041631137">
      <w:bodyDiv w:val="1"/>
      <w:marLeft w:val="0"/>
      <w:marRight w:val="0"/>
      <w:marTop w:val="0"/>
      <w:marBottom w:val="0"/>
      <w:divBdr>
        <w:top w:val="none" w:sz="0" w:space="0" w:color="auto"/>
        <w:left w:val="none" w:sz="0" w:space="0" w:color="auto"/>
        <w:bottom w:val="none" w:sz="0" w:space="0" w:color="auto"/>
        <w:right w:val="none" w:sz="0" w:space="0" w:color="auto"/>
      </w:divBdr>
    </w:div>
    <w:div w:id="1044669870">
      <w:bodyDiv w:val="1"/>
      <w:marLeft w:val="0"/>
      <w:marRight w:val="0"/>
      <w:marTop w:val="0"/>
      <w:marBottom w:val="0"/>
      <w:divBdr>
        <w:top w:val="none" w:sz="0" w:space="0" w:color="auto"/>
        <w:left w:val="none" w:sz="0" w:space="0" w:color="auto"/>
        <w:bottom w:val="none" w:sz="0" w:space="0" w:color="auto"/>
        <w:right w:val="none" w:sz="0" w:space="0" w:color="auto"/>
      </w:divBdr>
    </w:div>
    <w:div w:id="1045714280">
      <w:bodyDiv w:val="1"/>
      <w:marLeft w:val="0"/>
      <w:marRight w:val="0"/>
      <w:marTop w:val="0"/>
      <w:marBottom w:val="0"/>
      <w:divBdr>
        <w:top w:val="none" w:sz="0" w:space="0" w:color="auto"/>
        <w:left w:val="none" w:sz="0" w:space="0" w:color="auto"/>
        <w:bottom w:val="none" w:sz="0" w:space="0" w:color="auto"/>
        <w:right w:val="none" w:sz="0" w:space="0" w:color="auto"/>
      </w:divBdr>
    </w:div>
    <w:div w:id="1048912615">
      <w:bodyDiv w:val="1"/>
      <w:marLeft w:val="0"/>
      <w:marRight w:val="0"/>
      <w:marTop w:val="0"/>
      <w:marBottom w:val="0"/>
      <w:divBdr>
        <w:top w:val="none" w:sz="0" w:space="0" w:color="auto"/>
        <w:left w:val="none" w:sz="0" w:space="0" w:color="auto"/>
        <w:bottom w:val="none" w:sz="0" w:space="0" w:color="auto"/>
        <w:right w:val="none" w:sz="0" w:space="0" w:color="auto"/>
      </w:divBdr>
    </w:div>
    <w:div w:id="1049383908">
      <w:bodyDiv w:val="1"/>
      <w:marLeft w:val="0"/>
      <w:marRight w:val="0"/>
      <w:marTop w:val="0"/>
      <w:marBottom w:val="0"/>
      <w:divBdr>
        <w:top w:val="none" w:sz="0" w:space="0" w:color="auto"/>
        <w:left w:val="none" w:sz="0" w:space="0" w:color="auto"/>
        <w:bottom w:val="none" w:sz="0" w:space="0" w:color="auto"/>
        <w:right w:val="none" w:sz="0" w:space="0" w:color="auto"/>
      </w:divBdr>
    </w:div>
    <w:div w:id="1050307153">
      <w:bodyDiv w:val="1"/>
      <w:marLeft w:val="0"/>
      <w:marRight w:val="0"/>
      <w:marTop w:val="0"/>
      <w:marBottom w:val="0"/>
      <w:divBdr>
        <w:top w:val="none" w:sz="0" w:space="0" w:color="auto"/>
        <w:left w:val="none" w:sz="0" w:space="0" w:color="auto"/>
        <w:bottom w:val="none" w:sz="0" w:space="0" w:color="auto"/>
        <w:right w:val="none" w:sz="0" w:space="0" w:color="auto"/>
      </w:divBdr>
    </w:div>
    <w:div w:id="1050812447">
      <w:bodyDiv w:val="1"/>
      <w:marLeft w:val="0"/>
      <w:marRight w:val="0"/>
      <w:marTop w:val="0"/>
      <w:marBottom w:val="0"/>
      <w:divBdr>
        <w:top w:val="none" w:sz="0" w:space="0" w:color="auto"/>
        <w:left w:val="none" w:sz="0" w:space="0" w:color="auto"/>
        <w:bottom w:val="none" w:sz="0" w:space="0" w:color="auto"/>
        <w:right w:val="none" w:sz="0" w:space="0" w:color="auto"/>
      </w:divBdr>
    </w:div>
    <w:div w:id="1052188941">
      <w:bodyDiv w:val="1"/>
      <w:marLeft w:val="0"/>
      <w:marRight w:val="0"/>
      <w:marTop w:val="0"/>
      <w:marBottom w:val="0"/>
      <w:divBdr>
        <w:top w:val="none" w:sz="0" w:space="0" w:color="auto"/>
        <w:left w:val="none" w:sz="0" w:space="0" w:color="auto"/>
        <w:bottom w:val="none" w:sz="0" w:space="0" w:color="auto"/>
        <w:right w:val="none" w:sz="0" w:space="0" w:color="auto"/>
      </w:divBdr>
    </w:div>
    <w:div w:id="1053967068">
      <w:bodyDiv w:val="1"/>
      <w:marLeft w:val="0"/>
      <w:marRight w:val="0"/>
      <w:marTop w:val="0"/>
      <w:marBottom w:val="0"/>
      <w:divBdr>
        <w:top w:val="none" w:sz="0" w:space="0" w:color="auto"/>
        <w:left w:val="none" w:sz="0" w:space="0" w:color="auto"/>
        <w:bottom w:val="none" w:sz="0" w:space="0" w:color="auto"/>
        <w:right w:val="none" w:sz="0" w:space="0" w:color="auto"/>
      </w:divBdr>
    </w:div>
    <w:div w:id="1053967444">
      <w:bodyDiv w:val="1"/>
      <w:marLeft w:val="0"/>
      <w:marRight w:val="0"/>
      <w:marTop w:val="0"/>
      <w:marBottom w:val="0"/>
      <w:divBdr>
        <w:top w:val="none" w:sz="0" w:space="0" w:color="auto"/>
        <w:left w:val="none" w:sz="0" w:space="0" w:color="auto"/>
        <w:bottom w:val="none" w:sz="0" w:space="0" w:color="auto"/>
        <w:right w:val="none" w:sz="0" w:space="0" w:color="auto"/>
      </w:divBdr>
    </w:div>
    <w:div w:id="1055660031">
      <w:bodyDiv w:val="1"/>
      <w:marLeft w:val="0"/>
      <w:marRight w:val="0"/>
      <w:marTop w:val="0"/>
      <w:marBottom w:val="0"/>
      <w:divBdr>
        <w:top w:val="none" w:sz="0" w:space="0" w:color="auto"/>
        <w:left w:val="none" w:sz="0" w:space="0" w:color="auto"/>
        <w:bottom w:val="none" w:sz="0" w:space="0" w:color="auto"/>
        <w:right w:val="none" w:sz="0" w:space="0" w:color="auto"/>
      </w:divBdr>
    </w:div>
    <w:div w:id="1055736651">
      <w:bodyDiv w:val="1"/>
      <w:marLeft w:val="0"/>
      <w:marRight w:val="0"/>
      <w:marTop w:val="0"/>
      <w:marBottom w:val="0"/>
      <w:divBdr>
        <w:top w:val="none" w:sz="0" w:space="0" w:color="auto"/>
        <w:left w:val="none" w:sz="0" w:space="0" w:color="auto"/>
        <w:bottom w:val="none" w:sz="0" w:space="0" w:color="auto"/>
        <w:right w:val="none" w:sz="0" w:space="0" w:color="auto"/>
      </w:divBdr>
    </w:div>
    <w:div w:id="1056009471">
      <w:bodyDiv w:val="1"/>
      <w:marLeft w:val="0"/>
      <w:marRight w:val="0"/>
      <w:marTop w:val="0"/>
      <w:marBottom w:val="0"/>
      <w:divBdr>
        <w:top w:val="none" w:sz="0" w:space="0" w:color="auto"/>
        <w:left w:val="none" w:sz="0" w:space="0" w:color="auto"/>
        <w:bottom w:val="none" w:sz="0" w:space="0" w:color="auto"/>
        <w:right w:val="none" w:sz="0" w:space="0" w:color="auto"/>
      </w:divBdr>
    </w:div>
    <w:div w:id="1056665548">
      <w:bodyDiv w:val="1"/>
      <w:marLeft w:val="0"/>
      <w:marRight w:val="0"/>
      <w:marTop w:val="0"/>
      <w:marBottom w:val="0"/>
      <w:divBdr>
        <w:top w:val="none" w:sz="0" w:space="0" w:color="auto"/>
        <w:left w:val="none" w:sz="0" w:space="0" w:color="auto"/>
        <w:bottom w:val="none" w:sz="0" w:space="0" w:color="auto"/>
        <w:right w:val="none" w:sz="0" w:space="0" w:color="auto"/>
      </w:divBdr>
    </w:div>
    <w:div w:id="1058092126">
      <w:bodyDiv w:val="1"/>
      <w:marLeft w:val="0"/>
      <w:marRight w:val="0"/>
      <w:marTop w:val="0"/>
      <w:marBottom w:val="0"/>
      <w:divBdr>
        <w:top w:val="none" w:sz="0" w:space="0" w:color="auto"/>
        <w:left w:val="none" w:sz="0" w:space="0" w:color="auto"/>
        <w:bottom w:val="none" w:sz="0" w:space="0" w:color="auto"/>
        <w:right w:val="none" w:sz="0" w:space="0" w:color="auto"/>
      </w:divBdr>
    </w:div>
    <w:div w:id="1058548578">
      <w:bodyDiv w:val="1"/>
      <w:marLeft w:val="0"/>
      <w:marRight w:val="0"/>
      <w:marTop w:val="0"/>
      <w:marBottom w:val="0"/>
      <w:divBdr>
        <w:top w:val="none" w:sz="0" w:space="0" w:color="auto"/>
        <w:left w:val="none" w:sz="0" w:space="0" w:color="auto"/>
        <w:bottom w:val="none" w:sz="0" w:space="0" w:color="auto"/>
        <w:right w:val="none" w:sz="0" w:space="0" w:color="auto"/>
      </w:divBdr>
    </w:div>
    <w:div w:id="1059665871">
      <w:bodyDiv w:val="1"/>
      <w:marLeft w:val="0"/>
      <w:marRight w:val="0"/>
      <w:marTop w:val="0"/>
      <w:marBottom w:val="0"/>
      <w:divBdr>
        <w:top w:val="none" w:sz="0" w:space="0" w:color="auto"/>
        <w:left w:val="none" w:sz="0" w:space="0" w:color="auto"/>
        <w:bottom w:val="none" w:sz="0" w:space="0" w:color="auto"/>
        <w:right w:val="none" w:sz="0" w:space="0" w:color="auto"/>
      </w:divBdr>
    </w:div>
    <w:div w:id="1060640532">
      <w:bodyDiv w:val="1"/>
      <w:marLeft w:val="0"/>
      <w:marRight w:val="0"/>
      <w:marTop w:val="0"/>
      <w:marBottom w:val="0"/>
      <w:divBdr>
        <w:top w:val="none" w:sz="0" w:space="0" w:color="auto"/>
        <w:left w:val="none" w:sz="0" w:space="0" w:color="auto"/>
        <w:bottom w:val="none" w:sz="0" w:space="0" w:color="auto"/>
        <w:right w:val="none" w:sz="0" w:space="0" w:color="auto"/>
      </w:divBdr>
    </w:div>
    <w:div w:id="1060711721">
      <w:bodyDiv w:val="1"/>
      <w:marLeft w:val="0"/>
      <w:marRight w:val="0"/>
      <w:marTop w:val="0"/>
      <w:marBottom w:val="0"/>
      <w:divBdr>
        <w:top w:val="none" w:sz="0" w:space="0" w:color="auto"/>
        <w:left w:val="none" w:sz="0" w:space="0" w:color="auto"/>
        <w:bottom w:val="none" w:sz="0" w:space="0" w:color="auto"/>
        <w:right w:val="none" w:sz="0" w:space="0" w:color="auto"/>
      </w:divBdr>
    </w:div>
    <w:div w:id="1061094652">
      <w:bodyDiv w:val="1"/>
      <w:marLeft w:val="0"/>
      <w:marRight w:val="0"/>
      <w:marTop w:val="0"/>
      <w:marBottom w:val="0"/>
      <w:divBdr>
        <w:top w:val="none" w:sz="0" w:space="0" w:color="auto"/>
        <w:left w:val="none" w:sz="0" w:space="0" w:color="auto"/>
        <w:bottom w:val="none" w:sz="0" w:space="0" w:color="auto"/>
        <w:right w:val="none" w:sz="0" w:space="0" w:color="auto"/>
      </w:divBdr>
    </w:div>
    <w:div w:id="1061750493">
      <w:bodyDiv w:val="1"/>
      <w:marLeft w:val="0"/>
      <w:marRight w:val="0"/>
      <w:marTop w:val="0"/>
      <w:marBottom w:val="0"/>
      <w:divBdr>
        <w:top w:val="none" w:sz="0" w:space="0" w:color="auto"/>
        <w:left w:val="none" w:sz="0" w:space="0" w:color="auto"/>
        <w:bottom w:val="none" w:sz="0" w:space="0" w:color="auto"/>
        <w:right w:val="none" w:sz="0" w:space="0" w:color="auto"/>
      </w:divBdr>
    </w:div>
    <w:div w:id="1062287714">
      <w:bodyDiv w:val="1"/>
      <w:marLeft w:val="0"/>
      <w:marRight w:val="0"/>
      <w:marTop w:val="0"/>
      <w:marBottom w:val="0"/>
      <w:divBdr>
        <w:top w:val="none" w:sz="0" w:space="0" w:color="auto"/>
        <w:left w:val="none" w:sz="0" w:space="0" w:color="auto"/>
        <w:bottom w:val="none" w:sz="0" w:space="0" w:color="auto"/>
        <w:right w:val="none" w:sz="0" w:space="0" w:color="auto"/>
      </w:divBdr>
    </w:div>
    <w:div w:id="1062486913">
      <w:bodyDiv w:val="1"/>
      <w:marLeft w:val="0"/>
      <w:marRight w:val="0"/>
      <w:marTop w:val="0"/>
      <w:marBottom w:val="0"/>
      <w:divBdr>
        <w:top w:val="none" w:sz="0" w:space="0" w:color="auto"/>
        <w:left w:val="none" w:sz="0" w:space="0" w:color="auto"/>
        <w:bottom w:val="none" w:sz="0" w:space="0" w:color="auto"/>
        <w:right w:val="none" w:sz="0" w:space="0" w:color="auto"/>
      </w:divBdr>
    </w:div>
    <w:div w:id="1062748542">
      <w:bodyDiv w:val="1"/>
      <w:marLeft w:val="0"/>
      <w:marRight w:val="0"/>
      <w:marTop w:val="0"/>
      <w:marBottom w:val="0"/>
      <w:divBdr>
        <w:top w:val="none" w:sz="0" w:space="0" w:color="auto"/>
        <w:left w:val="none" w:sz="0" w:space="0" w:color="auto"/>
        <w:bottom w:val="none" w:sz="0" w:space="0" w:color="auto"/>
        <w:right w:val="none" w:sz="0" w:space="0" w:color="auto"/>
      </w:divBdr>
    </w:div>
    <w:div w:id="1063522666">
      <w:bodyDiv w:val="1"/>
      <w:marLeft w:val="0"/>
      <w:marRight w:val="0"/>
      <w:marTop w:val="0"/>
      <w:marBottom w:val="0"/>
      <w:divBdr>
        <w:top w:val="none" w:sz="0" w:space="0" w:color="auto"/>
        <w:left w:val="none" w:sz="0" w:space="0" w:color="auto"/>
        <w:bottom w:val="none" w:sz="0" w:space="0" w:color="auto"/>
        <w:right w:val="none" w:sz="0" w:space="0" w:color="auto"/>
      </w:divBdr>
    </w:div>
    <w:div w:id="1063987715">
      <w:bodyDiv w:val="1"/>
      <w:marLeft w:val="0"/>
      <w:marRight w:val="0"/>
      <w:marTop w:val="0"/>
      <w:marBottom w:val="0"/>
      <w:divBdr>
        <w:top w:val="none" w:sz="0" w:space="0" w:color="auto"/>
        <w:left w:val="none" w:sz="0" w:space="0" w:color="auto"/>
        <w:bottom w:val="none" w:sz="0" w:space="0" w:color="auto"/>
        <w:right w:val="none" w:sz="0" w:space="0" w:color="auto"/>
      </w:divBdr>
    </w:div>
    <w:div w:id="1066102489">
      <w:bodyDiv w:val="1"/>
      <w:marLeft w:val="0"/>
      <w:marRight w:val="0"/>
      <w:marTop w:val="0"/>
      <w:marBottom w:val="0"/>
      <w:divBdr>
        <w:top w:val="none" w:sz="0" w:space="0" w:color="auto"/>
        <w:left w:val="none" w:sz="0" w:space="0" w:color="auto"/>
        <w:bottom w:val="none" w:sz="0" w:space="0" w:color="auto"/>
        <w:right w:val="none" w:sz="0" w:space="0" w:color="auto"/>
      </w:divBdr>
    </w:div>
    <w:div w:id="1067073665">
      <w:bodyDiv w:val="1"/>
      <w:marLeft w:val="0"/>
      <w:marRight w:val="0"/>
      <w:marTop w:val="0"/>
      <w:marBottom w:val="0"/>
      <w:divBdr>
        <w:top w:val="none" w:sz="0" w:space="0" w:color="auto"/>
        <w:left w:val="none" w:sz="0" w:space="0" w:color="auto"/>
        <w:bottom w:val="none" w:sz="0" w:space="0" w:color="auto"/>
        <w:right w:val="none" w:sz="0" w:space="0" w:color="auto"/>
      </w:divBdr>
    </w:div>
    <w:div w:id="1067648643">
      <w:bodyDiv w:val="1"/>
      <w:marLeft w:val="0"/>
      <w:marRight w:val="0"/>
      <w:marTop w:val="0"/>
      <w:marBottom w:val="0"/>
      <w:divBdr>
        <w:top w:val="none" w:sz="0" w:space="0" w:color="auto"/>
        <w:left w:val="none" w:sz="0" w:space="0" w:color="auto"/>
        <w:bottom w:val="none" w:sz="0" w:space="0" w:color="auto"/>
        <w:right w:val="none" w:sz="0" w:space="0" w:color="auto"/>
      </w:divBdr>
    </w:div>
    <w:div w:id="1067652317">
      <w:bodyDiv w:val="1"/>
      <w:marLeft w:val="0"/>
      <w:marRight w:val="0"/>
      <w:marTop w:val="0"/>
      <w:marBottom w:val="0"/>
      <w:divBdr>
        <w:top w:val="none" w:sz="0" w:space="0" w:color="auto"/>
        <w:left w:val="none" w:sz="0" w:space="0" w:color="auto"/>
        <w:bottom w:val="none" w:sz="0" w:space="0" w:color="auto"/>
        <w:right w:val="none" w:sz="0" w:space="0" w:color="auto"/>
      </w:divBdr>
    </w:div>
    <w:div w:id="1068847113">
      <w:bodyDiv w:val="1"/>
      <w:marLeft w:val="0"/>
      <w:marRight w:val="0"/>
      <w:marTop w:val="0"/>
      <w:marBottom w:val="0"/>
      <w:divBdr>
        <w:top w:val="none" w:sz="0" w:space="0" w:color="auto"/>
        <w:left w:val="none" w:sz="0" w:space="0" w:color="auto"/>
        <w:bottom w:val="none" w:sz="0" w:space="0" w:color="auto"/>
        <w:right w:val="none" w:sz="0" w:space="0" w:color="auto"/>
      </w:divBdr>
    </w:div>
    <w:div w:id="1069035892">
      <w:bodyDiv w:val="1"/>
      <w:marLeft w:val="0"/>
      <w:marRight w:val="0"/>
      <w:marTop w:val="0"/>
      <w:marBottom w:val="0"/>
      <w:divBdr>
        <w:top w:val="none" w:sz="0" w:space="0" w:color="auto"/>
        <w:left w:val="none" w:sz="0" w:space="0" w:color="auto"/>
        <w:bottom w:val="none" w:sz="0" w:space="0" w:color="auto"/>
        <w:right w:val="none" w:sz="0" w:space="0" w:color="auto"/>
      </w:divBdr>
    </w:div>
    <w:div w:id="1069110660">
      <w:bodyDiv w:val="1"/>
      <w:marLeft w:val="0"/>
      <w:marRight w:val="0"/>
      <w:marTop w:val="0"/>
      <w:marBottom w:val="0"/>
      <w:divBdr>
        <w:top w:val="none" w:sz="0" w:space="0" w:color="auto"/>
        <w:left w:val="none" w:sz="0" w:space="0" w:color="auto"/>
        <w:bottom w:val="none" w:sz="0" w:space="0" w:color="auto"/>
        <w:right w:val="none" w:sz="0" w:space="0" w:color="auto"/>
      </w:divBdr>
    </w:div>
    <w:div w:id="1070074450">
      <w:bodyDiv w:val="1"/>
      <w:marLeft w:val="0"/>
      <w:marRight w:val="0"/>
      <w:marTop w:val="0"/>
      <w:marBottom w:val="0"/>
      <w:divBdr>
        <w:top w:val="none" w:sz="0" w:space="0" w:color="auto"/>
        <w:left w:val="none" w:sz="0" w:space="0" w:color="auto"/>
        <w:bottom w:val="none" w:sz="0" w:space="0" w:color="auto"/>
        <w:right w:val="none" w:sz="0" w:space="0" w:color="auto"/>
      </w:divBdr>
    </w:div>
    <w:div w:id="1070812516">
      <w:bodyDiv w:val="1"/>
      <w:marLeft w:val="0"/>
      <w:marRight w:val="0"/>
      <w:marTop w:val="0"/>
      <w:marBottom w:val="0"/>
      <w:divBdr>
        <w:top w:val="none" w:sz="0" w:space="0" w:color="auto"/>
        <w:left w:val="none" w:sz="0" w:space="0" w:color="auto"/>
        <w:bottom w:val="none" w:sz="0" w:space="0" w:color="auto"/>
        <w:right w:val="none" w:sz="0" w:space="0" w:color="auto"/>
      </w:divBdr>
    </w:div>
    <w:div w:id="1071657002">
      <w:bodyDiv w:val="1"/>
      <w:marLeft w:val="0"/>
      <w:marRight w:val="0"/>
      <w:marTop w:val="0"/>
      <w:marBottom w:val="0"/>
      <w:divBdr>
        <w:top w:val="none" w:sz="0" w:space="0" w:color="auto"/>
        <w:left w:val="none" w:sz="0" w:space="0" w:color="auto"/>
        <w:bottom w:val="none" w:sz="0" w:space="0" w:color="auto"/>
        <w:right w:val="none" w:sz="0" w:space="0" w:color="auto"/>
      </w:divBdr>
    </w:div>
    <w:div w:id="1071737295">
      <w:bodyDiv w:val="1"/>
      <w:marLeft w:val="0"/>
      <w:marRight w:val="0"/>
      <w:marTop w:val="0"/>
      <w:marBottom w:val="0"/>
      <w:divBdr>
        <w:top w:val="none" w:sz="0" w:space="0" w:color="auto"/>
        <w:left w:val="none" w:sz="0" w:space="0" w:color="auto"/>
        <w:bottom w:val="none" w:sz="0" w:space="0" w:color="auto"/>
        <w:right w:val="none" w:sz="0" w:space="0" w:color="auto"/>
      </w:divBdr>
    </w:div>
    <w:div w:id="1075281842">
      <w:bodyDiv w:val="1"/>
      <w:marLeft w:val="0"/>
      <w:marRight w:val="0"/>
      <w:marTop w:val="0"/>
      <w:marBottom w:val="0"/>
      <w:divBdr>
        <w:top w:val="none" w:sz="0" w:space="0" w:color="auto"/>
        <w:left w:val="none" w:sz="0" w:space="0" w:color="auto"/>
        <w:bottom w:val="none" w:sz="0" w:space="0" w:color="auto"/>
        <w:right w:val="none" w:sz="0" w:space="0" w:color="auto"/>
      </w:divBdr>
    </w:div>
    <w:div w:id="1075397478">
      <w:bodyDiv w:val="1"/>
      <w:marLeft w:val="0"/>
      <w:marRight w:val="0"/>
      <w:marTop w:val="0"/>
      <w:marBottom w:val="0"/>
      <w:divBdr>
        <w:top w:val="none" w:sz="0" w:space="0" w:color="auto"/>
        <w:left w:val="none" w:sz="0" w:space="0" w:color="auto"/>
        <w:bottom w:val="none" w:sz="0" w:space="0" w:color="auto"/>
        <w:right w:val="none" w:sz="0" w:space="0" w:color="auto"/>
      </w:divBdr>
    </w:div>
    <w:div w:id="1075591306">
      <w:bodyDiv w:val="1"/>
      <w:marLeft w:val="0"/>
      <w:marRight w:val="0"/>
      <w:marTop w:val="0"/>
      <w:marBottom w:val="0"/>
      <w:divBdr>
        <w:top w:val="none" w:sz="0" w:space="0" w:color="auto"/>
        <w:left w:val="none" w:sz="0" w:space="0" w:color="auto"/>
        <w:bottom w:val="none" w:sz="0" w:space="0" w:color="auto"/>
        <w:right w:val="none" w:sz="0" w:space="0" w:color="auto"/>
      </w:divBdr>
    </w:div>
    <w:div w:id="1076171742">
      <w:bodyDiv w:val="1"/>
      <w:marLeft w:val="0"/>
      <w:marRight w:val="0"/>
      <w:marTop w:val="0"/>
      <w:marBottom w:val="0"/>
      <w:divBdr>
        <w:top w:val="none" w:sz="0" w:space="0" w:color="auto"/>
        <w:left w:val="none" w:sz="0" w:space="0" w:color="auto"/>
        <w:bottom w:val="none" w:sz="0" w:space="0" w:color="auto"/>
        <w:right w:val="none" w:sz="0" w:space="0" w:color="auto"/>
      </w:divBdr>
    </w:div>
    <w:div w:id="1076363788">
      <w:bodyDiv w:val="1"/>
      <w:marLeft w:val="0"/>
      <w:marRight w:val="0"/>
      <w:marTop w:val="0"/>
      <w:marBottom w:val="0"/>
      <w:divBdr>
        <w:top w:val="none" w:sz="0" w:space="0" w:color="auto"/>
        <w:left w:val="none" w:sz="0" w:space="0" w:color="auto"/>
        <w:bottom w:val="none" w:sz="0" w:space="0" w:color="auto"/>
        <w:right w:val="none" w:sz="0" w:space="0" w:color="auto"/>
      </w:divBdr>
    </w:div>
    <w:div w:id="1077021678">
      <w:bodyDiv w:val="1"/>
      <w:marLeft w:val="0"/>
      <w:marRight w:val="0"/>
      <w:marTop w:val="0"/>
      <w:marBottom w:val="0"/>
      <w:divBdr>
        <w:top w:val="none" w:sz="0" w:space="0" w:color="auto"/>
        <w:left w:val="none" w:sz="0" w:space="0" w:color="auto"/>
        <w:bottom w:val="none" w:sz="0" w:space="0" w:color="auto"/>
        <w:right w:val="none" w:sz="0" w:space="0" w:color="auto"/>
      </w:divBdr>
    </w:div>
    <w:div w:id="1078139162">
      <w:bodyDiv w:val="1"/>
      <w:marLeft w:val="0"/>
      <w:marRight w:val="0"/>
      <w:marTop w:val="0"/>
      <w:marBottom w:val="0"/>
      <w:divBdr>
        <w:top w:val="none" w:sz="0" w:space="0" w:color="auto"/>
        <w:left w:val="none" w:sz="0" w:space="0" w:color="auto"/>
        <w:bottom w:val="none" w:sz="0" w:space="0" w:color="auto"/>
        <w:right w:val="none" w:sz="0" w:space="0" w:color="auto"/>
      </w:divBdr>
    </w:div>
    <w:div w:id="1078526008">
      <w:bodyDiv w:val="1"/>
      <w:marLeft w:val="0"/>
      <w:marRight w:val="0"/>
      <w:marTop w:val="0"/>
      <w:marBottom w:val="0"/>
      <w:divBdr>
        <w:top w:val="none" w:sz="0" w:space="0" w:color="auto"/>
        <w:left w:val="none" w:sz="0" w:space="0" w:color="auto"/>
        <w:bottom w:val="none" w:sz="0" w:space="0" w:color="auto"/>
        <w:right w:val="none" w:sz="0" w:space="0" w:color="auto"/>
      </w:divBdr>
    </w:div>
    <w:div w:id="1082876353">
      <w:bodyDiv w:val="1"/>
      <w:marLeft w:val="0"/>
      <w:marRight w:val="0"/>
      <w:marTop w:val="0"/>
      <w:marBottom w:val="0"/>
      <w:divBdr>
        <w:top w:val="none" w:sz="0" w:space="0" w:color="auto"/>
        <w:left w:val="none" w:sz="0" w:space="0" w:color="auto"/>
        <w:bottom w:val="none" w:sz="0" w:space="0" w:color="auto"/>
        <w:right w:val="none" w:sz="0" w:space="0" w:color="auto"/>
      </w:divBdr>
    </w:div>
    <w:div w:id="1083140849">
      <w:bodyDiv w:val="1"/>
      <w:marLeft w:val="0"/>
      <w:marRight w:val="0"/>
      <w:marTop w:val="0"/>
      <w:marBottom w:val="0"/>
      <w:divBdr>
        <w:top w:val="none" w:sz="0" w:space="0" w:color="auto"/>
        <w:left w:val="none" w:sz="0" w:space="0" w:color="auto"/>
        <w:bottom w:val="none" w:sz="0" w:space="0" w:color="auto"/>
        <w:right w:val="none" w:sz="0" w:space="0" w:color="auto"/>
      </w:divBdr>
    </w:div>
    <w:div w:id="1083332980">
      <w:bodyDiv w:val="1"/>
      <w:marLeft w:val="0"/>
      <w:marRight w:val="0"/>
      <w:marTop w:val="0"/>
      <w:marBottom w:val="0"/>
      <w:divBdr>
        <w:top w:val="none" w:sz="0" w:space="0" w:color="auto"/>
        <w:left w:val="none" w:sz="0" w:space="0" w:color="auto"/>
        <w:bottom w:val="none" w:sz="0" w:space="0" w:color="auto"/>
        <w:right w:val="none" w:sz="0" w:space="0" w:color="auto"/>
      </w:divBdr>
    </w:div>
    <w:div w:id="1084568526">
      <w:bodyDiv w:val="1"/>
      <w:marLeft w:val="0"/>
      <w:marRight w:val="0"/>
      <w:marTop w:val="0"/>
      <w:marBottom w:val="0"/>
      <w:divBdr>
        <w:top w:val="none" w:sz="0" w:space="0" w:color="auto"/>
        <w:left w:val="none" w:sz="0" w:space="0" w:color="auto"/>
        <w:bottom w:val="none" w:sz="0" w:space="0" w:color="auto"/>
        <w:right w:val="none" w:sz="0" w:space="0" w:color="auto"/>
      </w:divBdr>
    </w:div>
    <w:div w:id="1085490128">
      <w:bodyDiv w:val="1"/>
      <w:marLeft w:val="0"/>
      <w:marRight w:val="0"/>
      <w:marTop w:val="0"/>
      <w:marBottom w:val="0"/>
      <w:divBdr>
        <w:top w:val="none" w:sz="0" w:space="0" w:color="auto"/>
        <w:left w:val="none" w:sz="0" w:space="0" w:color="auto"/>
        <w:bottom w:val="none" w:sz="0" w:space="0" w:color="auto"/>
        <w:right w:val="none" w:sz="0" w:space="0" w:color="auto"/>
      </w:divBdr>
    </w:div>
    <w:div w:id="1086614112">
      <w:bodyDiv w:val="1"/>
      <w:marLeft w:val="0"/>
      <w:marRight w:val="0"/>
      <w:marTop w:val="0"/>
      <w:marBottom w:val="0"/>
      <w:divBdr>
        <w:top w:val="none" w:sz="0" w:space="0" w:color="auto"/>
        <w:left w:val="none" w:sz="0" w:space="0" w:color="auto"/>
        <w:bottom w:val="none" w:sz="0" w:space="0" w:color="auto"/>
        <w:right w:val="none" w:sz="0" w:space="0" w:color="auto"/>
      </w:divBdr>
    </w:div>
    <w:div w:id="1087077999">
      <w:bodyDiv w:val="1"/>
      <w:marLeft w:val="0"/>
      <w:marRight w:val="0"/>
      <w:marTop w:val="0"/>
      <w:marBottom w:val="0"/>
      <w:divBdr>
        <w:top w:val="none" w:sz="0" w:space="0" w:color="auto"/>
        <w:left w:val="none" w:sz="0" w:space="0" w:color="auto"/>
        <w:bottom w:val="none" w:sz="0" w:space="0" w:color="auto"/>
        <w:right w:val="none" w:sz="0" w:space="0" w:color="auto"/>
      </w:divBdr>
    </w:div>
    <w:div w:id="1088425691">
      <w:bodyDiv w:val="1"/>
      <w:marLeft w:val="0"/>
      <w:marRight w:val="0"/>
      <w:marTop w:val="0"/>
      <w:marBottom w:val="0"/>
      <w:divBdr>
        <w:top w:val="none" w:sz="0" w:space="0" w:color="auto"/>
        <w:left w:val="none" w:sz="0" w:space="0" w:color="auto"/>
        <w:bottom w:val="none" w:sz="0" w:space="0" w:color="auto"/>
        <w:right w:val="none" w:sz="0" w:space="0" w:color="auto"/>
      </w:divBdr>
    </w:div>
    <w:div w:id="1088893616">
      <w:bodyDiv w:val="1"/>
      <w:marLeft w:val="0"/>
      <w:marRight w:val="0"/>
      <w:marTop w:val="0"/>
      <w:marBottom w:val="0"/>
      <w:divBdr>
        <w:top w:val="none" w:sz="0" w:space="0" w:color="auto"/>
        <w:left w:val="none" w:sz="0" w:space="0" w:color="auto"/>
        <w:bottom w:val="none" w:sz="0" w:space="0" w:color="auto"/>
        <w:right w:val="none" w:sz="0" w:space="0" w:color="auto"/>
      </w:divBdr>
    </w:div>
    <w:div w:id="1089276790">
      <w:bodyDiv w:val="1"/>
      <w:marLeft w:val="0"/>
      <w:marRight w:val="0"/>
      <w:marTop w:val="0"/>
      <w:marBottom w:val="0"/>
      <w:divBdr>
        <w:top w:val="none" w:sz="0" w:space="0" w:color="auto"/>
        <w:left w:val="none" w:sz="0" w:space="0" w:color="auto"/>
        <w:bottom w:val="none" w:sz="0" w:space="0" w:color="auto"/>
        <w:right w:val="none" w:sz="0" w:space="0" w:color="auto"/>
      </w:divBdr>
    </w:div>
    <w:div w:id="1091779917">
      <w:bodyDiv w:val="1"/>
      <w:marLeft w:val="0"/>
      <w:marRight w:val="0"/>
      <w:marTop w:val="0"/>
      <w:marBottom w:val="0"/>
      <w:divBdr>
        <w:top w:val="none" w:sz="0" w:space="0" w:color="auto"/>
        <w:left w:val="none" w:sz="0" w:space="0" w:color="auto"/>
        <w:bottom w:val="none" w:sz="0" w:space="0" w:color="auto"/>
        <w:right w:val="none" w:sz="0" w:space="0" w:color="auto"/>
      </w:divBdr>
    </w:div>
    <w:div w:id="1091969626">
      <w:bodyDiv w:val="1"/>
      <w:marLeft w:val="0"/>
      <w:marRight w:val="0"/>
      <w:marTop w:val="0"/>
      <w:marBottom w:val="0"/>
      <w:divBdr>
        <w:top w:val="none" w:sz="0" w:space="0" w:color="auto"/>
        <w:left w:val="none" w:sz="0" w:space="0" w:color="auto"/>
        <w:bottom w:val="none" w:sz="0" w:space="0" w:color="auto"/>
        <w:right w:val="none" w:sz="0" w:space="0" w:color="auto"/>
      </w:divBdr>
    </w:div>
    <w:div w:id="1092237200">
      <w:bodyDiv w:val="1"/>
      <w:marLeft w:val="0"/>
      <w:marRight w:val="0"/>
      <w:marTop w:val="0"/>
      <w:marBottom w:val="0"/>
      <w:divBdr>
        <w:top w:val="none" w:sz="0" w:space="0" w:color="auto"/>
        <w:left w:val="none" w:sz="0" w:space="0" w:color="auto"/>
        <w:bottom w:val="none" w:sz="0" w:space="0" w:color="auto"/>
        <w:right w:val="none" w:sz="0" w:space="0" w:color="auto"/>
      </w:divBdr>
    </w:div>
    <w:div w:id="1092362031">
      <w:bodyDiv w:val="1"/>
      <w:marLeft w:val="0"/>
      <w:marRight w:val="0"/>
      <w:marTop w:val="0"/>
      <w:marBottom w:val="0"/>
      <w:divBdr>
        <w:top w:val="none" w:sz="0" w:space="0" w:color="auto"/>
        <w:left w:val="none" w:sz="0" w:space="0" w:color="auto"/>
        <w:bottom w:val="none" w:sz="0" w:space="0" w:color="auto"/>
        <w:right w:val="none" w:sz="0" w:space="0" w:color="auto"/>
      </w:divBdr>
    </w:div>
    <w:div w:id="1093093193">
      <w:bodyDiv w:val="1"/>
      <w:marLeft w:val="0"/>
      <w:marRight w:val="0"/>
      <w:marTop w:val="0"/>
      <w:marBottom w:val="0"/>
      <w:divBdr>
        <w:top w:val="none" w:sz="0" w:space="0" w:color="auto"/>
        <w:left w:val="none" w:sz="0" w:space="0" w:color="auto"/>
        <w:bottom w:val="none" w:sz="0" w:space="0" w:color="auto"/>
        <w:right w:val="none" w:sz="0" w:space="0" w:color="auto"/>
      </w:divBdr>
    </w:div>
    <w:div w:id="1094201924">
      <w:bodyDiv w:val="1"/>
      <w:marLeft w:val="0"/>
      <w:marRight w:val="0"/>
      <w:marTop w:val="0"/>
      <w:marBottom w:val="0"/>
      <w:divBdr>
        <w:top w:val="none" w:sz="0" w:space="0" w:color="auto"/>
        <w:left w:val="none" w:sz="0" w:space="0" w:color="auto"/>
        <w:bottom w:val="none" w:sz="0" w:space="0" w:color="auto"/>
        <w:right w:val="none" w:sz="0" w:space="0" w:color="auto"/>
      </w:divBdr>
    </w:div>
    <w:div w:id="1094936041">
      <w:bodyDiv w:val="1"/>
      <w:marLeft w:val="0"/>
      <w:marRight w:val="0"/>
      <w:marTop w:val="0"/>
      <w:marBottom w:val="0"/>
      <w:divBdr>
        <w:top w:val="none" w:sz="0" w:space="0" w:color="auto"/>
        <w:left w:val="none" w:sz="0" w:space="0" w:color="auto"/>
        <w:bottom w:val="none" w:sz="0" w:space="0" w:color="auto"/>
        <w:right w:val="none" w:sz="0" w:space="0" w:color="auto"/>
      </w:divBdr>
    </w:div>
    <w:div w:id="1095856287">
      <w:bodyDiv w:val="1"/>
      <w:marLeft w:val="0"/>
      <w:marRight w:val="0"/>
      <w:marTop w:val="0"/>
      <w:marBottom w:val="0"/>
      <w:divBdr>
        <w:top w:val="none" w:sz="0" w:space="0" w:color="auto"/>
        <w:left w:val="none" w:sz="0" w:space="0" w:color="auto"/>
        <w:bottom w:val="none" w:sz="0" w:space="0" w:color="auto"/>
        <w:right w:val="none" w:sz="0" w:space="0" w:color="auto"/>
      </w:divBdr>
    </w:div>
    <w:div w:id="1100177915">
      <w:bodyDiv w:val="1"/>
      <w:marLeft w:val="0"/>
      <w:marRight w:val="0"/>
      <w:marTop w:val="0"/>
      <w:marBottom w:val="0"/>
      <w:divBdr>
        <w:top w:val="none" w:sz="0" w:space="0" w:color="auto"/>
        <w:left w:val="none" w:sz="0" w:space="0" w:color="auto"/>
        <w:bottom w:val="none" w:sz="0" w:space="0" w:color="auto"/>
        <w:right w:val="none" w:sz="0" w:space="0" w:color="auto"/>
      </w:divBdr>
    </w:div>
    <w:div w:id="1100489184">
      <w:bodyDiv w:val="1"/>
      <w:marLeft w:val="0"/>
      <w:marRight w:val="0"/>
      <w:marTop w:val="0"/>
      <w:marBottom w:val="0"/>
      <w:divBdr>
        <w:top w:val="none" w:sz="0" w:space="0" w:color="auto"/>
        <w:left w:val="none" w:sz="0" w:space="0" w:color="auto"/>
        <w:bottom w:val="none" w:sz="0" w:space="0" w:color="auto"/>
        <w:right w:val="none" w:sz="0" w:space="0" w:color="auto"/>
      </w:divBdr>
    </w:div>
    <w:div w:id="1101218766">
      <w:bodyDiv w:val="1"/>
      <w:marLeft w:val="0"/>
      <w:marRight w:val="0"/>
      <w:marTop w:val="0"/>
      <w:marBottom w:val="0"/>
      <w:divBdr>
        <w:top w:val="none" w:sz="0" w:space="0" w:color="auto"/>
        <w:left w:val="none" w:sz="0" w:space="0" w:color="auto"/>
        <w:bottom w:val="none" w:sz="0" w:space="0" w:color="auto"/>
        <w:right w:val="none" w:sz="0" w:space="0" w:color="auto"/>
      </w:divBdr>
    </w:div>
    <w:div w:id="1101875869">
      <w:bodyDiv w:val="1"/>
      <w:marLeft w:val="0"/>
      <w:marRight w:val="0"/>
      <w:marTop w:val="0"/>
      <w:marBottom w:val="0"/>
      <w:divBdr>
        <w:top w:val="none" w:sz="0" w:space="0" w:color="auto"/>
        <w:left w:val="none" w:sz="0" w:space="0" w:color="auto"/>
        <w:bottom w:val="none" w:sz="0" w:space="0" w:color="auto"/>
        <w:right w:val="none" w:sz="0" w:space="0" w:color="auto"/>
      </w:divBdr>
    </w:div>
    <w:div w:id="1102459393">
      <w:bodyDiv w:val="1"/>
      <w:marLeft w:val="0"/>
      <w:marRight w:val="0"/>
      <w:marTop w:val="0"/>
      <w:marBottom w:val="0"/>
      <w:divBdr>
        <w:top w:val="none" w:sz="0" w:space="0" w:color="auto"/>
        <w:left w:val="none" w:sz="0" w:space="0" w:color="auto"/>
        <w:bottom w:val="none" w:sz="0" w:space="0" w:color="auto"/>
        <w:right w:val="none" w:sz="0" w:space="0" w:color="auto"/>
      </w:divBdr>
    </w:div>
    <w:div w:id="1102922032">
      <w:bodyDiv w:val="1"/>
      <w:marLeft w:val="0"/>
      <w:marRight w:val="0"/>
      <w:marTop w:val="0"/>
      <w:marBottom w:val="0"/>
      <w:divBdr>
        <w:top w:val="none" w:sz="0" w:space="0" w:color="auto"/>
        <w:left w:val="none" w:sz="0" w:space="0" w:color="auto"/>
        <w:bottom w:val="none" w:sz="0" w:space="0" w:color="auto"/>
        <w:right w:val="none" w:sz="0" w:space="0" w:color="auto"/>
      </w:divBdr>
    </w:div>
    <w:div w:id="1103382379">
      <w:bodyDiv w:val="1"/>
      <w:marLeft w:val="0"/>
      <w:marRight w:val="0"/>
      <w:marTop w:val="0"/>
      <w:marBottom w:val="0"/>
      <w:divBdr>
        <w:top w:val="none" w:sz="0" w:space="0" w:color="auto"/>
        <w:left w:val="none" w:sz="0" w:space="0" w:color="auto"/>
        <w:bottom w:val="none" w:sz="0" w:space="0" w:color="auto"/>
        <w:right w:val="none" w:sz="0" w:space="0" w:color="auto"/>
      </w:divBdr>
    </w:div>
    <w:div w:id="1104501364">
      <w:bodyDiv w:val="1"/>
      <w:marLeft w:val="0"/>
      <w:marRight w:val="0"/>
      <w:marTop w:val="0"/>
      <w:marBottom w:val="0"/>
      <w:divBdr>
        <w:top w:val="none" w:sz="0" w:space="0" w:color="auto"/>
        <w:left w:val="none" w:sz="0" w:space="0" w:color="auto"/>
        <w:bottom w:val="none" w:sz="0" w:space="0" w:color="auto"/>
        <w:right w:val="none" w:sz="0" w:space="0" w:color="auto"/>
      </w:divBdr>
    </w:div>
    <w:div w:id="1105266082">
      <w:bodyDiv w:val="1"/>
      <w:marLeft w:val="0"/>
      <w:marRight w:val="0"/>
      <w:marTop w:val="0"/>
      <w:marBottom w:val="0"/>
      <w:divBdr>
        <w:top w:val="none" w:sz="0" w:space="0" w:color="auto"/>
        <w:left w:val="none" w:sz="0" w:space="0" w:color="auto"/>
        <w:bottom w:val="none" w:sz="0" w:space="0" w:color="auto"/>
        <w:right w:val="none" w:sz="0" w:space="0" w:color="auto"/>
      </w:divBdr>
    </w:div>
    <w:div w:id="1105491918">
      <w:bodyDiv w:val="1"/>
      <w:marLeft w:val="0"/>
      <w:marRight w:val="0"/>
      <w:marTop w:val="0"/>
      <w:marBottom w:val="0"/>
      <w:divBdr>
        <w:top w:val="none" w:sz="0" w:space="0" w:color="auto"/>
        <w:left w:val="none" w:sz="0" w:space="0" w:color="auto"/>
        <w:bottom w:val="none" w:sz="0" w:space="0" w:color="auto"/>
        <w:right w:val="none" w:sz="0" w:space="0" w:color="auto"/>
      </w:divBdr>
    </w:div>
    <w:div w:id="1107197833">
      <w:bodyDiv w:val="1"/>
      <w:marLeft w:val="0"/>
      <w:marRight w:val="0"/>
      <w:marTop w:val="0"/>
      <w:marBottom w:val="0"/>
      <w:divBdr>
        <w:top w:val="none" w:sz="0" w:space="0" w:color="auto"/>
        <w:left w:val="none" w:sz="0" w:space="0" w:color="auto"/>
        <w:bottom w:val="none" w:sz="0" w:space="0" w:color="auto"/>
        <w:right w:val="none" w:sz="0" w:space="0" w:color="auto"/>
      </w:divBdr>
    </w:div>
    <w:div w:id="1107846449">
      <w:bodyDiv w:val="1"/>
      <w:marLeft w:val="0"/>
      <w:marRight w:val="0"/>
      <w:marTop w:val="0"/>
      <w:marBottom w:val="0"/>
      <w:divBdr>
        <w:top w:val="none" w:sz="0" w:space="0" w:color="auto"/>
        <w:left w:val="none" w:sz="0" w:space="0" w:color="auto"/>
        <w:bottom w:val="none" w:sz="0" w:space="0" w:color="auto"/>
        <w:right w:val="none" w:sz="0" w:space="0" w:color="auto"/>
      </w:divBdr>
    </w:div>
    <w:div w:id="1109467298">
      <w:bodyDiv w:val="1"/>
      <w:marLeft w:val="0"/>
      <w:marRight w:val="0"/>
      <w:marTop w:val="0"/>
      <w:marBottom w:val="0"/>
      <w:divBdr>
        <w:top w:val="none" w:sz="0" w:space="0" w:color="auto"/>
        <w:left w:val="none" w:sz="0" w:space="0" w:color="auto"/>
        <w:bottom w:val="none" w:sz="0" w:space="0" w:color="auto"/>
        <w:right w:val="none" w:sz="0" w:space="0" w:color="auto"/>
      </w:divBdr>
    </w:div>
    <w:div w:id="1110248205">
      <w:bodyDiv w:val="1"/>
      <w:marLeft w:val="0"/>
      <w:marRight w:val="0"/>
      <w:marTop w:val="0"/>
      <w:marBottom w:val="0"/>
      <w:divBdr>
        <w:top w:val="none" w:sz="0" w:space="0" w:color="auto"/>
        <w:left w:val="none" w:sz="0" w:space="0" w:color="auto"/>
        <w:bottom w:val="none" w:sz="0" w:space="0" w:color="auto"/>
        <w:right w:val="none" w:sz="0" w:space="0" w:color="auto"/>
      </w:divBdr>
    </w:div>
    <w:div w:id="1110277800">
      <w:bodyDiv w:val="1"/>
      <w:marLeft w:val="0"/>
      <w:marRight w:val="0"/>
      <w:marTop w:val="0"/>
      <w:marBottom w:val="0"/>
      <w:divBdr>
        <w:top w:val="none" w:sz="0" w:space="0" w:color="auto"/>
        <w:left w:val="none" w:sz="0" w:space="0" w:color="auto"/>
        <w:bottom w:val="none" w:sz="0" w:space="0" w:color="auto"/>
        <w:right w:val="none" w:sz="0" w:space="0" w:color="auto"/>
      </w:divBdr>
    </w:div>
    <w:div w:id="1111707167">
      <w:bodyDiv w:val="1"/>
      <w:marLeft w:val="0"/>
      <w:marRight w:val="0"/>
      <w:marTop w:val="0"/>
      <w:marBottom w:val="0"/>
      <w:divBdr>
        <w:top w:val="none" w:sz="0" w:space="0" w:color="auto"/>
        <w:left w:val="none" w:sz="0" w:space="0" w:color="auto"/>
        <w:bottom w:val="none" w:sz="0" w:space="0" w:color="auto"/>
        <w:right w:val="none" w:sz="0" w:space="0" w:color="auto"/>
      </w:divBdr>
    </w:div>
    <w:div w:id="1112943786">
      <w:bodyDiv w:val="1"/>
      <w:marLeft w:val="0"/>
      <w:marRight w:val="0"/>
      <w:marTop w:val="0"/>
      <w:marBottom w:val="0"/>
      <w:divBdr>
        <w:top w:val="none" w:sz="0" w:space="0" w:color="auto"/>
        <w:left w:val="none" w:sz="0" w:space="0" w:color="auto"/>
        <w:bottom w:val="none" w:sz="0" w:space="0" w:color="auto"/>
        <w:right w:val="none" w:sz="0" w:space="0" w:color="auto"/>
      </w:divBdr>
    </w:div>
    <w:div w:id="1113745111">
      <w:bodyDiv w:val="1"/>
      <w:marLeft w:val="0"/>
      <w:marRight w:val="0"/>
      <w:marTop w:val="0"/>
      <w:marBottom w:val="0"/>
      <w:divBdr>
        <w:top w:val="none" w:sz="0" w:space="0" w:color="auto"/>
        <w:left w:val="none" w:sz="0" w:space="0" w:color="auto"/>
        <w:bottom w:val="none" w:sz="0" w:space="0" w:color="auto"/>
        <w:right w:val="none" w:sz="0" w:space="0" w:color="auto"/>
      </w:divBdr>
    </w:div>
    <w:div w:id="1116213825">
      <w:bodyDiv w:val="1"/>
      <w:marLeft w:val="0"/>
      <w:marRight w:val="0"/>
      <w:marTop w:val="0"/>
      <w:marBottom w:val="0"/>
      <w:divBdr>
        <w:top w:val="none" w:sz="0" w:space="0" w:color="auto"/>
        <w:left w:val="none" w:sz="0" w:space="0" w:color="auto"/>
        <w:bottom w:val="none" w:sz="0" w:space="0" w:color="auto"/>
        <w:right w:val="none" w:sz="0" w:space="0" w:color="auto"/>
      </w:divBdr>
    </w:div>
    <w:div w:id="1116564250">
      <w:bodyDiv w:val="1"/>
      <w:marLeft w:val="0"/>
      <w:marRight w:val="0"/>
      <w:marTop w:val="0"/>
      <w:marBottom w:val="0"/>
      <w:divBdr>
        <w:top w:val="none" w:sz="0" w:space="0" w:color="auto"/>
        <w:left w:val="none" w:sz="0" w:space="0" w:color="auto"/>
        <w:bottom w:val="none" w:sz="0" w:space="0" w:color="auto"/>
        <w:right w:val="none" w:sz="0" w:space="0" w:color="auto"/>
      </w:divBdr>
    </w:div>
    <w:div w:id="1117601407">
      <w:bodyDiv w:val="1"/>
      <w:marLeft w:val="0"/>
      <w:marRight w:val="0"/>
      <w:marTop w:val="0"/>
      <w:marBottom w:val="0"/>
      <w:divBdr>
        <w:top w:val="none" w:sz="0" w:space="0" w:color="auto"/>
        <w:left w:val="none" w:sz="0" w:space="0" w:color="auto"/>
        <w:bottom w:val="none" w:sz="0" w:space="0" w:color="auto"/>
        <w:right w:val="none" w:sz="0" w:space="0" w:color="auto"/>
      </w:divBdr>
    </w:div>
    <w:div w:id="1118062612">
      <w:bodyDiv w:val="1"/>
      <w:marLeft w:val="0"/>
      <w:marRight w:val="0"/>
      <w:marTop w:val="0"/>
      <w:marBottom w:val="0"/>
      <w:divBdr>
        <w:top w:val="none" w:sz="0" w:space="0" w:color="auto"/>
        <w:left w:val="none" w:sz="0" w:space="0" w:color="auto"/>
        <w:bottom w:val="none" w:sz="0" w:space="0" w:color="auto"/>
        <w:right w:val="none" w:sz="0" w:space="0" w:color="auto"/>
      </w:divBdr>
    </w:div>
    <w:div w:id="1119648189">
      <w:bodyDiv w:val="1"/>
      <w:marLeft w:val="0"/>
      <w:marRight w:val="0"/>
      <w:marTop w:val="0"/>
      <w:marBottom w:val="0"/>
      <w:divBdr>
        <w:top w:val="none" w:sz="0" w:space="0" w:color="auto"/>
        <w:left w:val="none" w:sz="0" w:space="0" w:color="auto"/>
        <w:bottom w:val="none" w:sz="0" w:space="0" w:color="auto"/>
        <w:right w:val="none" w:sz="0" w:space="0" w:color="auto"/>
      </w:divBdr>
    </w:div>
    <w:div w:id="1120683332">
      <w:bodyDiv w:val="1"/>
      <w:marLeft w:val="0"/>
      <w:marRight w:val="0"/>
      <w:marTop w:val="0"/>
      <w:marBottom w:val="0"/>
      <w:divBdr>
        <w:top w:val="none" w:sz="0" w:space="0" w:color="auto"/>
        <w:left w:val="none" w:sz="0" w:space="0" w:color="auto"/>
        <w:bottom w:val="none" w:sz="0" w:space="0" w:color="auto"/>
        <w:right w:val="none" w:sz="0" w:space="0" w:color="auto"/>
      </w:divBdr>
    </w:div>
    <w:div w:id="1123310313">
      <w:bodyDiv w:val="1"/>
      <w:marLeft w:val="0"/>
      <w:marRight w:val="0"/>
      <w:marTop w:val="0"/>
      <w:marBottom w:val="0"/>
      <w:divBdr>
        <w:top w:val="none" w:sz="0" w:space="0" w:color="auto"/>
        <w:left w:val="none" w:sz="0" w:space="0" w:color="auto"/>
        <w:bottom w:val="none" w:sz="0" w:space="0" w:color="auto"/>
        <w:right w:val="none" w:sz="0" w:space="0" w:color="auto"/>
      </w:divBdr>
    </w:div>
    <w:div w:id="1123381807">
      <w:bodyDiv w:val="1"/>
      <w:marLeft w:val="0"/>
      <w:marRight w:val="0"/>
      <w:marTop w:val="0"/>
      <w:marBottom w:val="0"/>
      <w:divBdr>
        <w:top w:val="none" w:sz="0" w:space="0" w:color="auto"/>
        <w:left w:val="none" w:sz="0" w:space="0" w:color="auto"/>
        <w:bottom w:val="none" w:sz="0" w:space="0" w:color="auto"/>
        <w:right w:val="none" w:sz="0" w:space="0" w:color="auto"/>
      </w:divBdr>
    </w:div>
    <w:div w:id="1123812479">
      <w:bodyDiv w:val="1"/>
      <w:marLeft w:val="0"/>
      <w:marRight w:val="0"/>
      <w:marTop w:val="0"/>
      <w:marBottom w:val="0"/>
      <w:divBdr>
        <w:top w:val="none" w:sz="0" w:space="0" w:color="auto"/>
        <w:left w:val="none" w:sz="0" w:space="0" w:color="auto"/>
        <w:bottom w:val="none" w:sz="0" w:space="0" w:color="auto"/>
        <w:right w:val="none" w:sz="0" w:space="0" w:color="auto"/>
      </w:divBdr>
    </w:div>
    <w:div w:id="1124615810">
      <w:bodyDiv w:val="1"/>
      <w:marLeft w:val="0"/>
      <w:marRight w:val="0"/>
      <w:marTop w:val="0"/>
      <w:marBottom w:val="0"/>
      <w:divBdr>
        <w:top w:val="none" w:sz="0" w:space="0" w:color="auto"/>
        <w:left w:val="none" w:sz="0" w:space="0" w:color="auto"/>
        <w:bottom w:val="none" w:sz="0" w:space="0" w:color="auto"/>
        <w:right w:val="none" w:sz="0" w:space="0" w:color="auto"/>
      </w:divBdr>
    </w:div>
    <w:div w:id="1124737458">
      <w:bodyDiv w:val="1"/>
      <w:marLeft w:val="0"/>
      <w:marRight w:val="0"/>
      <w:marTop w:val="0"/>
      <w:marBottom w:val="0"/>
      <w:divBdr>
        <w:top w:val="none" w:sz="0" w:space="0" w:color="auto"/>
        <w:left w:val="none" w:sz="0" w:space="0" w:color="auto"/>
        <w:bottom w:val="none" w:sz="0" w:space="0" w:color="auto"/>
        <w:right w:val="none" w:sz="0" w:space="0" w:color="auto"/>
      </w:divBdr>
    </w:div>
    <w:div w:id="1125194385">
      <w:bodyDiv w:val="1"/>
      <w:marLeft w:val="0"/>
      <w:marRight w:val="0"/>
      <w:marTop w:val="0"/>
      <w:marBottom w:val="0"/>
      <w:divBdr>
        <w:top w:val="none" w:sz="0" w:space="0" w:color="auto"/>
        <w:left w:val="none" w:sz="0" w:space="0" w:color="auto"/>
        <w:bottom w:val="none" w:sz="0" w:space="0" w:color="auto"/>
        <w:right w:val="none" w:sz="0" w:space="0" w:color="auto"/>
      </w:divBdr>
    </w:div>
    <w:div w:id="1126047243">
      <w:bodyDiv w:val="1"/>
      <w:marLeft w:val="0"/>
      <w:marRight w:val="0"/>
      <w:marTop w:val="0"/>
      <w:marBottom w:val="0"/>
      <w:divBdr>
        <w:top w:val="none" w:sz="0" w:space="0" w:color="auto"/>
        <w:left w:val="none" w:sz="0" w:space="0" w:color="auto"/>
        <w:bottom w:val="none" w:sz="0" w:space="0" w:color="auto"/>
        <w:right w:val="none" w:sz="0" w:space="0" w:color="auto"/>
      </w:divBdr>
    </w:div>
    <w:div w:id="1126122457">
      <w:bodyDiv w:val="1"/>
      <w:marLeft w:val="0"/>
      <w:marRight w:val="0"/>
      <w:marTop w:val="0"/>
      <w:marBottom w:val="0"/>
      <w:divBdr>
        <w:top w:val="none" w:sz="0" w:space="0" w:color="auto"/>
        <w:left w:val="none" w:sz="0" w:space="0" w:color="auto"/>
        <w:bottom w:val="none" w:sz="0" w:space="0" w:color="auto"/>
        <w:right w:val="none" w:sz="0" w:space="0" w:color="auto"/>
      </w:divBdr>
    </w:div>
    <w:div w:id="1126657748">
      <w:bodyDiv w:val="1"/>
      <w:marLeft w:val="0"/>
      <w:marRight w:val="0"/>
      <w:marTop w:val="0"/>
      <w:marBottom w:val="0"/>
      <w:divBdr>
        <w:top w:val="none" w:sz="0" w:space="0" w:color="auto"/>
        <w:left w:val="none" w:sz="0" w:space="0" w:color="auto"/>
        <w:bottom w:val="none" w:sz="0" w:space="0" w:color="auto"/>
        <w:right w:val="none" w:sz="0" w:space="0" w:color="auto"/>
      </w:divBdr>
    </w:div>
    <w:div w:id="1127312022">
      <w:bodyDiv w:val="1"/>
      <w:marLeft w:val="0"/>
      <w:marRight w:val="0"/>
      <w:marTop w:val="0"/>
      <w:marBottom w:val="0"/>
      <w:divBdr>
        <w:top w:val="none" w:sz="0" w:space="0" w:color="auto"/>
        <w:left w:val="none" w:sz="0" w:space="0" w:color="auto"/>
        <w:bottom w:val="none" w:sz="0" w:space="0" w:color="auto"/>
        <w:right w:val="none" w:sz="0" w:space="0" w:color="auto"/>
      </w:divBdr>
    </w:div>
    <w:div w:id="1128161917">
      <w:bodyDiv w:val="1"/>
      <w:marLeft w:val="0"/>
      <w:marRight w:val="0"/>
      <w:marTop w:val="0"/>
      <w:marBottom w:val="0"/>
      <w:divBdr>
        <w:top w:val="none" w:sz="0" w:space="0" w:color="auto"/>
        <w:left w:val="none" w:sz="0" w:space="0" w:color="auto"/>
        <w:bottom w:val="none" w:sz="0" w:space="0" w:color="auto"/>
        <w:right w:val="none" w:sz="0" w:space="0" w:color="auto"/>
      </w:divBdr>
    </w:div>
    <w:div w:id="1129057713">
      <w:bodyDiv w:val="1"/>
      <w:marLeft w:val="0"/>
      <w:marRight w:val="0"/>
      <w:marTop w:val="0"/>
      <w:marBottom w:val="0"/>
      <w:divBdr>
        <w:top w:val="none" w:sz="0" w:space="0" w:color="auto"/>
        <w:left w:val="none" w:sz="0" w:space="0" w:color="auto"/>
        <w:bottom w:val="none" w:sz="0" w:space="0" w:color="auto"/>
        <w:right w:val="none" w:sz="0" w:space="0" w:color="auto"/>
      </w:divBdr>
    </w:div>
    <w:div w:id="1129126004">
      <w:bodyDiv w:val="1"/>
      <w:marLeft w:val="0"/>
      <w:marRight w:val="0"/>
      <w:marTop w:val="0"/>
      <w:marBottom w:val="0"/>
      <w:divBdr>
        <w:top w:val="none" w:sz="0" w:space="0" w:color="auto"/>
        <w:left w:val="none" w:sz="0" w:space="0" w:color="auto"/>
        <w:bottom w:val="none" w:sz="0" w:space="0" w:color="auto"/>
        <w:right w:val="none" w:sz="0" w:space="0" w:color="auto"/>
      </w:divBdr>
    </w:div>
    <w:div w:id="1130442116">
      <w:bodyDiv w:val="1"/>
      <w:marLeft w:val="0"/>
      <w:marRight w:val="0"/>
      <w:marTop w:val="0"/>
      <w:marBottom w:val="0"/>
      <w:divBdr>
        <w:top w:val="none" w:sz="0" w:space="0" w:color="auto"/>
        <w:left w:val="none" w:sz="0" w:space="0" w:color="auto"/>
        <w:bottom w:val="none" w:sz="0" w:space="0" w:color="auto"/>
        <w:right w:val="none" w:sz="0" w:space="0" w:color="auto"/>
      </w:divBdr>
    </w:div>
    <w:div w:id="1131021284">
      <w:bodyDiv w:val="1"/>
      <w:marLeft w:val="0"/>
      <w:marRight w:val="0"/>
      <w:marTop w:val="0"/>
      <w:marBottom w:val="0"/>
      <w:divBdr>
        <w:top w:val="none" w:sz="0" w:space="0" w:color="auto"/>
        <w:left w:val="none" w:sz="0" w:space="0" w:color="auto"/>
        <w:bottom w:val="none" w:sz="0" w:space="0" w:color="auto"/>
        <w:right w:val="none" w:sz="0" w:space="0" w:color="auto"/>
      </w:divBdr>
    </w:div>
    <w:div w:id="1132134528">
      <w:bodyDiv w:val="1"/>
      <w:marLeft w:val="0"/>
      <w:marRight w:val="0"/>
      <w:marTop w:val="0"/>
      <w:marBottom w:val="0"/>
      <w:divBdr>
        <w:top w:val="none" w:sz="0" w:space="0" w:color="auto"/>
        <w:left w:val="none" w:sz="0" w:space="0" w:color="auto"/>
        <w:bottom w:val="none" w:sz="0" w:space="0" w:color="auto"/>
        <w:right w:val="none" w:sz="0" w:space="0" w:color="auto"/>
      </w:divBdr>
    </w:div>
    <w:div w:id="1132289502">
      <w:bodyDiv w:val="1"/>
      <w:marLeft w:val="0"/>
      <w:marRight w:val="0"/>
      <w:marTop w:val="0"/>
      <w:marBottom w:val="0"/>
      <w:divBdr>
        <w:top w:val="none" w:sz="0" w:space="0" w:color="auto"/>
        <w:left w:val="none" w:sz="0" w:space="0" w:color="auto"/>
        <w:bottom w:val="none" w:sz="0" w:space="0" w:color="auto"/>
        <w:right w:val="none" w:sz="0" w:space="0" w:color="auto"/>
      </w:divBdr>
    </w:div>
    <w:div w:id="1134566633">
      <w:bodyDiv w:val="1"/>
      <w:marLeft w:val="0"/>
      <w:marRight w:val="0"/>
      <w:marTop w:val="0"/>
      <w:marBottom w:val="0"/>
      <w:divBdr>
        <w:top w:val="none" w:sz="0" w:space="0" w:color="auto"/>
        <w:left w:val="none" w:sz="0" w:space="0" w:color="auto"/>
        <w:bottom w:val="none" w:sz="0" w:space="0" w:color="auto"/>
        <w:right w:val="none" w:sz="0" w:space="0" w:color="auto"/>
      </w:divBdr>
    </w:div>
    <w:div w:id="1136144646">
      <w:bodyDiv w:val="1"/>
      <w:marLeft w:val="0"/>
      <w:marRight w:val="0"/>
      <w:marTop w:val="0"/>
      <w:marBottom w:val="0"/>
      <w:divBdr>
        <w:top w:val="none" w:sz="0" w:space="0" w:color="auto"/>
        <w:left w:val="none" w:sz="0" w:space="0" w:color="auto"/>
        <w:bottom w:val="none" w:sz="0" w:space="0" w:color="auto"/>
        <w:right w:val="none" w:sz="0" w:space="0" w:color="auto"/>
      </w:divBdr>
    </w:div>
    <w:div w:id="1136408289">
      <w:bodyDiv w:val="1"/>
      <w:marLeft w:val="0"/>
      <w:marRight w:val="0"/>
      <w:marTop w:val="0"/>
      <w:marBottom w:val="0"/>
      <w:divBdr>
        <w:top w:val="none" w:sz="0" w:space="0" w:color="auto"/>
        <w:left w:val="none" w:sz="0" w:space="0" w:color="auto"/>
        <w:bottom w:val="none" w:sz="0" w:space="0" w:color="auto"/>
        <w:right w:val="none" w:sz="0" w:space="0" w:color="auto"/>
      </w:divBdr>
    </w:div>
    <w:div w:id="1136723776">
      <w:bodyDiv w:val="1"/>
      <w:marLeft w:val="0"/>
      <w:marRight w:val="0"/>
      <w:marTop w:val="0"/>
      <w:marBottom w:val="0"/>
      <w:divBdr>
        <w:top w:val="none" w:sz="0" w:space="0" w:color="auto"/>
        <w:left w:val="none" w:sz="0" w:space="0" w:color="auto"/>
        <w:bottom w:val="none" w:sz="0" w:space="0" w:color="auto"/>
        <w:right w:val="none" w:sz="0" w:space="0" w:color="auto"/>
      </w:divBdr>
    </w:div>
    <w:div w:id="1137648325">
      <w:bodyDiv w:val="1"/>
      <w:marLeft w:val="0"/>
      <w:marRight w:val="0"/>
      <w:marTop w:val="0"/>
      <w:marBottom w:val="0"/>
      <w:divBdr>
        <w:top w:val="none" w:sz="0" w:space="0" w:color="auto"/>
        <w:left w:val="none" w:sz="0" w:space="0" w:color="auto"/>
        <w:bottom w:val="none" w:sz="0" w:space="0" w:color="auto"/>
        <w:right w:val="none" w:sz="0" w:space="0" w:color="auto"/>
      </w:divBdr>
    </w:div>
    <w:div w:id="1139616277">
      <w:bodyDiv w:val="1"/>
      <w:marLeft w:val="0"/>
      <w:marRight w:val="0"/>
      <w:marTop w:val="0"/>
      <w:marBottom w:val="0"/>
      <w:divBdr>
        <w:top w:val="none" w:sz="0" w:space="0" w:color="auto"/>
        <w:left w:val="none" w:sz="0" w:space="0" w:color="auto"/>
        <w:bottom w:val="none" w:sz="0" w:space="0" w:color="auto"/>
        <w:right w:val="none" w:sz="0" w:space="0" w:color="auto"/>
      </w:divBdr>
    </w:div>
    <w:div w:id="1140147676">
      <w:bodyDiv w:val="1"/>
      <w:marLeft w:val="0"/>
      <w:marRight w:val="0"/>
      <w:marTop w:val="0"/>
      <w:marBottom w:val="0"/>
      <w:divBdr>
        <w:top w:val="none" w:sz="0" w:space="0" w:color="auto"/>
        <w:left w:val="none" w:sz="0" w:space="0" w:color="auto"/>
        <w:bottom w:val="none" w:sz="0" w:space="0" w:color="auto"/>
        <w:right w:val="none" w:sz="0" w:space="0" w:color="auto"/>
      </w:divBdr>
    </w:div>
    <w:div w:id="1142238924">
      <w:bodyDiv w:val="1"/>
      <w:marLeft w:val="0"/>
      <w:marRight w:val="0"/>
      <w:marTop w:val="0"/>
      <w:marBottom w:val="0"/>
      <w:divBdr>
        <w:top w:val="none" w:sz="0" w:space="0" w:color="auto"/>
        <w:left w:val="none" w:sz="0" w:space="0" w:color="auto"/>
        <w:bottom w:val="none" w:sz="0" w:space="0" w:color="auto"/>
        <w:right w:val="none" w:sz="0" w:space="0" w:color="auto"/>
      </w:divBdr>
    </w:div>
    <w:div w:id="1142843654">
      <w:bodyDiv w:val="1"/>
      <w:marLeft w:val="0"/>
      <w:marRight w:val="0"/>
      <w:marTop w:val="0"/>
      <w:marBottom w:val="0"/>
      <w:divBdr>
        <w:top w:val="none" w:sz="0" w:space="0" w:color="auto"/>
        <w:left w:val="none" w:sz="0" w:space="0" w:color="auto"/>
        <w:bottom w:val="none" w:sz="0" w:space="0" w:color="auto"/>
        <w:right w:val="none" w:sz="0" w:space="0" w:color="auto"/>
      </w:divBdr>
    </w:div>
    <w:div w:id="1145970507">
      <w:bodyDiv w:val="1"/>
      <w:marLeft w:val="0"/>
      <w:marRight w:val="0"/>
      <w:marTop w:val="0"/>
      <w:marBottom w:val="0"/>
      <w:divBdr>
        <w:top w:val="none" w:sz="0" w:space="0" w:color="auto"/>
        <w:left w:val="none" w:sz="0" w:space="0" w:color="auto"/>
        <w:bottom w:val="none" w:sz="0" w:space="0" w:color="auto"/>
        <w:right w:val="none" w:sz="0" w:space="0" w:color="auto"/>
      </w:divBdr>
    </w:div>
    <w:div w:id="1146320649">
      <w:bodyDiv w:val="1"/>
      <w:marLeft w:val="0"/>
      <w:marRight w:val="0"/>
      <w:marTop w:val="0"/>
      <w:marBottom w:val="0"/>
      <w:divBdr>
        <w:top w:val="none" w:sz="0" w:space="0" w:color="auto"/>
        <w:left w:val="none" w:sz="0" w:space="0" w:color="auto"/>
        <w:bottom w:val="none" w:sz="0" w:space="0" w:color="auto"/>
        <w:right w:val="none" w:sz="0" w:space="0" w:color="auto"/>
      </w:divBdr>
    </w:div>
    <w:div w:id="1148089790">
      <w:bodyDiv w:val="1"/>
      <w:marLeft w:val="0"/>
      <w:marRight w:val="0"/>
      <w:marTop w:val="0"/>
      <w:marBottom w:val="0"/>
      <w:divBdr>
        <w:top w:val="none" w:sz="0" w:space="0" w:color="auto"/>
        <w:left w:val="none" w:sz="0" w:space="0" w:color="auto"/>
        <w:bottom w:val="none" w:sz="0" w:space="0" w:color="auto"/>
        <w:right w:val="none" w:sz="0" w:space="0" w:color="auto"/>
      </w:divBdr>
    </w:div>
    <w:div w:id="1149442006">
      <w:bodyDiv w:val="1"/>
      <w:marLeft w:val="0"/>
      <w:marRight w:val="0"/>
      <w:marTop w:val="0"/>
      <w:marBottom w:val="0"/>
      <w:divBdr>
        <w:top w:val="none" w:sz="0" w:space="0" w:color="auto"/>
        <w:left w:val="none" w:sz="0" w:space="0" w:color="auto"/>
        <w:bottom w:val="none" w:sz="0" w:space="0" w:color="auto"/>
        <w:right w:val="none" w:sz="0" w:space="0" w:color="auto"/>
      </w:divBdr>
    </w:div>
    <w:div w:id="1149593052">
      <w:bodyDiv w:val="1"/>
      <w:marLeft w:val="0"/>
      <w:marRight w:val="0"/>
      <w:marTop w:val="0"/>
      <w:marBottom w:val="0"/>
      <w:divBdr>
        <w:top w:val="none" w:sz="0" w:space="0" w:color="auto"/>
        <w:left w:val="none" w:sz="0" w:space="0" w:color="auto"/>
        <w:bottom w:val="none" w:sz="0" w:space="0" w:color="auto"/>
        <w:right w:val="none" w:sz="0" w:space="0" w:color="auto"/>
      </w:divBdr>
    </w:div>
    <w:div w:id="1150054442">
      <w:bodyDiv w:val="1"/>
      <w:marLeft w:val="0"/>
      <w:marRight w:val="0"/>
      <w:marTop w:val="0"/>
      <w:marBottom w:val="0"/>
      <w:divBdr>
        <w:top w:val="none" w:sz="0" w:space="0" w:color="auto"/>
        <w:left w:val="none" w:sz="0" w:space="0" w:color="auto"/>
        <w:bottom w:val="none" w:sz="0" w:space="0" w:color="auto"/>
        <w:right w:val="none" w:sz="0" w:space="0" w:color="auto"/>
      </w:divBdr>
    </w:div>
    <w:div w:id="1150710792">
      <w:bodyDiv w:val="1"/>
      <w:marLeft w:val="0"/>
      <w:marRight w:val="0"/>
      <w:marTop w:val="0"/>
      <w:marBottom w:val="0"/>
      <w:divBdr>
        <w:top w:val="none" w:sz="0" w:space="0" w:color="auto"/>
        <w:left w:val="none" w:sz="0" w:space="0" w:color="auto"/>
        <w:bottom w:val="none" w:sz="0" w:space="0" w:color="auto"/>
        <w:right w:val="none" w:sz="0" w:space="0" w:color="auto"/>
      </w:divBdr>
    </w:div>
    <w:div w:id="1152136880">
      <w:bodyDiv w:val="1"/>
      <w:marLeft w:val="0"/>
      <w:marRight w:val="0"/>
      <w:marTop w:val="0"/>
      <w:marBottom w:val="0"/>
      <w:divBdr>
        <w:top w:val="none" w:sz="0" w:space="0" w:color="auto"/>
        <w:left w:val="none" w:sz="0" w:space="0" w:color="auto"/>
        <w:bottom w:val="none" w:sz="0" w:space="0" w:color="auto"/>
        <w:right w:val="none" w:sz="0" w:space="0" w:color="auto"/>
      </w:divBdr>
    </w:div>
    <w:div w:id="1152139868">
      <w:bodyDiv w:val="1"/>
      <w:marLeft w:val="0"/>
      <w:marRight w:val="0"/>
      <w:marTop w:val="0"/>
      <w:marBottom w:val="0"/>
      <w:divBdr>
        <w:top w:val="none" w:sz="0" w:space="0" w:color="auto"/>
        <w:left w:val="none" w:sz="0" w:space="0" w:color="auto"/>
        <w:bottom w:val="none" w:sz="0" w:space="0" w:color="auto"/>
        <w:right w:val="none" w:sz="0" w:space="0" w:color="auto"/>
      </w:divBdr>
    </w:div>
    <w:div w:id="1152598924">
      <w:bodyDiv w:val="1"/>
      <w:marLeft w:val="0"/>
      <w:marRight w:val="0"/>
      <w:marTop w:val="0"/>
      <w:marBottom w:val="0"/>
      <w:divBdr>
        <w:top w:val="none" w:sz="0" w:space="0" w:color="auto"/>
        <w:left w:val="none" w:sz="0" w:space="0" w:color="auto"/>
        <w:bottom w:val="none" w:sz="0" w:space="0" w:color="auto"/>
        <w:right w:val="none" w:sz="0" w:space="0" w:color="auto"/>
      </w:divBdr>
    </w:div>
    <w:div w:id="1153107330">
      <w:bodyDiv w:val="1"/>
      <w:marLeft w:val="0"/>
      <w:marRight w:val="0"/>
      <w:marTop w:val="0"/>
      <w:marBottom w:val="0"/>
      <w:divBdr>
        <w:top w:val="none" w:sz="0" w:space="0" w:color="auto"/>
        <w:left w:val="none" w:sz="0" w:space="0" w:color="auto"/>
        <w:bottom w:val="none" w:sz="0" w:space="0" w:color="auto"/>
        <w:right w:val="none" w:sz="0" w:space="0" w:color="auto"/>
      </w:divBdr>
    </w:div>
    <w:div w:id="1153789470">
      <w:bodyDiv w:val="1"/>
      <w:marLeft w:val="0"/>
      <w:marRight w:val="0"/>
      <w:marTop w:val="0"/>
      <w:marBottom w:val="0"/>
      <w:divBdr>
        <w:top w:val="none" w:sz="0" w:space="0" w:color="auto"/>
        <w:left w:val="none" w:sz="0" w:space="0" w:color="auto"/>
        <w:bottom w:val="none" w:sz="0" w:space="0" w:color="auto"/>
        <w:right w:val="none" w:sz="0" w:space="0" w:color="auto"/>
      </w:divBdr>
    </w:div>
    <w:div w:id="1155148567">
      <w:bodyDiv w:val="1"/>
      <w:marLeft w:val="0"/>
      <w:marRight w:val="0"/>
      <w:marTop w:val="0"/>
      <w:marBottom w:val="0"/>
      <w:divBdr>
        <w:top w:val="none" w:sz="0" w:space="0" w:color="auto"/>
        <w:left w:val="none" w:sz="0" w:space="0" w:color="auto"/>
        <w:bottom w:val="none" w:sz="0" w:space="0" w:color="auto"/>
        <w:right w:val="none" w:sz="0" w:space="0" w:color="auto"/>
      </w:divBdr>
    </w:div>
    <w:div w:id="1155296321">
      <w:bodyDiv w:val="1"/>
      <w:marLeft w:val="0"/>
      <w:marRight w:val="0"/>
      <w:marTop w:val="0"/>
      <w:marBottom w:val="0"/>
      <w:divBdr>
        <w:top w:val="none" w:sz="0" w:space="0" w:color="auto"/>
        <w:left w:val="none" w:sz="0" w:space="0" w:color="auto"/>
        <w:bottom w:val="none" w:sz="0" w:space="0" w:color="auto"/>
        <w:right w:val="none" w:sz="0" w:space="0" w:color="auto"/>
      </w:divBdr>
    </w:div>
    <w:div w:id="1155685025">
      <w:bodyDiv w:val="1"/>
      <w:marLeft w:val="0"/>
      <w:marRight w:val="0"/>
      <w:marTop w:val="0"/>
      <w:marBottom w:val="0"/>
      <w:divBdr>
        <w:top w:val="none" w:sz="0" w:space="0" w:color="auto"/>
        <w:left w:val="none" w:sz="0" w:space="0" w:color="auto"/>
        <w:bottom w:val="none" w:sz="0" w:space="0" w:color="auto"/>
        <w:right w:val="none" w:sz="0" w:space="0" w:color="auto"/>
      </w:divBdr>
    </w:div>
    <w:div w:id="1155759554">
      <w:bodyDiv w:val="1"/>
      <w:marLeft w:val="0"/>
      <w:marRight w:val="0"/>
      <w:marTop w:val="0"/>
      <w:marBottom w:val="0"/>
      <w:divBdr>
        <w:top w:val="none" w:sz="0" w:space="0" w:color="auto"/>
        <w:left w:val="none" w:sz="0" w:space="0" w:color="auto"/>
        <w:bottom w:val="none" w:sz="0" w:space="0" w:color="auto"/>
        <w:right w:val="none" w:sz="0" w:space="0" w:color="auto"/>
      </w:divBdr>
    </w:div>
    <w:div w:id="1156071559">
      <w:bodyDiv w:val="1"/>
      <w:marLeft w:val="0"/>
      <w:marRight w:val="0"/>
      <w:marTop w:val="0"/>
      <w:marBottom w:val="0"/>
      <w:divBdr>
        <w:top w:val="none" w:sz="0" w:space="0" w:color="auto"/>
        <w:left w:val="none" w:sz="0" w:space="0" w:color="auto"/>
        <w:bottom w:val="none" w:sz="0" w:space="0" w:color="auto"/>
        <w:right w:val="none" w:sz="0" w:space="0" w:color="auto"/>
      </w:divBdr>
    </w:div>
    <w:div w:id="1156216205">
      <w:bodyDiv w:val="1"/>
      <w:marLeft w:val="0"/>
      <w:marRight w:val="0"/>
      <w:marTop w:val="0"/>
      <w:marBottom w:val="0"/>
      <w:divBdr>
        <w:top w:val="none" w:sz="0" w:space="0" w:color="auto"/>
        <w:left w:val="none" w:sz="0" w:space="0" w:color="auto"/>
        <w:bottom w:val="none" w:sz="0" w:space="0" w:color="auto"/>
        <w:right w:val="none" w:sz="0" w:space="0" w:color="auto"/>
      </w:divBdr>
    </w:div>
    <w:div w:id="1156847926">
      <w:bodyDiv w:val="1"/>
      <w:marLeft w:val="0"/>
      <w:marRight w:val="0"/>
      <w:marTop w:val="0"/>
      <w:marBottom w:val="0"/>
      <w:divBdr>
        <w:top w:val="none" w:sz="0" w:space="0" w:color="auto"/>
        <w:left w:val="none" w:sz="0" w:space="0" w:color="auto"/>
        <w:bottom w:val="none" w:sz="0" w:space="0" w:color="auto"/>
        <w:right w:val="none" w:sz="0" w:space="0" w:color="auto"/>
      </w:divBdr>
    </w:div>
    <w:div w:id="1157528536">
      <w:bodyDiv w:val="1"/>
      <w:marLeft w:val="0"/>
      <w:marRight w:val="0"/>
      <w:marTop w:val="0"/>
      <w:marBottom w:val="0"/>
      <w:divBdr>
        <w:top w:val="none" w:sz="0" w:space="0" w:color="auto"/>
        <w:left w:val="none" w:sz="0" w:space="0" w:color="auto"/>
        <w:bottom w:val="none" w:sz="0" w:space="0" w:color="auto"/>
        <w:right w:val="none" w:sz="0" w:space="0" w:color="auto"/>
      </w:divBdr>
    </w:div>
    <w:div w:id="1158958008">
      <w:bodyDiv w:val="1"/>
      <w:marLeft w:val="0"/>
      <w:marRight w:val="0"/>
      <w:marTop w:val="0"/>
      <w:marBottom w:val="0"/>
      <w:divBdr>
        <w:top w:val="none" w:sz="0" w:space="0" w:color="auto"/>
        <w:left w:val="none" w:sz="0" w:space="0" w:color="auto"/>
        <w:bottom w:val="none" w:sz="0" w:space="0" w:color="auto"/>
        <w:right w:val="none" w:sz="0" w:space="0" w:color="auto"/>
      </w:divBdr>
    </w:div>
    <w:div w:id="1159155999">
      <w:bodyDiv w:val="1"/>
      <w:marLeft w:val="0"/>
      <w:marRight w:val="0"/>
      <w:marTop w:val="0"/>
      <w:marBottom w:val="0"/>
      <w:divBdr>
        <w:top w:val="none" w:sz="0" w:space="0" w:color="auto"/>
        <w:left w:val="none" w:sz="0" w:space="0" w:color="auto"/>
        <w:bottom w:val="none" w:sz="0" w:space="0" w:color="auto"/>
        <w:right w:val="none" w:sz="0" w:space="0" w:color="auto"/>
      </w:divBdr>
    </w:div>
    <w:div w:id="1160005597">
      <w:bodyDiv w:val="1"/>
      <w:marLeft w:val="0"/>
      <w:marRight w:val="0"/>
      <w:marTop w:val="0"/>
      <w:marBottom w:val="0"/>
      <w:divBdr>
        <w:top w:val="none" w:sz="0" w:space="0" w:color="auto"/>
        <w:left w:val="none" w:sz="0" w:space="0" w:color="auto"/>
        <w:bottom w:val="none" w:sz="0" w:space="0" w:color="auto"/>
        <w:right w:val="none" w:sz="0" w:space="0" w:color="auto"/>
      </w:divBdr>
    </w:div>
    <w:div w:id="1160006079">
      <w:bodyDiv w:val="1"/>
      <w:marLeft w:val="0"/>
      <w:marRight w:val="0"/>
      <w:marTop w:val="0"/>
      <w:marBottom w:val="0"/>
      <w:divBdr>
        <w:top w:val="none" w:sz="0" w:space="0" w:color="auto"/>
        <w:left w:val="none" w:sz="0" w:space="0" w:color="auto"/>
        <w:bottom w:val="none" w:sz="0" w:space="0" w:color="auto"/>
        <w:right w:val="none" w:sz="0" w:space="0" w:color="auto"/>
      </w:divBdr>
    </w:div>
    <w:div w:id="1160274406">
      <w:bodyDiv w:val="1"/>
      <w:marLeft w:val="0"/>
      <w:marRight w:val="0"/>
      <w:marTop w:val="0"/>
      <w:marBottom w:val="0"/>
      <w:divBdr>
        <w:top w:val="none" w:sz="0" w:space="0" w:color="auto"/>
        <w:left w:val="none" w:sz="0" w:space="0" w:color="auto"/>
        <w:bottom w:val="none" w:sz="0" w:space="0" w:color="auto"/>
        <w:right w:val="none" w:sz="0" w:space="0" w:color="auto"/>
      </w:divBdr>
    </w:div>
    <w:div w:id="1160464039">
      <w:bodyDiv w:val="1"/>
      <w:marLeft w:val="0"/>
      <w:marRight w:val="0"/>
      <w:marTop w:val="0"/>
      <w:marBottom w:val="0"/>
      <w:divBdr>
        <w:top w:val="none" w:sz="0" w:space="0" w:color="auto"/>
        <w:left w:val="none" w:sz="0" w:space="0" w:color="auto"/>
        <w:bottom w:val="none" w:sz="0" w:space="0" w:color="auto"/>
        <w:right w:val="none" w:sz="0" w:space="0" w:color="auto"/>
      </w:divBdr>
    </w:div>
    <w:div w:id="1160930162">
      <w:bodyDiv w:val="1"/>
      <w:marLeft w:val="0"/>
      <w:marRight w:val="0"/>
      <w:marTop w:val="0"/>
      <w:marBottom w:val="0"/>
      <w:divBdr>
        <w:top w:val="none" w:sz="0" w:space="0" w:color="auto"/>
        <w:left w:val="none" w:sz="0" w:space="0" w:color="auto"/>
        <w:bottom w:val="none" w:sz="0" w:space="0" w:color="auto"/>
        <w:right w:val="none" w:sz="0" w:space="0" w:color="auto"/>
      </w:divBdr>
    </w:div>
    <w:div w:id="1161577742">
      <w:bodyDiv w:val="1"/>
      <w:marLeft w:val="0"/>
      <w:marRight w:val="0"/>
      <w:marTop w:val="0"/>
      <w:marBottom w:val="0"/>
      <w:divBdr>
        <w:top w:val="none" w:sz="0" w:space="0" w:color="auto"/>
        <w:left w:val="none" w:sz="0" w:space="0" w:color="auto"/>
        <w:bottom w:val="none" w:sz="0" w:space="0" w:color="auto"/>
        <w:right w:val="none" w:sz="0" w:space="0" w:color="auto"/>
      </w:divBdr>
    </w:div>
    <w:div w:id="1162045624">
      <w:bodyDiv w:val="1"/>
      <w:marLeft w:val="0"/>
      <w:marRight w:val="0"/>
      <w:marTop w:val="0"/>
      <w:marBottom w:val="0"/>
      <w:divBdr>
        <w:top w:val="none" w:sz="0" w:space="0" w:color="auto"/>
        <w:left w:val="none" w:sz="0" w:space="0" w:color="auto"/>
        <w:bottom w:val="none" w:sz="0" w:space="0" w:color="auto"/>
        <w:right w:val="none" w:sz="0" w:space="0" w:color="auto"/>
      </w:divBdr>
    </w:div>
    <w:div w:id="1166822602">
      <w:bodyDiv w:val="1"/>
      <w:marLeft w:val="0"/>
      <w:marRight w:val="0"/>
      <w:marTop w:val="0"/>
      <w:marBottom w:val="0"/>
      <w:divBdr>
        <w:top w:val="none" w:sz="0" w:space="0" w:color="auto"/>
        <w:left w:val="none" w:sz="0" w:space="0" w:color="auto"/>
        <w:bottom w:val="none" w:sz="0" w:space="0" w:color="auto"/>
        <w:right w:val="none" w:sz="0" w:space="0" w:color="auto"/>
      </w:divBdr>
    </w:div>
    <w:div w:id="1167668632">
      <w:bodyDiv w:val="1"/>
      <w:marLeft w:val="0"/>
      <w:marRight w:val="0"/>
      <w:marTop w:val="0"/>
      <w:marBottom w:val="0"/>
      <w:divBdr>
        <w:top w:val="none" w:sz="0" w:space="0" w:color="auto"/>
        <w:left w:val="none" w:sz="0" w:space="0" w:color="auto"/>
        <w:bottom w:val="none" w:sz="0" w:space="0" w:color="auto"/>
        <w:right w:val="none" w:sz="0" w:space="0" w:color="auto"/>
      </w:divBdr>
    </w:div>
    <w:div w:id="1168208092">
      <w:bodyDiv w:val="1"/>
      <w:marLeft w:val="0"/>
      <w:marRight w:val="0"/>
      <w:marTop w:val="0"/>
      <w:marBottom w:val="0"/>
      <w:divBdr>
        <w:top w:val="none" w:sz="0" w:space="0" w:color="auto"/>
        <w:left w:val="none" w:sz="0" w:space="0" w:color="auto"/>
        <w:bottom w:val="none" w:sz="0" w:space="0" w:color="auto"/>
        <w:right w:val="none" w:sz="0" w:space="0" w:color="auto"/>
      </w:divBdr>
    </w:div>
    <w:div w:id="1171137108">
      <w:bodyDiv w:val="1"/>
      <w:marLeft w:val="0"/>
      <w:marRight w:val="0"/>
      <w:marTop w:val="0"/>
      <w:marBottom w:val="0"/>
      <w:divBdr>
        <w:top w:val="none" w:sz="0" w:space="0" w:color="auto"/>
        <w:left w:val="none" w:sz="0" w:space="0" w:color="auto"/>
        <w:bottom w:val="none" w:sz="0" w:space="0" w:color="auto"/>
        <w:right w:val="none" w:sz="0" w:space="0" w:color="auto"/>
      </w:divBdr>
    </w:div>
    <w:div w:id="1173951029">
      <w:bodyDiv w:val="1"/>
      <w:marLeft w:val="0"/>
      <w:marRight w:val="0"/>
      <w:marTop w:val="0"/>
      <w:marBottom w:val="0"/>
      <w:divBdr>
        <w:top w:val="none" w:sz="0" w:space="0" w:color="auto"/>
        <w:left w:val="none" w:sz="0" w:space="0" w:color="auto"/>
        <w:bottom w:val="none" w:sz="0" w:space="0" w:color="auto"/>
        <w:right w:val="none" w:sz="0" w:space="0" w:color="auto"/>
      </w:divBdr>
    </w:div>
    <w:div w:id="1174878236">
      <w:bodyDiv w:val="1"/>
      <w:marLeft w:val="0"/>
      <w:marRight w:val="0"/>
      <w:marTop w:val="0"/>
      <w:marBottom w:val="0"/>
      <w:divBdr>
        <w:top w:val="none" w:sz="0" w:space="0" w:color="auto"/>
        <w:left w:val="none" w:sz="0" w:space="0" w:color="auto"/>
        <w:bottom w:val="none" w:sz="0" w:space="0" w:color="auto"/>
        <w:right w:val="none" w:sz="0" w:space="0" w:color="auto"/>
      </w:divBdr>
    </w:div>
    <w:div w:id="1176462204">
      <w:bodyDiv w:val="1"/>
      <w:marLeft w:val="0"/>
      <w:marRight w:val="0"/>
      <w:marTop w:val="0"/>
      <w:marBottom w:val="0"/>
      <w:divBdr>
        <w:top w:val="none" w:sz="0" w:space="0" w:color="auto"/>
        <w:left w:val="none" w:sz="0" w:space="0" w:color="auto"/>
        <w:bottom w:val="none" w:sz="0" w:space="0" w:color="auto"/>
        <w:right w:val="none" w:sz="0" w:space="0" w:color="auto"/>
      </w:divBdr>
    </w:div>
    <w:div w:id="1181117995">
      <w:bodyDiv w:val="1"/>
      <w:marLeft w:val="0"/>
      <w:marRight w:val="0"/>
      <w:marTop w:val="0"/>
      <w:marBottom w:val="0"/>
      <w:divBdr>
        <w:top w:val="none" w:sz="0" w:space="0" w:color="auto"/>
        <w:left w:val="none" w:sz="0" w:space="0" w:color="auto"/>
        <w:bottom w:val="none" w:sz="0" w:space="0" w:color="auto"/>
        <w:right w:val="none" w:sz="0" w:space="0" w:color="auto"/>
      </w:divBdr>
    </w:div>
    <w:div w:id="1182359838">
      <w:bodyDiv w:val="1"/>
      <w:marLeft w:val="0"/>
      <w:marRight w:val="0"/>
      <w:marTop w:val="0"/>
      <w:marBottom w:val="0"/>
      <w:divBdr>
        <w:top w:val="none" w:sz="0" w:space="0" w:color="auto"/>
        <w:left w:val="none" w:sz="0" w:space="0" w:color="auto"/>
        <w:bottom w:val="none" w:sz="0" w:space="0" w:color="auto"/>
        <w:right w:val="none" w:sz="0" w:space="0" w:color="auto"/>
      </w:divBdr>
    </w:div>
    <w:div w:id="1183588984">
      <w:bodyDiv w:val="1"/>
      <w:marLeft w:val="0"/>
      <w:marRight w:val="0"/>
      <w:marTop w:val="0"/>
      <w:marBottom w:val="0"/>
      <w:divBdr>
        <w:top w:val="none" w:sz="0" w:space="0" w:color="auto"/>
        <w:left w:val="none" w:sz="0" w:space="0" w:color="auto"/>
        <w:bottom w:val="none" w:sz="0" w:space="0" w:color="auto"/>
        <w:right w:val="none" w:sz="0" w:space="0" w:color="auto"/>
      </w:divBdr>
    </w:div>
    <w:div w:id="1184326762">
      <w:bodyDiv w:val="1"/>
      <w:marLeft w:val="0"/>
      <w:marRight w:val="0"/>
      <w:marTop w:val="0"/>
      <w:marBottom w:val="0"/>
      <w:divBdr>
        <w:top w:val="none" w:sz="0" w:space="0" w:color="auto"/>
        <w:left w:val="none" w:sz="0" w:space="0" w:color="auto"/>
        <w:bottom w:val="none" w:sz="0" w:space="0" w:color="auto"/>
        <w:right w:val="none" w:sz="0" w:space="0" w:color="auto"/>
      </w:divBdr>
    </w:div>
    <w:div w:id="1185899421">
      <w:bodyDiv w:val="1"/>
      <w:marLeft w:val="0"/>
      <w:marRight w:val="0"/>
      <w:marTop w:val="0"/>
      <w:marBottom w:val="0"/>
      <w:divBdr>
        <w:top w:val="none" w:sz="0" w:space="0" w:color="auto"/>
        <w:left w:val="none" w:sz="0" w:space="0" w:color="auto"/>
        <w:bottom w:val="none" w:sz="0" w:space="0" w:color="auto"/>
        <w:right w:val="none" w:sz="0" w:space="0" w:color="auto"/>
      </w:divBdr>
    </w:div>
    <w:div w:id="1186865515">
      <w:bodyDiv w:val="1"/>
      <w:marLeft w:val="0"/>
      <w:marRight w:val="0"/>
      <w:marTop w:val="0"/>
      <w:marBottom w:val="0"/>
      <w:divBdr>
        <w:top w:val="none" w:sz="0" w:space="0" w:color="auto"/>
        <w:left w:val="none" w:sz="0" w:space="0" w:color="auto"/>
        <w:bottom w:val="none" w:sz="0" w:space="0" w:color="auto"/>
        <w:right w:val="none" w:sz="0" w:space="0" w:color="auto"/>
      </w:divBdr>
    </w:div>
    <w:div w:id="1186941800">
      <w:bodyDiv w:val="1"/>
      <w:marLeft w:val="0"/>
      <w:marRight w:val="0"/>
      <w:marTop w:val="0"/>
      <w:marBottom w:val="0"/>
      <w:divBdr>
        <w:top w:val="none" w:sz="0" w:space="0" w:color="auto"/>
        <w:left w:val="none" w:sz="0" w:space="0" w:color="auto"/>
        <w:bottom w:val="none" w:sz="0" w:space="0" w:color="auto"/>
        <w:right w:val="none" w:sz="0" w:space="0" w:color="auto"/>
      </w:divBdr>
    </w:div>
    <w:div w:id="1188761323">
      <w:bodyDiv w:val="1"/>
      <w:marLeft w:val="0"/>
      <w:marRight w:val="0"/>
      <w:marTop w:val="0"/>
      <w:marBottom w:val="0"/>
      <w:divBdr>
        <w:top w:val="none" w:sz="0" w:space="0" w:color="auto"/>
        <w:left w:val="none" w:sz="0" w:space="0" w:color="auto"/>
        <w:bottom w:val="none" w:sz="0" w:space="0" w:color="auto"/>
        <w:right w:val="none" w:sz="0" w:space="0" w:color="auto"/>
      </w:divBdr>
    </w:div>
    <w:div w:id="1190409084">
      <w:bodyDiv w:val="1"/>
      <w:marLeft w:val="0"/>
      <w:marRight w:val="0"/>
      <w:marTop w:val="0"/>
      <w:marBottom w:val="0"/>
      <w:divBdr>
        <w:top w:val="none" w:sz="0" w:space="0" w:color="auto"/>
        <w:left w:val="none" w:sz="0" w:space="0" w:color="auto"/>
        <w:bottom w:val="none" w:sz="0" w:space="0" w:color="auto"/>
        <w:right w:val="none" w:sz="0" w:space="0" w:color="auto"/>
      </w:divBdr>
    </w:div>
    <w:div w:id="1190952483">
      <w:bodyDiv w:val="1"/>
      <w:marLeft w:val="0"/>
      <w:marRight w:val="0"/>
      <w:marTop w:val="0"/>
      <w:marBottom w:val="0"/>
      <w:divBdr>
        <w:top w:val="none" w:sz="0" w:space="0" w:color="auto"/>
        <w:left w:val="none" w:sz="0" w:space="0" w:color="auto"/>
        <w:bottom w:val="none" w:sz="0" w:space="0" w:color="auto"/>
        <w:right w:val="none" w:sz="0" w:space="0" w:color="auto"/>
      </w:divBdr>
    </w:div>
    <w:div w:id="1191453198">
      <w:bodyDiv w:val="1"/>
      <w:marLeft w:val="0"/>
      <w:marRight w:val="0"/>
      <w:marTop w:val="0"/>
      <w:marBottom w:val="0"/>
      <w:divBdr>
        <w:top w:val="none" w:sz="0" w:space="0" w:color="auto"/>
        <w:left w:val="none" w:sz="0" w:space="0" w:color="auto"/>
        <w:bottom w:val="none" w:sz="0" w:space="0" w:color="auto"/>
        <w:right w:val="none" w:sz="0" w:space="0" w:color="auto"/>
      </w:divBdr>
    </w:div>
    <w:div w:id="1193111863">
      <w:bodyDiv w:val="1"/>
      <w:marLeft w:val="0"/>
      <w:marRight w:val="0"/>
      <w:marTop w:val="0"/>
      <w:marBottom w:val="0"/>
      <w:divBdr>
        <w:top w:val="none" w:sz="0" w:space="0" w:color="auto"/>
        <w:left w:val="none" w:sz="0" w:space="0" w:color="auto"/>
        <w:bottom w:val="none" w:sz="0" w:space="0" w:color="auto"/>
        <w:right w:val="none" w:sz="0" w:space="0" w:color="auto"/>
      </w:divBdr>
    </w:div>
    <w:div w:id="1193377697">
      <w:bodyDiv w:val="1"/>
      <w:marLeft w:val="0"/>
      <w:marRight w:val="0"/>
      <w:marTop w:val="0"/>
      <w:marBottom w:val="0"/>
      <w:divBdr>
        <w:top w:val="none" w:sz="0" w:space="0" w:color="auto"/>
        <w:left w:val="none" w:sz="0" w:space="0" w:color="auto"/>
        <w:bottom w:val="none" w:sz="0" w:space="0" w:color="auto"/>
        <w:right w:val="none" w:sz="0" w:space="0" w:color="auto"/>
      </w:divBdr>
    </w:div>
    <w:div w:id="1194004604">
      <w:bodyDiv w:val="1"/>
      <w:marLeft w:val="0"/>
      <w:marRight w:val="0"/>
      <w:marTop w:val="0"/>
      <w:marBottom w:val="0"/>
      <w:divBdr>
        <w:top w:val="none" w:sz="0" w:space="0" w:color="auto"/>
        <w:left w:val="none" w:sz="0" w:space="0" w:color="auto"/>
        <w:bottom w:val="none" w:sz="0" w:space="0" w:color="auto"/>
        <w:right w:val="none" w:sz="0" w:space="0" w:color="auto"/>
      </w:divBdr>
    </w:div>
    <w:div w:id="1195003695">
      <w:bodyDiv w:val="1"/>
      <w:marLeft w:val="0"/>
      <w:marRight w:val="0"/>
      <w:marTop w:val="0"/>
      <w:marBottom w:val="0"/>
      <w:divBdr>
        <w:top w:val="none" w:sz="0" w:space="0" w:color="auto"/>
        <w:left w:val="none" w:sz="0" w:space="0" w:color="auto"/>
        <w:bottom w:val="none" w:sz="0" w:space="0" w:color="auto"/>
        <w:right w:val="none" w:sz="0" w:space="0" w:color="auto"/>
      </w:divBdr>
    </w:div>
    <w:div w:id="1195340157">
      <w:bodyDiv w:val="1"/>
      <w:marLeft w:val="0"/>
      <w:marRight w:val="0"/>
      <w:marTop w:val="0"/>
      <w:marBottom w:val="0"/>
      <w:divBdr>
        <w:top w:val="none" w:sz="0" w:space="0" w:color="auto"/>
        <w:left w:val="none" w:sz="0" w:space="0" w:color="auto"/>
        <w:bottom w:val="none" w:sz="0" w:space="0" w:color="auto"/>
        <w:right w:val="none" w:sz="0" w:space="0" w:color="auto"/>
      </w:divBdr>
    </w:div>
    <w:div w:id="1195577651">
      <w:bodyDiv w:val="1"/>
      <w:marLeft w:val="0"/>
      <w:marRight w:val="0"/>
      <w:marTop w:val="0"/>
      <w:marBottom w:val="0"/>
      <w:divBdr>
        <w:top w:val="none" w:sz="0" w:space="0" w:color="auto"/>
        <w:left w:val="none" w:sz="0" w:space="0" w:color="auto"/>
        <w:bottom w:val="none" w:sz="0" w:space="0" w:color="auto"/>
        <w:right w:val="none" w:sz="0" w:space="0" w:color="auto"/>
      </w:divBdr>
    </w:div>
    <w:div w:id="1195926011">
      <w:bodyDiv w:val="1"/>
      <w:marLeft w:val="0"/>
      <w:marRight w:val="0"/>
      <w:marTop w:val="0"/>
      <w:marBottom w:val="0"/>
      <w:divBdr>
        <w:top w:val="none" w:sz="0" w:space="0" w:color="auto"/>
        <w:left w:val="none" w:sz="0" w:space="0" w:color="auto"/>
        <w:bottom w:val="none" w:sz="0" w:space="0" w:color="auto"/>
        <w:right w:val="none" w:sz="0" w:space="0" w:color="auto"/>
      </w:divBdr>
    </w:div>
    <w:div w:id="1196046170">
      <w:bodyDiv w:val="1"/>
      <w:marLeft w:val="0"/>
      <w:marRight w:val="0"/>
      <w:marTop w:val="0"/>
      <w:marBottom w:val="0"/>
      <w:divBdr>
        <w:top w:val="none" w:sz="0" w:space="0" w:color="auto"/>
        <w:left w:val="none" w:sz="0" w:space="0" w:color="auto"/>
        <w:bottom w:val="none" w:sz="0" w:space="0" w:color="auto"/>
        <w:right w:val="none" w:sz="0" w:space="0" w:color="auto"/>
      </w:divBdr>
    </w:div>
    <w:div w:id="1196579440">
      <w:bodyDiv w:val="1"/>
      <w:marLeft w:val="0"/>
      <w:marRight w:val="0"/>
      <w:marTop w:val="0"/>
      <w:marBottom w:val="0"/>
      <w:divBdr>
        <w:top w:val="none" w:sz="0" w:space="0" w:color="auto"/>
        <w:left w:val="none" w:sz="0" w:space="0" w:color="auto"/>
        <w:bottom w:val="none" w:sz="0" w:space="0" w:color="auto"/>
        <w:right w:val="none" w:sz="0" w:space="0" w:color="auto"/>
      </w:divBdr>
    </w:div>
    <w:div w:id="1197041856">
      <w:bodyDiv w:val="1"/>
      <w:marLeft w:val="0"/>
      <w:marRight w:val="0"/>
      <w:marTop w:val="0"/>
      <w:marBottom w:val="0"/>
      <w:divBdr>
        <w:top w:val="none" w:sz="0" w:space="0" w:color="auto"/>
        <w:left w:val="none" w:sz="0" w:space="0" w:color="auto"/>
        <w:bottom w:val="none" w:sz="0" w:space="0" w:color="auto"/>
        <w:right w:val="none" w:sz="0" w:space="0" w:color="auto"/>
      </w:divBdr>
    </w:div>
    <w:div w:id="1197694467">
      <w:bodyDiv w:val="1"/>
      <w:marLeft w:val="0"/>
      <w:marRight w:val="0"/>
      <w:marTop w:val="0"/>
      <w:marBottom w:val="0"/>
      <w:divBdr>
        <w:top w:val="none" w:sz="0" w:space="0" w:color="auto"/>
        <w:left w:val="none" w:sz="0" w:space="0" w:color="auto"/>
        <w:bottom w:val="none" w:sz="0" w:space="0" w:color="auto"/>
        <w:right w:val="none" w:sz="0" w:space="0" w:color="auto"/>
      </w:divBdr>
    </w:div>
    <w:div w:id="1197741428">
      <w:bodyDiv w:val="1"/>
      <w:marLeft w:val="0"/>
      <w:marRight w:val="0"/>
      <w:marTop w:val="0"/>
      <w:marBottom w:val="0"/>
      <w:divBdr>
        <w:top w:val="none" w:sz="0" w:space="0" w:color="auto"/>
        <w:left w:val="none" w:sz="0" w:space="0" w:color="auto"/>
        <w:bottom w:val="none" w:sz="0" w:space="0" w:color="auto"/>
        <w:right w:val="none" w:sz="0" w:space="0" w:color="auto"/>
      </w:divBdr>
    </w:div>
    <w:div w:id="1198353379">
      <w:bodyDiv w:val="1"/>
      <w:marLeft w:val="0"/>
      <w:marRight w:val="0"/>
      <w:marTop w:val="0"/>
      <w:marBottom w:val="0"/>
      <w:divBdr>
        <w:top w:val="none" w:sz="0" w:space="0" w:color="auto"/>
        <w:left w:val="none" w:sz="0" w:space="0" w:color="auto"/>
        <w:bottom w:val="none" w:sz="0" w:space="0" w:color="auto"/>
        <w:right w:val="none" w:sz="0" w:space="0" w:color="auto"/>
      </w:divBdr>
    </w:div>
    <w:div w:id="1203907846">
      <w:bodyDiv w:val="1"/>
      <w:marLeft w:val="0"/>
      <w:marRight w:val="0"/>
      <w:marTop w:val="0"/>
      <w:marBottom w:val="0"/>
      <w:divBdr>
        <w:top w:val="none" w:sz="0" w:space="0" w:color="auto"/>
        <w:left w:val="none" w:sz="0" w:space="0" w:color="auto"/>
        <w:bottom w:val="none" w:sz="0" w:space="0" w:color="auto"/>
        <w:right w:val="none" w:sz="0" w:space="0" w:color="auto"/>
      </w:divBdr>
    </w:div>
    <w:div w:id="1207521669">
      <w:bodyDiv w:val="1"/>
      <w:marLeft w:val="0"/>
      <w:marRight w:val="0"/>
      <w:marTop w:val="0"/>
      <w:marBottom w:val="0"/>
      <w:divBdr>
        <w:top w:val="none" w:sz="0" w:space="0" w:color="auto"/>
        <w:left w:val="none" w:sz="0" w:space="0" w:color="auto"/>
        <w:bottom w:val="none" w:sz="0" w:space="0" w:color="auto"/>
        <w:right w:val="none" w:sz="0" w:space="0" w:color="auto"/>
      </w:divBdr>
    </w:div>
    <w:div w:id="1208032692">
      <w:bodyDiv w:val="1"/>
      <w:marLeft w:val="0"/>
      <w:marRight w:val="0"/>
      <w:marTop w:val="0"/>
      <w:marBottom w:val="0"/>
      <w:divBdr>
        <w:top w:val="none" w:sz="0" w:space="0" w:color="auto"/>
        <w:left w:val="none" w:sz="0" w:space="0" w:color="auto"/>
        <w:bottom w:val="none" w:sz="0" w:space="0" w:color="auto"/>
        <w:right w:val="none" w:sz="0" w:space="0" w:color="auto"/>
      </w:divBdr>
    </w:div>
    <w:div w:id="1211697364">
      <w:bodyDiv w:val="1"/>
      <w:marLeft w:val="0"/>
      <w:marRight w:val="0"/>
      <w:marTop w:val="0"/>
      <w:marBottom w:val="0"/>
      <w:divBdr>
        <w:top w:val="none" w:sz="0" w:space="0" w:color="auto"/>
        <w:left w:val="none" w:sz="0" w:space="0" w:color="auto"/>
        <w:bottom w:val="none" w:sz="0" w:space="0" w:color="auto"/>
        <w:right w:val="none" w:sz="0" w:space="0" w:color="auto"/>
      </w:divBdr>
    </w:div>
    <w:div w:id="1212229639">
      <w:bodyDiv w:val="1"/>
      <w:marLeft w:val="0"/>
      <w:marRight w:val="0"/>
      <w:marTop w:val="0"/>
      <w:marBottom w:val="0"/>
      <w:divBdr>
        <w:top w:val="none" w:sz="0" w:space="0" w:color="auto"/>
        <w:left w:val="none" w:sz="0" w:space="0" w:color="auto"/>
        <w:bottom w:val="none" w:sz="0" w:space="0" w:color="auto"/>
        <w:right w:val="none" w:sz="0" w:space="0" w:color="auto"/>
      </w:divBdr>
    </w:div>
    <w:div w:id="1214079792">
      <w:bodyDiv w:val="1"/>
      <w:marLeft w:val="0"/>
      <w:marRight w:val="0"/>
      <w:marTop w:val="0"/>
      <w:marBottom w:val="0"/>
      <w:divBdr>
        <w:top w:val="none" w:sz="0" w:space="0" w:color="auto"/>
        <w:left w:val="none" w:sz="0" w:space="0" w:color="auto"/>
        <w:bottom w:val="none" w:sz="0" w:space="0" w:color="auto"/>
        <w:right w:val="none" w:sz="0" w:space="0" w:color="auto"/>
      </w:divBdr>
    </w:div>
    <w:div w:id="1214150003">
      <w:bodyDiv w:val="1"/>
      <w:marLeft w:val="0"/>
      <w:marRight w:val="0"/>
      <w:marTop w:val="0"/>
      <w:marBottom w:val="0"/>
      <w:divBdr>
        <w:top w:val="none" w:sz="0" w:space="0" w:color="auto"/>
        <w:left w:val="none" w:sz="0" w:space="0" w:color="auto"/>
        <w:bottom w:val="none" w:sz="0" w:space="0" w:color="auto"/>
        <w:right w:val="none" w:sz="0" w:space="0" w:color="auto"/>
      </w:divBdr>
    </w:div>
    <w:div w:id="1215654468">
      <w:bodyDiv w:val="1"/>
      <w:marLeft w:val="0"/>
      <w:marRight w:val="0"/>
      <w:marTop w:val="0"/>
      <w:marBottom w:val="0"/>
      <w:divBdr>
        <w:top w:val="none" w:sz="0" w:space="0" w:color="auto"/>
        <w:left w:val="none" w:sz="0" w:space="0" w:color="auto"/>
        <w:bottom w:val="none" w:sz="0" w:space="0" w:color="auto"/>
        <w:right w:val="none" w:sz="0" w:space="0" w:color="auto"/>
      </w:divBdr>
    </w:div>
    <w:div w:id="1217006753">
      <w:bodyDiv w:val="1"/>
      <w:marLeft w:val="0"/>
      <w:marRight w:val="0"/>
      <w:marTop w:val="0"/>
      <w:marBottom w:val="0"/>
      <w:divBdr>
        <w:top w:val="none" w:sz="0" w:space="0" w:color="auto"/>
        <w:left w:val="none" w:sz="0" w:space="0" w:color="auto"/>
        <w:bottom w:val="none" w:sz="0" w:space="0" w:color="auto"/>
        <w:right w:val="none" w:sz="0" w:space="0" w:color="auto"/>
      </w:divBdr>
    </w:div>
    <w:div w:id="1217816656">
      <w:bodyDiv w:val="1"/>
      <w:marLeft w:val="0"/>
      <w:marRight w:val="0"/>
      <w:marTop w:val="0"/>
      <w:marBottom w:val="0"/>
      <w:divBdr>
        <w:top w:val="none" w:sz="0" w:space="0" w:color="auto"/>
        <w:left w:val="none" w:sz="0" w:space="0" w:color="auto"/>
        <w:bottom w:val="none" w:sz="0" w:space="0" w:color="auto"/>
        <w:right w:val="none" w:sz="0" w:space="0" w:color="auto"/>
      </w:divBdr>
    </w:div>
    <w:div w:id="1218006212">
      <w:bodyDiv w:val="1"/>
      <w:marLeft w:val="0"/>
      <w:marRight w:val="0"/>
      <w:marTop w:val="0"/>
      <w:marBottom w:val="0"/>
      <w:divBdr>
        <w:top w:val="none" w:sz="0" w:space="0" w:color="auto"/>
        <w:left w:val="none" w:sz="0" w:space="0" w:color="auto"/>
        <w:bottom w:val="none" w:sz="0" w:space="0" w:color="auto"/>
        <w:right w:val="none" w:sz="0" w:space="0" w:color="auto"/>
      </w:divBdr>
    </w:div>
    <w:div w:id="1219979088">
      <w:bodyDiv w:val="1"/>
      <w:marLeft w:val="0"/>
      <w:marRight w:val="0"/>
      <w:marTop w:val="0"/>
      <w:marBottom w:val="0"/>
      <w:divBdr>
        <w:top w:val="none" w:sz="0" w:space="0" w:color="auto"/>
        <w:left w:val="none" w:sz="0" w:space="0" w:color="auto"/>
        <w:bottom w:val="none" w:sz="0" w:space="0" w:color="auto"/>
        <w:right w:val="none" w:sz="0" w:space="0" w:color="auto"/>
      </w:divBdr>
    </w:div>
    <w:div w:id="1220434951">
      <w:bodyDiv w:val="1"/>
      <w:marLeft w:val="0"/>
      <w:marRight w:val="0"/>
      <w:marTop w:val="0"/>
      <w:marBottom w:val="0"/>
      <w:divBdr>
        <w:top w:val="none" w:sz="0" w:space="0" w:color="auto"/>
        <w:left w:val="none" w:sz="0" w:space="0" w:color="auto"/>
        <w:bottom w:val="none" w:sz="0" w:space="0" w:color="auto"/>
        <w:right w:val="none" w:sz="0" w:space="0" w:color="auto"/>
      </w:divBdr>
    </w:div>
    <w:div w:id="1221942113">
      <w:bodyDiv w:val="1"/>
      <w:marLeft w:val="0"/>
      <w:marRight w:val="0"/>
      <w:marTop w:val="0"/>
      <w:marBottom w:val="0"/>
      <w:divBdr>
        <w:top w:val="none" w:sz="0" w:space="0" w:color="auto"/>
        <w:left w:val="none" w:sz="0" w:space="0" w:color="auto"/>
        <w:bottom w:val="none" w:sz="0" w:space="0" w:color="auto"/>
        <w:right w:val="none" w:sz="0" w:space="0" w:color="auto"/>
      </w:divBdr>
    </w:div>
    <w:div w:id="1223055708">
      <w:bodyDiv w:val="1"/>
      <w:marLeft w:val="0"/>
      <w:marRight w:val="0"/>
      <w:marTop w:val="0"/>
      <w:marBottom w:val="0"/>
      <w:divBdr>
        <w:top w:val="none" w:sz="0" w:space="0" w:color="auto"/>
        <w:left w:val="none" w:sz="0" w:space="0" w:color="auto"/>
        <w:bottom w:val="none" w:sz="0" w:space="0" w:color="auto"/>
        <w:right w:val="none" w:sz="0" w:space="0" w:color="auto"/>
      </w:divBdr>
    </w:div>
    <w:div w:id="1223561811">
      <w:bodyDiv w:val="1"/>
      <w:marLeft w:val="0"/>
      <w:marRight w:val="0"/>
      <w:marTop w:val="0"/>
      <w:marBottom w:val="0"/>
      <w:divBdr>
        <w:top w:val="none" w:sz="0" w:space="0" w:color="auto"/>
        <w:left w:val="none" w:sz="0" w:space="0" w:color="auto"/>
        <w:bottom w:val="none" w:sz="0" w:space="0" w:color="auto"/>
        <w:right w:val="none" w:sz="0" w:space="0" w:color="auto"/>
      </w:divBdr>
    </w:div>
    <w:div w:id="1226144510">
      <w:bodyDiv w:val="1"/>
      <w:marLeft w:val="0"/>
      <w:marRight w:val="0"/>
      <w:marTop w:val="0"/>
      <w:marBottom w:val="0"/>
      <w:divBdr>
        <w:top w:val="none" w:sz="0" w:space="0" w:color="auto"/>
        <w:left w:val="none" w:sz="0" w:space="0" w:color="auto"/>
        <w:bottom w:val="none" w:sz="0" w:space="0" w:color="auto"/>
        <w:right w:val="none" w:sz="0" w:space="0" w:color="auto"/>
      </w:divBdr>
    </w:div>
    <w:div w:id="1226333753">
      <w:bodyDiv w:val="1"/>
      <w:marLeft w:val="0"/>
      <w:marRight w:val="0"/>
      <w:marTop w:val="0"/>
      <w:marBottom w:val="0"/>
      <w:divBdr>
        <w:top w:val="none" w:sz="0" w:space="0" w:color="auto"/>
        <w:left w:val="none" w:sz="0" w:space="0" w:color="auto"/>
        <w:bottom w:val="none" w:sz="0" w:space="0" w:color="auto"/>
        <w:right w:val="none" w:sz="0" w:space="0" w:color="auto"/>
      </w:divBdr>
    </w:div>
    <w:div w:id="1226646438">
      <w:bodyDiv w:val="1"/>
      <w:marLeft w:val="0"/>
      <w:marRight w:val="0"/>
      <w:marTop w:val="0"/>
      <w:marBottom w:val="0"/>
      <w:divBdr>
        <w:top w:val="none" w:sz="0" w:space="0" w:color="auto"/>
        <w:left w:val="none" w:sz="0" w:space="0" w:color="auto"/>
        <w:bottom w:val="none" w:sz="0" w:space="0" w:color="auto"/>
        <w:right w:val="none" w:sz="0" w:space="0" w:color="auto"/>
      </w:divBdr>
    </w:div>
    <w:div w:id="1226985253">
      <w:bodyDiv w:val="1"/>
      <w:marLeft w:val="0"/>
      <w:marRight w:val="0"/>
      <w:marTop w:val="0"/>
      <w:marBottom w:val="0"/>
      <w:divBdr>
        <w:top w:val="none" w:sz="0" w:space="0" w:color="auto"/>
        <w:left w:val="none" w:sz="0" w:space="0" w:color="auto"/>
        <w:bottom w:val="none" w:sz="0" w:space="0" w:color="auto"/>
        <w:right w:val="none" w:sz="0" w:space="0" w:color="auto"/>
      </w:divBdr>
    </w:div>
    <w:div w:id="1227255641">
      <w:bodyDiv w:val="1"/>
      <w:marLeft w:val="0"/>
      <w:marRight w:val="0"/>
      <w:marTop w:val="0"/>
      <w:marBottom w:val="0"/>
      <w:divBdr>
        <w:top w:val="none" w:sz="0" w:space="0" w:color="auto"/>
        <w:left w:val="none" w:sz="0" w:space="0" w:color="auto"/>
        <w:bottom w:val="none" w:sz="0" w:space="0" w:color="auto"/>
        <w:right w:val="none" w:sz="0" w:space="0" w:color="auto"/>
      </w:divBdr>
    </w:div>
    <w:div w:id="1228882090">
      <w:bodyDiv w:val="1"/>
      <w:marLeft w:val="0"/>
      <w:marRight w:val="0"/>
      <w:marTop w:val="0"/>
      <w:marBottom w:val="0"/>
      <w:divBdr>
        <w:top w:val="none" w:sz="0" w:space="0" w:color="auto"/>
        <w:left w:val="none" w:sz="0" w:space="0" w:color="auto"/>
        <w:bottom w:val="none" w:sz="0" w:space="0" w:color="auto"/>
        <w:right w:val="none" w:sz="0" w:space="0" w:color="auto"/>
      </w:divBdr>
    </w:div>
    <w:div w:id="1229538373">
      <w:bodyDiv w:val="1"/>
      <w:marLeft w:val="0"/>
      <w:marRight w:val="0"/>
      <w:marTop w:val="0"/>
      <w:marBottom w:val="0"/>
      <w:divBdr>
        <w:top w:val="none" w:sz="0" w:space="0" w:color="auto"/>
        <w:left w:val="none" w:sz="0" w:space="0" w:color="auto"/>
        <w:bottom w:val="none" w:sz="0" w:space="0" w:color="auto"/>
        <w:right w:val="none" w:sz="0" w:space="0" w:color="auto"/>
      </w:divBdr>
    </w:div>
    <w:div w:id="1229608034">
      <w:bodyDiv w:val="1"/>
      <w:marLeft w:val="0"/>
      <w:marRight w:val="0"/>
      <w:marTop w:val="0"/>
      <w:marBottom w:val="0"/>
      <w:divBdr>
        <w:top w:val="none" w:sz="0" w:space="0" w:color="auto"/>
        <w:left w:val="none" w:sz="0" w:space="0" w:color="auto"/>
        <w:bottom w:val="none" w:sz="0" w:space="0" w:color="auto"/>
        <w:right w:val="none" w:sz="0" w:space="0" w:color="auto"/>
      </w:divBdr>
    </w:div>
    <w:div w:id="1229609615">
      <w:bodyDiv w:val="1"/>
      <w:marLeft w:val="0"/>
      <w:marRight w:val="0"/>
      <w:marTop w:val="0"/>
      <w:marBottom w:val="0"/>
      <w:divBdr>
        <w:top w:val="none" w:sz="0" w:space="0" w:color="auto"/>
        <w:left w:val="none" w:sz="0" w:space="0" w:color="auto"/>
        <w:bottom w:val="none" w:sz="0" w:space="0" w:color="auto"/>
        <w:right w:val="none" w:sz="0" w:space="0" w:color="auto"/>
      </w:divBdr>
    </w:div>
    <w:div w:id="1229615518">
      <w:bodyDiv w:val="1"/>
      <w:marLeft w:val="0"/>
      <w:marRight w:val="0"/>
      <w:marTop w:val="0"/>
      <w:marBottom w:val="0"/>
      <w:divBdr>
        <w:top w:val="none" w:sz="0" w:space="0" w:color="auto"/>
        <w:left w:val="none" w:sz="0" w:space="0" w:color="auto"/>
        <w:bottom w:val="none" w:sz="0" w:space="0" w:color="auto"/>
        <w:right w:val="none" w:sz="0" w:space="0" w:color="auto"/>
      </w:divBdr>
    </w:div>
    <w:div w:id="1229919955">
      <w:bodyDiv w:val="1"/>
      <w:marLeft w:val="0"/>
      <w:marRight w:val="0"/>
      <w:marTop w:val="0"/>
      <w:marBottom w:val="0"/>
      <w:divBdr>
        <w:top w:val="none" w:sz="0" w:space="0" w:color="auto"/>
        <w:left w:val="none" w:sz="0" w:space="0" w:color="auto"/>
        <w:bottom w:val="none" w:sz="0" w:space="0" w:color="auto"/>
        <w:right w:val="none" w:sz="0" w:space="0" w:color="auto"/>
      </w:divBdr>
    </w:div>
    <w:div w:id="1229999070">
      <w:bodyDiv w:val="1"/>
      <w:marLeft w:val="0"/>
      <w:marRight w:val="0"/>
      <w:marTop w:val="0"/>
      <w:marBottom w:val="0"/>
      <w:divBdr>
        <w:top w:val="none" w:sz="0" w:space="0" w:color="auto"/>
        <w:left w:val="none" w:sz="0" w:space="0" w:color="auto"/>
        <w:bottom w:val="none" w:sz="0" w:space="0" w:color="auto"/>
        <w:right w:val="none" w:sz="0" w:space="0" w:color="auto"/>
      </w:divBdr>
    </w:div>
    <w:div w:id="1231502800">
      <w:bodyDiv w:val="1"/>
      <w:marLeft w:val="0"/>
      <w:marRight w:val="0"/>
      <w:marTop w:val="0"/>
      <w:marBottom w:val="0"/>
      <w:divBdr>
        <w:top w:val="none" w:sz="0" w:space="0" w:color="auto"/>
        <w:left w:val="none" w:sz="0" w:space="0" w:color="auto"/>
        <w:bottom w:val="none" w:sz="0" w:space="0" w:color="auto"/>
        <w:right w:val="none" w:sz="0" w:space="0" w:color="auto"/>
      </w:divBdr>
    </w:div>
    <w:div w:id="1231698961">
      <w:bodyDiv w:val="1"/>
      <w:marLeft w:val="0"/>
      <w:marRight w:val="0"/>
      <w:marTop w:val="0"/>
      <w:marBottom w:val="0"/>
      <w:divBdr>
        <w:top w:val="none" w:sz="0" w:space="0" w:color="auto"/>
        <w:left w:val="none" w:sz="0" w:space="0" w:color="auto"/>
        <w:bottom w:val="none" w:sz="0" w:space="0" w:color="auto"/>
        <w:right w:val="none" w:sz="0" w:space="0" w:color="auto"/>
      </w:divBdr>
    </w:div>
    <w:div w:id="1232930202">
      <w:bodyDiv w:val="1"/>
      <w:marLeft w:val="0"/>
      <w:marRight w:val="0"/>
      <w:marTop w:val="0"/>
      <w:marBottom w:val="0"/>
      <w:divBdr>
        <w:top w:val="none" w:sz="0" w:space="0" w:color="auto"/>
        <w:left w:val="none" w:sz="0" w:space="0" w:color="auto"/>
        <w:bottom w:val="none" w:sz="0" w:space="0" w:color="auto"/>
        <w:right w:val="none" w:sz="0" w:space="0" w:color="auto"/>
      </w:divBdr>
    </w:div>
    <w:div w:id="1234464565">
      <w:bodyDiv w:val="1"/>
      <w:marLeft w:val="0"/>
      <w:marRight w:val="0"/>
      <w:marTop w:val="0"/>
      <w:marBottom w:val="0"/>
      <w:divBdr>
        <w:top w:val="none" w:sz="0" w:space="0" w:color="auto"/>
        <w:left w:val="none" w:sz="0" w:space="0" w:color="auto"/>
        <w:bottom w:val="none" w:sz="0" w:space="0" w:color="auto"/>
        <w:right w:val="none" w:sz="0" w:space="0" w:color="auto"/>
      </w:divBdr>
    </w:div>
    <w:div w:id="1234971178">
      <w:bodyDiv w:val="1"/>
      <w:marLeft w:val="0"/>
      <w:marRight w:val="0"/>
      <w:marTop w:val="0"/>
      <w:marBottom w:val="0"/>
      <w:divBdr>
        <w:top w:val="none" w:sz="0" w:space="0" w:color="auto"/>
        <w:left w:val="none" w:sz="0" w:space="0" w:color="auto"/>
        <w:bottom w:val="none" w:sz="0" w:space="0" w:color="auto"/>
        <w:right w:val="none" w:sz="0" w:space="0" w:color="auto"/>
      </w:divBdr>
    </w:div>
    <w:div w:id="1235049177">
      <w:bodyDiv w:val="1"/>
      <w:marLeft w:val="0"/>
      <w:marRight w:val="0"/>
      <w:marTop w:val="0"/>
      <w:marBottom w:val="0"/>
      <w:divBdr>
        <w:top w:val="none" w:sz="0" w:space="0" w:color="auto"/>
        <w:left w:val="none" w:sz="0" w:space="0" w:color="auto"/>
        <w:bottom w:val="none" w:sz="0" w:space="0" w:color="auto"/>
        <w:right w:val="none" w:sz="0" w:space="0" w:color="auto"/>
      </w:divBdr>
    </w:div>
    <w:div w:id="1237007481">
      <w:bodyDiv w:val="1"/>
      <w:marLeft w:val="0"/>
      <w:marRight w:val="0"/>
      <w:marTop w:val="0"/>
      <w:marBottom w:val="0"/>
      <w:divBdr>
        <w:top w:val="none" w:sz="0" w:space="0" w:color="auto"/>
        <w:left w:val="none" w:sz="0" w:space="0" w:color="auto"/>
        <w:bottom w:val="none" w:sz="0" w:space="0" w:color="auto"/>
        <w:right w:val="none" w:sz="0" w:space="0" w:color="auto"/>
      </w:divBdr>
    </w:div>
    <w:div w:id="1239751653">
      <w:bodyDiv w:val="1"/>
      <w:marLeft w:val="0"/>
      <w:marRight w:val="0"/>
      <w:marTop w:val="0"/>
      <w:marBottom w:val="0"/>
      <w:divBdr>
        <w:top w:val="none" w:sz="0" w:space="0" w:color="auto"/>
        <w:left w:val="none" w:sz="0" w:space="0" w:color="auto"/>
        <w:bottom w:val="none" w:sz="0" w:space="0" w:color="auto"/>
        <w:right w:val="none" w:sz="0" w:space="0" w:color="auto"/>
      </w:divBdr>
    </w:div>
    <w:div w:id="1241014720">
      <w:bodyDiv w:val="1"/>
      <w:marLeft w:val="0"/>
      <w:marRight w:val="0"/>
      <w:marTop w:val="0"/>
      <w:marBottom w:val="0"/>
      <w:divBdr>
        <w:top w:val="none" w:sz="0" w:space="0" w:color="auto"/>
        <w:left w:val="none" w:sz="0" w:space="0" w:color="auto"/>
        <w:bottom w:val="none" w:sz="0" w:space="0" w:color="auto"/>
        <w:right w:val="none" w:sz="0" w:space="0" w:color="auto"/>
      </w:divBdr>
    </w:div>
    <w:div w:id="1241869018">
      <w:bodyDiv w:val="1"/>
      <w:marLeft w:val="0"/>
      <w:marRight w:val="0"/>
      <w:marTop w:val="0"/>
      <w:marBottom w:val="0"/>
      <w:divBdr>
        <w:top w:val="none" w:sz="0" w:space="0" w:color="auto"/>
        <w:left w:val="none" w:sz="0" w:space="0" w:color="auto"/>
        <w:bottom w:val="none" w:sz="0" w:space="0" w:color="auto"/>
        <w:right w:val="none" w:sz="0" w:space="0" w:color="auto"/>
      </w:divBdr>
    </w:div>
    <w:div w:id="1242837003">
      <w:bodyDiv w:val="1"/>
      <w:marLeft w:val="0"/>
      <w:marRight w:val="0"/>
      <w:marTop w:val="0"/>
      <w:marBottom w:val="0"/>
      <w:divBdr>
        <w:top w:val="none" w:sz="0" w:space="0" w:color="auto"/>
        <w:left w:val="none" w:sz="0" w:space="0" w:color="auto"/>
        <w:bottom w:val="none" w:sz="0" w:space="0" w:color="auto"/>
        <w:right w:val="none" w:sz="0" w:space="0" w:color="auto"/>
      </w:divBdr>
    </w:div>
    <w:div w:id="1243569236">
      <w:bodyDiv w:val="1"/>
      <w:marLeft w:val="0"/>
      <w:marRight w:val="0"/>
      <w:marTop w:val="0"/>
      <w:marBottom w:val="0"/>
      <w:divBdr>
        <w:top w:val="none" w:sz="0" w:space="0" w:color="auto"/>
        <w:left w:val="none" w:sz="0" w:space="0" w:color="auto"/>
        <w:bottom w:val="none" w:sz="0" w:space="0" w:color="auto"/>
        <w:right w:val="none" w:sz="0" w:space="0" w:color="auto"/>
      </w:divBdr>
    </w:div>
    <w:div w:id="1244295788">
      <w:bodyDiv w:val="1"/>
      <w:marLeft w:val="0"/>
      <w:marRight w:val="0"/>
      <w:marTop w:val="0"/>
      <w:marBottom w:val="0"/>
      <w:divBdr>
        <w:top w:val="none" w:sz="0" w:space="0" w:color="auto"/>
        <w:left w:val="none" w:sz="0" w:space="0" w:color="auto"/>
        <w:bottom w:val="none" w:sz="0" w:space="0" w:color="auto"/>
        <w:right w:val="none" w:sz="0" w:space="0" w:color="auto"/>
      </w:divBdr>
    </w:div>
    <w:div w:id="1244412387">
      <w:bodyDiv w:val="1"/>
      <w:marLeft w:val="0"/>
      <w:marRight w:val="0"/>
      <w:marTop w:val="0"/>
      <w:marBottom w:val="0"/>
      <w:divBdr>
        <w:top w:val="none" w:sz="0" w:space="0" w:color="auto"/>
        <w:left w:val="none" w:sz="0" w:space="0" w:color="auto"/>
        <w:bottom w:val="none" w:sz="0" w:space="0" w:color="auto"/>
        <w:right w:val="none" w:sz="0" w:space="0" w:color="auto"/>
      </w:divBdr>
    </w:div>
    <w:div w:id="1244951781">
      <w:bodyDiv w:val="1"/>
      <w:marLeft w:val="0"/>
      <w:marRight w:val="0"/>
      <w:marTop w:val="0"/>
      <w:marBottom w:val="0"/>
      <w:divBdr>
        <w:top w:val="none" w:sz="0" w:space="0" w:color="auto"/>
        <w:left w:val="none" w:sz="0" w:space="0" w:color="auto"/>
        <w:bottom w:val="none" w:sz="0" w:space="0" w:color="auto"/>
        <w:right w:val="none" w:sz="0" w:space="0" w:color="auto"/>
      </w:divBdr>
    </w:div>
    <w:div w:id="1248346292">
      <w:bodyDiv w:val="1"/>
      <w:marLeft w:val="0"/>
      <w:marRight w:val="0"/>
      <w:marTop w:val="0"/>
      <w:marBottom w:val="0"/>
      <w:divBdr>
        <w:top w:val="none" w:sz="0" w:space="0" w:color="auto"/>
        <w:left w:val="none" w:sz="0" w:space="0" w:color="auto"/>
        <w:bottom w:val="none" w:sz="0" w:space="0" w:color="auto"/>
        <w:right w:val="none" w:sz="0" w:space="0" w:color="auto"/>
      </w:divBdr>
    </w:div>
    <w:div w:id="1249466395">
      <w:bodyDiv w:val="1"/>
      <w:marLeft w:val="0"/>
      <w:marRight w:val="0"/>
      <w:marTop w:val="0"/>
      <w:marBottom w:val="0"/>
      <w:divBdr>
        <w:top w:val="none" w:sz="0" w:space="0" w:color="auto"/>
        <w:left w:val="none" w:sz="0" w:space="0" w:color="auto"/>
        <w:bottom w:val="none" w:sz="0" w:space="0" w:color="auto"/>
        <w:right w:val="none" w:sz="0" w:space="0" w:color="auto"/>
      </w:divBdr>
    </w:div>
    <w:div w:id="1250196621">
      <w:bodyDiv w:val="1"/>
      <w:marLeft w:val="0"/>
      <w:marRight w:val="0"/>
      <w:marTop w:val="0"/>
      <w:marBottom w:val="0"/>
      <w:divBdr>
        <w:top w:val="none" w:sz="0" w:space="0" w:color="auto"/>
        <w:left w:val="none" w:sz="0" w:space="0" w:color="auto"/>
        <w:bottom w:val="none" w:sz="0" w:space="0" w:color="auto"/>
        <w:right w:val="none" w:sz="0" w:space="0" w:color="auto"/>
      </w:divBdr>
    </w:div>
    <w:div w:id="1250771945">
      <w:bodyDiv w:val="1"/>
      <w:marLeft w:val="0"/>
      <w:marRight w:val="0"/>
      <w:marTop w:val="0"/>
      <w:marBottom w:val="0"/>
      <w:divBdr>
        <w:top w:val="none" w:sz="0" w:space="0" w:color="auto"/>
        <w:left w:val="none" w:sz="0" w:space="0" w:color="auto"/>
        <w:bottom w:val="none" w:sz="0" w:space="0" w:color="auto"/>
        <w:right w:val="none" w:sz="0" w:space="0" w:color="auto"/>
      </w:divBdr>
    </w:div>
    <w:div w:id="1251767839">
      <w:bodyDiv w:val="1"/>
      <w:marLeft w:val="0"/>
      <w:marRight w:val="0"/>
      <w:marTop w:val="0"/>
      <w:marBottom w:val="0"/>
      <w:divBdr>
        <w:top w:val="none" w:sz="0" w:space="0" w:color="auto"/>
        <w:left w:val="none" w:sz="0" w:space="0" w:color="auto"/>
        <w:bottom w:val="none" w:sz="0" w:space="0" w:color="auto"/>
        <w:right w:val="none" w:sz="0" w:space="0" w:color="auto"/>
      </w:divBdr>
    </w:div>
    <w:div w:id="1252812738">
      <w:bodyDiv w:val="1"/>
      <w:marLeft w:val="0"/>
      <w:marRight w:val="0"/>
      <w:marTop w:val="0"/>
      <w:marBottom w:val="0"/>
      <w:divBdr>
        <w:top w:val="none" w:sz="0" w:space="0" w:color="auto"/>
        <w:left w:val="none" w:sz="0" w:space="0" w:color="auto"/>
        <w:bottom w:val="none" w:sz="0" w:space="0" w:color="auto"/>
        <w:right w:val="none" w:sz="0" w:space="0" w:color="auto"/>
      </w:divBdr>
    </w:div>
    <w:div w:id="1253929186">
      <w:bodyDiv w:val="1"/>
      <w:marLeft w:val="0"/>
      <w:marRight w:val="0"/>
      <w:marTop w:val="0"/>
      <w:marBottom w:val="0"/>
      <w:divBdr>
        <w:top w:val="none" w:sz="0" w:space="0" w:color="auto"/>
        <w:left w:val="none" w:sz="0" w:space="0" w:color="auto"/>
        <w:bottom w:val="none" w:sz="0" w:space="0" w:color="auto"/>
        <w:right w:val="none" w:sz="0" w:space="0" w:color="auto"/>
      </w:divBdr>
    </w:div>
    <w:div w:id="1254122199">
      <w:bodyDiv w:val="1"/>
      <w:marLeft w:val="0"/>
      <w:marRight w:val="0"/>
      <w:marTop w:val="0"/>
      <w:marBottom w:val="0"/>
      <w:divBdr>
        <w:top w:val="none" w:sz="0" w:space="0" w:color="auto"/>
        <w:left w:val="none" w:sz="0" w:space="0" w:color="auto"/>
        <w:bottom w:val="none" w:sz="0" w:space="0" w:color="auto"/>
        <w:right w:val="none" w:sz="0" w:space="0" w:color="auto"/>
      </w:divBdr>
    </w:div>
    <w:div w:id="1254431831">
      <w:bodyDiv w:val="1"/>
      <w:marLeft w:val="0"/>
      <w:marRight w:val="0"/>
      <w:marTop w:val="0"/>
      <w:marBottom w:val="0"/>
      <w:divBdr>
        <w:top w:val="none" w:sz="0" w:space="0" w:color="auto"/>
        <w:left w:val="none" w:sz="0" w:space="0" w:color="auto"/>
        <w:bottom w:val="none" w:sz="0" w:space="0" w:color="auto"/>
        <w:right w:val="none" w:sz="0" w:space="0" w:color="auto"/>
      </w:divBdr>
    </w:div>
    <w:div w:id="1255431910">
      <w:bodyDiv w:val="1"/>
      <w:marLeft w:val="0"/>
      <w:marRight w:val="0"/>
      <w:marTop w:val="0"/>
      <w:marBottom w:val="0"/>
      <w:divBdr>
        <w:top w:val="none" w:sz="0" w:space="0" w:color="auto"/>
        <w:left w:val="none" w:sz="0" w:space="0" w:color="auto"/>
        <w:bottom w:val="none" w:sz="0" w:space="0" w:color="auto"/>
        <w:right w:val="none" w:sz="0" w:space="0" w:color="auto"/>
      </w:divBdr>
    </w:div>
    <w:div w:id="1256786793">
      <w:bodyDiv w:val="1"/>
      <w:marLeft w:val="0"/>
      <w:marRight w:val="0"/>
      <w:marTop w:val="0"/>
      <w:marBottom w:val="0"/>
      <w:divBdr>
        <w:top w:val="none" w:sz="0" w:space="0" w:color="auto"/>
        <w:left w:val="none" w:sz="0" w:space="0" w:color="auto"/>
        <w:bottom w:val="none" w:sz="0" w:space="0" w:color="auto"/>
        <w:right w:val="none" w:sz="0" w:space="0" w:color="auto"/>
      </w:divBdr>
    </w:div>
    <w:div w:id="1259022866">
      <w:bodyDiv w:val="1"/>
      <w:marLeft w:val="0"/>
      <w:marRight w:val="0"/>
      <w:marTop w:val="0"/>
      <w:marBottom w:val="0"/>
      <w:divBdr>
        <w:top w:val="none" w:sz="0" w:space="0" w:color="auto"/>
        <w:left w:val="none" w:sz="0" w:space="0" w:color="auto"/>
        <w:bottom w:val="none" w:sz="0" w:space="0" w:color="auto"/>
        <w:right w:val="none" w:sz="0" w:space="0" w:color="auto"/>
      </w:divBdr>
    </w:div>
    <w:div w:id="1259559830">
      <w:bodyDiv w:val="1"/>
      <w:marLeft w:val="0"/>
      <w:marRight w:val="0"/>
      <w:marTop w:val="0"/>
      <w:marBottom w:val="0"/>
      <w:divBdr>
        <w:top w:val="none" w:sz="0" w:space="0" w:color="auto"/>
        <w:left w:val="none" w:sz="0" w:space="0" w:color="auto"/>
        <w:bottom w:val="none" w:sz="0" w:space="0" w:color="auto"/>
        <w:right w:val="none" w:sz="0" w:space="0" w:color="auto"/>
      </w:divBdr>
    </w:div>
    <w:div w:id="1259631304">
      <w:bodyDiv w:val="1"/>
      <w:marLeft w:val="0"/>
      <w:marRight w:val="0"/>
      <w:marTop w:val="0"/>
      <w:marBottom w:val="0"/>
      <w:divBdr>
        <w:top w:val="none" w:sz="0" w:space="0" w:color="auto"/>
        <w:left w:val="none" w:sz="0" w:space="0" w:color="auto"/>
        <w:bottom w:val="none" w:sz="0" w:space="0" w:color="auto"/>
        <w:right w:val="none" w:sz="0" w:space="0" w:color="auto"/>
      </w:divBdr>
    </w:div>
    <w:div w:id="1260406599">
      <w:bodyDiv w:val="1"/>
      <w:marLeft w:val="0"/>
      <w:marRight w:val="0"/>
      <w:marTop w:val="0"/>
      <w:marBottom w:val="0"/>
      <w:divBdr>
        <w:top w:val="none" w:sz="0" w:space="0" w:color="auto"/>
        <w:left w:val="none" w:sz="0" w:space="0" w:color="auto"/>
        <w:bottom w:val="none" w:sz="0" w:space="0" w:color="auto"/>
        <w:right w:val="none" w:sz="0" w:space="0" w:color="auto"/>
      </w:divBdr>
    </w:div>
    <w:div w:id="1261530050">
      <w:bodyDiv w:val="1"/>
      <w:marLeft w:val="0"/>
      <w:marRight w:val="0"/>
      <w:marTop w:val="0"/>
      <w:marBottom w:val="0"/>
      <w:divBdr>
        <w:top w:val="none" w:sz="0" w:space="0" w:color="auto"/>
        <w:left w:val="none" w:sz="0" w:space="0" w:color="auto"/>
        <w:bottom w:val="none" w:sz="0" w:space="0" w:color="auto"/>
        <w:right w:val="none" w:sz="0" w:space="0" w:color="auto"/>
      </w:divBdr>
    </w:div>
    <w:div w:id="1261641659">
      <w:bodyDiv w:val="1"/>
      <w:marLeft w:val="0"/>
      <w:marRight w:val="0"/>
      <w:marTop w:val="0"/>
      <w:marBottom w:val="0"/>
      <w:divBdr>
        <w:top w:val="none" w:sz="0" w:space="0" w:color="auto"/>
        <w:left w:val="none" w:sz="0" w:space="0" w:color="auto"/>
        <w:bottom w:val="none" w:sz="0" w:space="0" w:color="auto"/>
        <w:right w:val="none" w:sz="0" w:space="0" w:color="auto"/>
      </w:divBdr>
    </w:div>
    <w:div w:id="1261837949">
      <w:bodyDiv w:val="1"/>
      <w:marLeft w:val="0"/>
      <w:marRight w:val="0"/>
      <w:marTop w:val="0"/>
      <w:marBottom w:val="0"/>
      <w:divBdr>
        <w:top w:val="none" w:sz="0" w:space="0" w:color="auto"/>
        <w:left w:val="none" w:sz="0" w:space="0" w:color="auto"/>
        <w:bottom w:val="none" w:sz="0" w:space="0" w:color="auto"/>
        <w:right w:val="none" w:sz="0" w:space="0" w:color="auto"/>
      </w:divBdr>
    </w:div>
    <w:div w:id="1262377135">
      <w:bodyDiv w:val="1"/>
      <w:marLeft w:val="0"/>
      <w:marRight w:val="0"/>
      <w:marTop w:val="0"/>
      <w:marBottom w:val="0"/>
      <w:divBdr>
        <w:top w:val="none" w:sz="0" w:space="0" w:color="auto"/>
        <w:left w:val="none" w:sz="0" w:space="0" w:color="auto"/>
        <w:bottom w:val="none" w:sz="0" w:space="0" w:color="auto"/>
        <w:right w:val="none" w:sz="0" w:space="0" w:color="auto"/>
      </w:divBdr>
    </w:div>
    <w:div w:id="1265652407">
      <w:bodyDiv w:val="1"/>
      <w:marLeft w:val="0"/>
      <w:marRight w:val="0"/>
      <w:marTop w:val="0"/>
      <w:marBottom w:val="0"/>
      <w:divBdr>
        <w:top w:val="none" w:sz="0" w:space="0" w:color="auto"/>
        <w:left w:val="none" w:sz="0" w:space="0" w:color="auto"/>
        <w:bottom w:val="none" w:sz="0" w:space="0" w:color="auto"/>
        <w:right w:val="none" w:sz="0" w:space="0" w:color="auto"/>
      </w:divBdr>
    </w:div>
    <w:div w:id="1266616261">
      <w:bodyDiv w:val="1"/>
      <w:marLeft w:val="0"/>
      <w:marRight w:val="0"/>
      <w:marTop w:val="0"/>
      <w:marBottom w:val="0"/>
      <w:divBdr>
        <w:top w:val="none" w:sz="0" w:space="0" w:color="auto"/>
        <w:left w:val="none" w:sz="0" w:space="0" w:color="auto"/>
        <w:bottom w:val="none" w:sz="0" w:space="0" w:color="auto"/>
        <w:right w:val="none" w:sz="0" w:space="0" w:color="auto"/>
      </w:divBdr>
    </w:div>
    <w:div w:id="1266621646">
      <w:bodyDiv w:val="1"/>
      <w:marLeft w:val="0"/>
      <w:marRight w:val="0"/>
      <w:marTop w:val="0"/>
      <w:marBottom w:val="0"/>
      <w:divBdr>
        <w:top w:val="none" w:sz="0" w:space="0" w:color="auto"/>
        <w:left w:val="none" w:sz="0" w:space="0" w:color="auto"/>
        <w:bottom w:val="none" w:sz="0" w:space="0" w:color="auto"/>
        <w:right w:val="none" w:sz="0" w:space="0" w:color="auto"/>
      </w:divBdr>
    </w:div>
    <w:div w:id="1266890338">
      <w:bodyDiv w:val="1"/>
      <w:marLeft w:val="0"/>
      <w:marRight w:val="0"/>
      <w:marTop w:val="0"/>
      <w:marBottom w:val="0"/>
      <w:divBdr>
        <w:top w:val="none" w:sz="0" w:space="0" w:color="auto"/>
        <w:left w:val="none" w:sz="0" w:space="0" w:color="auto"/>
        <w:bottom w:val="none" w:sz="0" w:space="0" w:color="auto"/>
        <w:right w:val="none" w:sz="0" w:space="0" w:color="auto"/>
      </w:divBdr>
    </w:div>
    <w:div w:id="1269118504">
      <w:bodyDiv w:val="1"/>
      <w:marLeft w:val="0"/>
      <w:marRight w:val="0"/>
      <w:marTop w:val="0"/>
      <w:marBottom w:val="0"/>
      <w:divBdr>
        <w:top w:val="none" w:sz="0" w:space="0" w:color="auto"/>
        <w:left w:val="none" w:sz="0" w:space="0" w:color="auto"/>
        <w:bottom w:val="none" w:sz="0" w:space="0" w:color="auto"/>
        <w:right w:val="none" w:sz="0" w:space="0" w:color="auto"/>
      </w:divBdr>
    </w:div>
    <w:div w:id="1269509167">
      <w:bodyDiv w:val="1"/>
      <w:marLeft w:val="0"/>
      <w:marRight w:val="0"/>
      <w:marTop w:val="0"/>
      <w:marBottom w:val="0"/>
      <w:divBdr>
        <w:top w:val="none" w:sz="0" w:space="0" w:color="auto"/>
        <w:left w:val="none" w:sz="0" w:space="0" w:color="auto"/>
        <w:bottom w:val="none" w:sz="0" w:space="0" w:color="auto"/>
        <w:right w:val="none" w:sz="0" w:space="0" w:color="auto"/>
      </w:divBdr>
    </w:div>
    <w:div w:id="1269705221">
      <w:bodyDiv w:val="1"/>
      <w:marLeft w:val="0"/>
      <w:marRight w:val="0"/>
      <w:marTop w:val="0"/>
      <w:marBottom w:val="0"/>
      <w:divBdr>
        <w:top w:val="none" w:sz="0" w:space="0" w:color="auto"/>
        <w:left w:val="none" w:sz="0" w:space="0" w:color="auto"/>
        <w:bottom w:val="none" w:sz="0" w:space="0" w:color="auto"/>
        <w:right w:val="none" w:sz="0" w:space="0" w:color="auto"/>
      </w:divBdr>
    </w:div>
    <w:div w:id="1269896352">
      <w:bodyDiv w:val="1"/>
      <w:marLeft w:val="0"/>
      <w:marRight w:val="0"/>
      <w:marTop w:val="0"/>
      <w:marBottom w:val="0"/>
      <w:divBdr>
        <w:top w:val="none" w:sz="0" w:space="0" w:color="auto"/>
        <w:left w:val="none" w:sz="0" w:space="0" w:color="auto"/>
        <w:bottom w:val="none" w:sz="0" w:space="0" w:color="auto"/>
        <w:right w:val="none" w:sz="0" w:space="0" w:color="auto"/>
      </w:divBdr>
    </w:div>
    <w:div w:id="1271277402">
      <w:bodyDiv w:val="1"/>
      <w:marLeft w:val="0"/>
      <w:marRight w:val="0"/>
      <w:marTop w:val="0"/>
      <w:marBottom w:val="0"/>
      <w:divBdr>
        <w:top w:val="none" w:sz="0" w:space="0" w:color="auto"/>
        <w:left w:val="none" w:sz="0" w:space="0" w:color="auto"/>
        <w:bottom w:val="none" w:sz="0" w:space="0" w:color="auto"/>
        <w:right w:val="none" w:sz="0" w:space="0" w:color="auto"/>
      </w:divBdr>
    </w:div>
    <w:div w:id="1271619309">
      <w:bodyDiv w:val="1"/>
      <w:marLeft w:val="0"/>
      <w:marRight w:val="0"/>
      <w:marTop w:val="0"/>
      <w:marBottom w:val="0"/>
      <w:divBdr>
        <w:top w:val="none" w:sz="0" w:space="0" w:color="auto"/>
        <w:left w:val="none" w:sz="0" w:space="0" w:color="auto"/>
        <w:bottom w:val="none" w:sz="0" w:space="0" w:color="auto"/>
        <w:right w:val="none" w:sz="0" w:space="0" w:color="auto"/>
      </w:divBdr>
    </w:div>
    <w:div w:id="1272056496">
      <w:bodyDiv w:val="1"/>
      <w:marLeft w:val="0"/>
      <w:marRight w:val="0"/>
      <w:marTop w:val="0"/>
      <w:marBottom w:val="0"/>
      <w:divBdr>
        <w:top w:val="none" w:sz="0" w:space="0" w:color="auto"/>
        <w:left w:val="none" w:sz="0" w:space="0" w:color="auto"/>
        <w:bottom w:val="none" w:sz="0" w:space="0" w:color="auto"/>
        <w:right w:val="none" w:sz="0" w:space="0" w:color="auto"/>
      </w:divBdr>
    </w:div>
    <w:div w:id="1272855096">
      <w:bodyDiv w:val="1"/>
      <w:marLeft w:val="0"/>
      <w:marRight w:val="0"/>
      <w:marTop w:val="0"/>
      <w:marBottom w:val="0"/>
      <w:divBdr>
        <w:top w:val="none" w:sz="0" w:space="0" w:color="auto"/>
        <w:left w:val="none" w:sz="0" w:space="0" w:color="auto"/>
        <w:bottom w:val="none" w:sz="0" w:space="0" w:color="auto"/>
        <w:right w:val="none" w:sz="0" w:space="0" w:color="auto"/>
      </w:divBdr>
    </w:div>
    <w:div w:id="1273200066">
      <w:bodyDiv w:val="1"/>
      <w:marLeft w:val="0"/>
      <w:marRight w:val="0"/>
      <w:marTop w:val="0"/>
      <w:marBottom w:val="0"/>
      <w:divBdr>
        <w:top w:val="none" w:sz="0" w:space="0" w:color="auto"/>
        <w:left w:val="none" w:sz="0" w:space="0" w:color="auto"/>
        <w:bottom w:val="none" w:sz="0" w:space="0" w:color="auto"/>
        <w:right w:val="none" w:sz="0" w:space="0" w:color="auto"/>
      </w:divBdr>
    </w:div>
    <w:div w:id="1273367596">
      <w:bodyDiv w:val="1"/>
      <w:marLeft w:val="0"/>
      <w:marRight w:val="0"/>
      <w:marTop w:val="0"/>
      <w:marBottom w:val="0"/>
      <w:divBdr>
        <w:top w:val="none" w:sz="0" w:space="0" w:color="auto"/>
        <w:left w:val="none" w:sz="0" w:space="0" w:color="auto"/>
        <w:bottom w:val="none" w:sz="0" w:space="0" w:color="auto"/>
        <w:right w:val="none" w:sz="0" w:space="0" w:color="auto"/>
      </w:divBdr>
    </w:div>
    <w:div w:id="1273391943">
      <w:bodyDiv w:val="1"/>
      <w:marLeft w:val="0"/>
      <w:marRight w:val="0"/>
      <w:marTop w:val="0"/>
      <w:marBottom w:val="0"/>
      <w:divBdr>
        <w:top w:val="none" w:sz="0" w:space="0" w:color="auto"/>
        <w:left w:val="none" w:sz="0" w:space="0" w:color="auto"/>
        <w:bottom w:val="none" w:sz="0" w:space="0" w:color="auto"/>
        <w:right w:val="none" w:sz="0" w:space="0" w:color="auto"/>
      </w:divBdr>
    </w:div>
    <w:div w:id="1274677708">
      <w:bodyDiv w:val="1"/>
      <w:marLeft w:val="0"/>
      <w:marRight w:val="0"/>
      <w:marTop w:val="0"/>
      <w:marBottom w:val="0"/>
      <w:divBdr>
        <w:top w:val="none" w:sz="0" w:space="0" w:color="auto"/>
        <w:left w:val="none" w:sz="0" w:space="0" w:color="auto"/>
        <w:bottom w:val="none" w:sz="0" w:space="0" w:color="auto"/>
        <w:right w:val="none" w:sz="0" w:space="0" w:color="auto"/>
      </w:divBdr>
    </w:div>
    <w:div w:id="1274942546">
      <w:bodyDiv w:val="1"/>
      <w:marLeft w:val="0"/>
      <w:marRight w:val="0"/>
      <w:marTop w:val="0"/>
      <w:marBottom w:val="0"/>
      <w:divBdr>
        <w:top w:val="none" w:sz="0" w:space="0" w:color="auto"/>
        <w:left w:val="none" w:sz="0" w:space="0" w:color="auto"/>
        <w:bottom w:val="none" w:sz="0" w:space="0" w:color="auto"/>
        <w:right w:val="none" w:sz="0" w:space="0" w:color="auto"/>
      </w:divBdr>
    </w:div>
    <w:div w:id="1275016949">
      <w:bodyDiv w:val="1"/>
      <w:marLeft w:val="0"/>
      <w:marRight w:val="0"/>
      <w:marTop w:val="0"/>
      <w:marBottom w:val="0"/>
      <w:divBdr>
        <w:top w:val="none" w:sz="0" w:space="0" w:color="auto"/>
        <w:left w:val="none" w:sz="0" w:space="0" w:color="auto"/>
        <w:bottom w:val="none" w:sz="0" w:space="0" w:color="auto"/>
        <w:right w:val="none" w:sz="0" w:space="0" w:color="auto"/>
      </w:divBdr>
    </w:div>
    <w:div w:id="1276017040">
      <w:bodyDiv w:val="1"/>
      <w:marLeft w:val="0"/>
      <w:marRight w:val="0"/>
      <w:marTop w:val="0"/>
      <w:marBottom w:val="0"/>
      <w:divBdr>
        <w:top w:val="none" w:sz="0" w:space="0" w:color="auto"/>
        <w:left w:val="none" w:sz="0" w:space="0" w:color="auto"/>
        <w:bottom w:val="none" w:sz="0" w:space="0" w:color="auto"/>
        <w:right w:val="none" w:sz="0" w:space="0" w:color="auto"/>
      </w:divBdr>
    </w:div>
    <w:div w:id="1276788264">
      <w:bodyDiv w:val="1"/>
      <w:marLeft w:val="0"/>
      <w:marRight w:val="0"/>
      <w:marTop w:val="0"/>
      <w:marBottom w:val="0"/>
      <w:divBdr>
        <w:top w:val="none" w:sz="0" w:space="0" w:color="auto"/>
        <w:left w:val="none" w:sz="0" w:space="0" w:color="auto"/>
        <w:bottom w:val="none" w:sz="0" w:space="0" w:color="auto"/>
        <w:right w:val="none" w:sz="0" w:space="0" w:color="auto"/>
      </w:divBdr>
    </w:div>
    <w:div w:id="1278292327">
      <w:bodyDiv w:val="1"/>
      <w:marLeft w:val="0"/>
      <w:marRight w:val="0"/>
      <w:marTop w:val="0"/>
      <w:marBottom w:val="0"/>
      <w:divBdr>
        <w:top w:val="none" w:sz="0" w:space="0" w:color="auto"/>
        <w:left w:val="none" w:sz="0" w:space="0" w:color="auto"/>
        <w:bottom w:val="none" w:sz="0" w:space="0" w:color="auto"/>
        <w:right w:val="none" w:sz="0" w:space="0" w:color="auto"/>
      </w:divBdr>
    </w:div>
    <w:div w:id="1278878364">
      <w:bodyDiv w:val="1"/>
      <w:marLeft w:val="0"/>
      <w:marRight w:val="0"/>
      <w:marTop w:val="0"/>
      <w:marBottom w:val="0"/>
      <w:divBdr>
        <w:top w:val="none" w:sz="0" w:space="0" w:color="auto"/>
        <w:left w:val="none" w:sz="0" w:space="0" w:color="auto"/>
        <w:bottom w:val="none" w:sz="0" w:space="0" w:color="auto"/>
        <w:right w:val="none" w:sz="0" w:space="0" w:color="auto"/>
      </w:divBdr>
    </w:div>
    <w:div w:id="1279138140">
      <w:bodyDiv w:val="1"/>
      <w:marLeft w:val="0"/>
      <w:marRight w:val="0"/>
      <w:marTop w:val="0"/>
      <w:marBottom w:val="0"/>
      <w:divBdr>
        <w:top w:val="none" w:sz="0" w:space="0" w:color="auto"/>
        <w:left w:val="none" w:sz="0" w:space="0" w:color="auto"/>
        <w:bottom w:val="none" w:sz="0" w:space="0" w:color="auto"/>
        <w:right w:val="none" w:sz="0" w:space="0" w:color="auto"/>
      </w:divBdr>
    </w:div>
    <w:div w:id="1281257297">
      <w:bodyDiv w:val="1"/>
      <w:marLeft w:val="0"/>
      <w:marRight w:val="0"/>
      <w:marTop w:val="0"/>
      <w:marBottom w:val="0"/>
      <w:divBdr>
        <w:top w:val="none" w:sz="0" w:space="0" w:color="auto"/>
        <w:left w:val="none" w:sz="0" w:space="0" w:color="auto"/>
        <w:bottom w:val="none" w:sz="0" w:space="0" w:color="auto"/>
        <w:right w:val="none" w:sz="0" w:space="0" w:color="auto"/>
      </w:divBdr>
    </w:div>
    <w:div w:id="1281260657">
      <w:bodyDiv w:val="1"/>
      <w:marLeft w:val="0"/>
      <w:marRight w:val="0"/>
      <w:marTop w:val="0"/>
      <w:marBottom w:val="0"/>
      <w:divBdr>
        <w:top w:val="none" w:sz="0" w:space="0" w:color="auto"/>
        <w:left w:val="none" w:sz="0" w:space="0" w:color="auto"/>
        <w:bottom w:val="none" w:sz="0" w:space="0" w:color="auto"/>
        <w:right w:val="none" w:sz="0" w:space="0" w:color="auto"/>
      </w:divBdr>
    </w:div>
    <w:div w:id="1282148465">
      <w:bodyDiv w:val="1"/>
      <w:marLeft w:val="0"/>
      <w:marRight w:val="0"/>
      <w:marTop w:val="0"/>
      <w:marBottom w:val="0"/>
      <w:divBdr>
        <w:top w:val="none" w:sz="0" w:space="0" w:color="auto"/>
        <w:left w:val="none" w:sz="0" w:space="0" w:color="auto"/>
        <w:bottom w:val="none" w:sz="0" w:space="0" w:color="auto"/>
        <w:right w:val="none" w:sz="0" w:space="0" w:color="auto"/>
      </w:divBdr>
    </w:div>
    <w:div w:id="1284538091">
      <w:bodyDiv w:val="1"/>
      <w:marLeft w:val="0"/>
      <w:marRight w:val="0"/>
      <w:marTop w:val="0"/>
      <w:marBottom w:val="0"/>
      <w:divBdr>
        <w:top w:val="none" w:sz="0" w:space="0" w:color="auto"/>
        <w:left w:val="none" w:sz="0" w:space="0" w:color="auto"/>
        <w:bottom w:val="none" w:sz="0" w:space="0" w:color="auto"/>
        <w:right w:val="none" w:sz="0" w:space="0" w:color="auto"/>
      </w:divBdr>
    </w:div>
    <w:div w:id="1285693895">
      <w:bodyDiv w:val="1"/>
      <w:marLeft w:val="0"/>
      <w:marRight w:val="0"/>
      <w:marTop w:val="0"/>
      <w:marBottom w:val="0"/>
      <w:divBdr>
        <w:top w:val="none" w:sz="0" w:space="0" w:color="auto"/>
        <w:left w:val="none" w:sz="0" w:space="0" w:color="auto"/>
        <w:bottom w:val="none" w:sz="0" w:space="0" w:color="auto"/>
        <w:right w:val="none" w:sz="0" w:space="0" w:color="auto"/>
      </w:divBdr>
    </w:div>
    <w:div w:id="1286354229">
      <w:bodyDiv w:val="1"/>
      <w:marLeft w:val="0"/>
      <w:marRight w:val="0"/>
      <w:marTop w:val="0"/>
      <w:marBottom w:val="0"/>
      <w:divBdr>
        <w:top w:val="none" w:sz="0" w:space="0" w:color="auto"/>
        <w:left w:val="none" w:sz="0" w:space="0" w:color="auto"/>
        <w:bottom w:val="none" w:sz="0" w:space="0" w:color="auto"/>
        <w:right w:val="none" w:sz="0" w:space="0" w:color="auto"/>
      </w:divBdr>
    </w:div>
    <w:div w:id="1286472533">
      <w:bodyDiv w:val="1"/>
      <w:marLeft w:val="0"/>
      <w:marRight w:val="0"/>
      <w:marTop w:val="0"/>
      <w:marBottom w:val="0"/>
      <w:divBdr>
        <w:top w:val="none" w:sz="0" w:space="0" w:color="auto"/>
        <w:left w:val="none" w:sz="0" w:space="0" w:color="auto"/>
        <w:bottom w:val="none" w:sz="0" w:space="0" w:color="auto"/>
        <w:right w:val="none" w:sz="0" w:space="0" w:color="auto"/>
      </w:divBdr>
    </w:div>
    <w:div w:id="1289975139">
      <w:bodyDiv w:val="1"/>
      <w:marLeft w:val="0"/>
      <w:marRight w:val="0"/>
      <w:marTop w:val="0"/>
      <w:marBottom w:val="0"/>
      <w:divBdr>
        <w:top w:val="none" w:sz="0" w:space="0" w:color="auto"/>
        <w:left w:val="none" w:sz="0" w:space="0" w:color="auto"/>
        <w:bottom w:val="none" w:sz="0" w:space="0" w:color="auto"/>
        <w:right w:val="none" w:sz="0" w:space="0" w:color="auto"/>
      </w:divBdr>
    </w:div>
    <w:div w:id="1290210843">
      <w:bodyDiv w:val="1"/>
      <w:marLeft w:val="0"/>
      <w:marRight w:val="0"/>
      <w:marTop w:val="0"/>
      <w:marBottom w:val="0"/>
      <w:divBdr>
        <w:top w:val="none" w:sz="0" w:space="0" w:color="auto"/>
        <w:left w:val="none" w:sz="0" w:space="0" w:color="auto"/>
        <w:bottom w:val="none" w:sz="0" w:space="0" w:color="auto"/>
        <w:right w:val="none" w:sz="0" w:space="0" w:color="auto"/>
      </w:divBdr>
    </w:div>
    <w:div w:id="1290211649">
      <w:bodyDiv w:val="1"/>
      <w:marLeft w:val="0"/>
      <w:marRight w:val="0"/>
      <w:marTop w:val="0"/>
      <w:marBottom w:val="0"/>
      <w:divBdr>
        <w:top w:val="none" w:sz="0" w:space="0" w:color="auto"/>
        <w:left w:val="none" w:sz="0" w:space="0" w:color="auto"/>
        <w:bottom w:val="none" w:sz="0" w:space="0" w:color="auto"/>
        <w:right w:val="none" w:sz="0" w:space="0" w:color="auto"/>
      </w:divBdr>
    </w:div>
    <w:div w:id="1290278359">
      <w:bodyDiv w:val="1"/>
      <w:marLeft w:val="0"/>
      <w:marRight w:val="0"/>
      <w:marTop w:val="0"/>
      <w:marBottom w:val="0"/>
      <w:divBdr>
        <w:top w:val="none" w:sz="0" w:space="0" w:color="auto"/>
        <w:left w:val="none" w:sz="0" w:space="0" w:color="auto"/>
        <w:bottom w:val="none" w:sz="0" w:space="0" w:color="auto"/>
        <w:right w:val="none" w:sz="0" w:space="0" w:color="auto"/>
      </w:divBdr>
    </w:div>
    <w:div w:id="1290623359">
      <w:bodyDiv w:val="1"/>
      <w:marLeft w:val="0"/>
      <w:marRight w:val="0"/>
      <w:marTop w:val="0"/>
      <w:marBottom w:val="0"/>
      <w:divBdr>
        <w:top w:val="none" w:sz="0" w:space="0" w:color="auto"/>
        <w:left w:val="none" w:sz="0" w:space="0" w:color="auto"/>
        <w:bottom w:val="none" w:sz="0" w:space="0" w:color="auto"/>
        <w:right w:val="none" w:sz="0" w:space="0" w:color="auto"/>
      </w:divBdr>
    </w:div>
    <w:div w:id="1291015665">
      <w:bodyDiv w:val="1"/>
      <w:marLeft w:val="0"/>
      <w:marRight w:val="0"/>
      <w:marTop w:val="0"/>
      <w:marBottom w:val="0"/>
      <w:divBdr>
        <w:top w:val="none" w:sz="0" w:space="0" w:color="auto"/>
        <w:left w:val="none" w:sz="0" w:space="0" w:color="auto"/>
        <w:bottom w:val="none" w:sz="0" w:space="0" w:color="auto"/>
        <w:right w:val="none" w:sz="0" w:space="0" w:color="auto"/>
      </w:divBdr>
    </w:div>
    <w:div w:id="1291672653">
      <w:bodyDiv w:val="1"/>
      <w:marLeft w:val="0"/>
      <w:marRight w:val="0"/>
      <w:marTop w:val="0"/>
      <w:marBottom w:val="0"/>
      <w:divBdr>
        <w:top w:val="none" w:sz="0" w:space="0" w:color="auto"/>
        <w:left w:val="none" w:sz="0" w:space="0" w:color="auto"/>
        <w:bottom w:val="none" w:sz="0" w:space="0" w:color="auto"/>
        <w:right w:val="none" w:sz="0" w:space="0" w:color="auto"/>
      </w:divBdr>
    </w:div>
    <w:div w:id="1292513940">
      <w:bodyDiv w:val="1"/>
      <w:marLeft w:val="0"/>
      <w:marRight w:val="0"/>
      <w:marTop w:val="0"/>
      <w:marBottom w:val="0"/>
      <w:divBdr>
        <w:top w:val="none" w:sz="0" w:space="0" w:color="auto"/>
        <w:left w:val="none" w:sz="0" w:space="0" w:color="auto"/>
        <w:bottom w:val="none" w:sz="0" w:space="0" w:color="auto"/>
        <w:right w:val="none" w:sz="0" w:space="0" w:color="auto"/>
      </w:divBdr>
    </w:div>
    <w:div w:id="1295285876">
      <w:bodyDiv w:val="1"/>
      <w:marLeft w:val="0"/>
      <w:marRight w:val="0"/>
      <w:marTop w:val="0"/>
      <w:marBottom w:val="0"/>
      <w:divBdr>
        <w:top w:val="none" w:sz="0" w:space="0" w:color="auto"/>
        <w:left w:val="none" w:sz="0" w:space="0" w:color="auto"/>
        <w:bottom w:val="none" w:sz="0" w:space="0" w:color="auto"/>
        <w:right w:val="none" w:sz="0" w:space="0" w:color="auto"/>
      </w:divBdr>
    </w:div>
    <w:div w:id="1295795308">
      <w:bodyDiv w:val="1"/>
      <w:marLeft w:val="0"/>
      <w:marRight w:val="0"/>
      <w:marTop w:val="0"/>
      <w:marBottom w:val="0"/>
      <w:divBdr>
        <w:top w:val="none" w:sz="0" w:space="0" w:color="auto"/>
        <w:left w:val="none" w:sz="0" w:space="0" w:color="auto"/>
        <w:bottom w:val="none" w:sz="0" w:space="0" w:color="auto"/>
        <w:right w:val="none" w:sz="0" w:space="0" w:color="auto"/>
      </w:divBdr>
    </w:div>
    <w:div w:id="1296327875">
      <w:bodyDiv w:val="1"/>
      <w:marLeft w:val="0"/>
      <w:marRight w:val="0"/>
      <w:marTop w:val="0"/>
      <w:marBottom w:val="0"/>
      <w:divBdr>
        <w:top w:val="none" w:sz="0" w:space="0" w:color="auto"/>
        <w:left w:val="none" w:sz="0" w:space="0" w:color="auto"/>
        <w:bottom w:val="none" w:sz="0" w:space="0" w:color="auto"/>
        <w:right w:val="none" w:sz="0" w:space="0" w:color="auto"/>
      </w:divBdr>
    </w:div>
    <w:div w:id="1296452657">
      <w:bodyDiv w:val="1"/>
      <w:marLeft w:val="0"/>
      <w:marRight w:val="0"/>
      <w:marTop w:val="0"/>
      <w:marBottom w:val="0"/>
      <w:divBdr>
        <w:top w:val="none" w:sz="0" w:space="0" w:color="auto"/>
        <w:left w:val="none" w:sz="0" w:space="0" w:color="auto"/>
        <w:bottom w:val="none" w:sz="0" w:space="0" w:color="auto"/>
        <w:right w:val="none" w:sz="0" w:space="0" w:color="auto"/>
      </w:divBdr>
    </w:div>
    <w:div w:id="1298337156">
      <w:bodyDiv w:val="1"/>
      <w:marLeft w:val="0"/>
      <w:marRight w:val="0"/>
      <w:marTop w:val="0"/>
      <w:marBottom w:val="0"/>
      <w:divBdr>
        <w:top w:val="none" w:sz="0" w:space="0" w:color="auto"/>
        <w:left w:val="none" w:sz="0" w:space="0" w:color="auto"/>
        <w:bottom w:val="none" w:sz="0" w:space="0" w:color="auto"/>
        <w:right w:val="none" w:sz="0" w:space="0" w:color="auto"/>
      </w:divBdr>
    </w:div>
    <w:div w:id="1298796286">
      <w:bodyDiv w:val="1"/>
      <w:marLeft w:val="0"/>
      <w:marRight w:val="0"/>
      <w:marTop w:val="0"/>
      <w:marBottom w:val="0"/>
      <w:divBdr>
        <w:top w:val="none" w:sz="0" w:space="0" w:color="auto"/>
        <w:left w:val="none" w:sz="0" w:space="0" w:color="auto"/>
        <w:bottom w:val="none" w:sz="0" w:space="0" w:color="auto"/>
        <w:right w:val="none" w:sz="0" w:space="0" w:color="auto"/>
      </w:divBdr>
    </w:div>
    <w:div w:id="1299413792">
      <w:bodyDiv w:val="1"/>
      <w:marLeft w:val="0"/>
      <w:marRight w:val="0"/>
      <w:marTop w:val="0"/>
      <w:marBottom w:val="0"/>
      <w:divBdr>
        <w:top w:val="none" w:sz="0" w:space="0" w:color="auto"/>
        <w:left w:val="none" w:sz="0" w:space="0" w:color="auto"/>
        <w:bottom w:val="none" w:sz="0" w:space="0" w:color="auto"/>
        <w:right w:val="none" w:sz="0" w:space="0" w:color="auto"/>
      </w:divBdr>
    </w:div>
    <w:div w:id="1300921413">
      <w:bodyDiv w:val="1"/>
      <w:marLeft w:val="0"/>
      <w:marRight w:val="0"/>
      <w:marTop w:val="0"/>
      <w:marBottom w:val="0"/>
      <w:divBdr>
        <w:top w:val="none" w:sz="0" w:space="0" w:color="auto"/>
        <w:left w:val="none" w:sz="0" w:space="0" w:color="auto"/>
        <w:bottom w:val="none" w:sz="0" w:space="0" w:color="auto"/>
        <w:right w:val="none" w:sz="0" w:space="0" w:color="auto"/>
      </w:divBdr>
    </w:div>
    <w:div w:id="1301423434">
      <w:bodyDiv w:val="1"/>
      <w:marLeft w:val="0"/>
      <w:marRight w:val="0"/>
      <w:marTop w:val="0"/>
      <w:marBottom w:val="0"/>
      <w:divBdr>
        <w:top w:val="none" w:sz="0" w:space="0" w:color="auto"/>
        <w:left w:val="none" w:sz="0" w:space="0" w:color="auto"/>
        <w:bottom w:val="none" w:sz="0" w:space="0" w:color="auto"/>
        <w:right w:val="none" w:sz="0" w:space="0" w:color="auto"/>
      </w:divBdr>
    </w:div>
    <w:div w:id="1301762578">
      <w:bodyDiv w:val="1"/>
      <w:marLeft w:val="0"/>
      <w:marRight w:val="0"/>
      <w:marTop w:val="0"/>
      <w:marBottom w:val="0"/>
      <w:divBdr>
        <w:top w:val="none" w:sz="0" w:space="0" w:color="auto"/>
        <w:left w:val="none" w:sz="0" w:space="0" w:color="auto"/>
        <w:bottom w:val="none" w:sz="0" w:space="0" w:color="auto"/>
        <w:right w:val="none" w:sz="0" w:space="0" w:color="auto"/>
      </w:divBdr>
    </w:div>
    <w:div w:id="1301768064">
      <w:bodyDiv w:val="1"/>
      <w:marLeft w:val="0"/>
      <w:marRight w:val="0"/>
      <w:marTop w:val="0"/>
      <w:marBottom w:val="0"/>
      <w:divBdr>
        <w:top w:val="none" w:sz="0" w:space="0" w:color="auto"/>
        <w:left w:val="none" w:sz="0" w:space="0" w:color="auto"/>
        <w:bottom w:val="none" w:sz="0" w:space="0" w:color="auto"/>
        <w:right w:val="none" w:sz="0" w:space="0" w:color="auto"/>
      </w:divBdr>
    </w:div>
    <w:div w:id="1301813083">
      <w:bodyDiv w:val="1"/>
      <w:marLeft w:val="0"/>
      <w:marRight w:val="0"/>
      <w:marTop w:val="0"/>
      <w:marBottom w:val="0"/>
      <w:divBdr>
        <w:top w:val="none" w:sz="0" w:space="0" w:color="auto"/>
        <w:left w:val="none" w:sz="0" w:space="0" w:color="auto"/>
        <w:bottom w:val="none" w:sz="0" w:space="0" w:color="auto"/>
        <w:right w:val="none" w:sz="0" w:space="0" w:color="auto"/>
      </w:divBdr>
    </w:div>
    <w:div w:id="1302493962">
      <w:bodyDiv w:val="1"/>
      <w:marLeft w:val="0"/>
      <w:marRight w:val="0"/>
      <w:marTop w:val="0"/>
      <w:marBottom w:val="0"/>
      <w:divBdr>
        <w:top w:val="none" w:sz="0" w:space="0" w:color="auto"/>
        <w:left w:val="none" w:sz="0" w:space="0" w:color="auto"/>
        <w:bottom w:val="none" w:sz="0" w:space="0" w:color="auto"/>
        <w:right w:val="none" w:sz="0" w:space="0" w:color="auto"/>
      </w:divBdr>
    </w:div>
    <w:div w:id="1302541386">
      <w:bodyDiv w:val="1"/>
      <w:marLeft w:val="0"/>
      <w:marRight w:val="0"/>
      <w:marTop w:val="0"/>
      <w:marBottom w:val="0"/>
      <w:divBdr>
        <w:top w:val="none" w:sz="0" w:space="0" w:color="auto"/>
        <w:left w:val="none" w:sz="0" w:space="0" w:color="auto"/>
        <w:bottom w:val="none" w:sz="0" w:space="0" w:color="auto"/>
        <w:right w:val="none" w:sz="0" w:space="0" w:color="auto"/>
      </w:divBdr>
    </w:div>
    <w:div w:id="1302880179">
      <w:bodyDiv w:val="1"/>
      <w:marLeft w:val="0"/>
      <w:marRight w:val="0"/>
      <w:marTop w:val="0"/>
      <w:marBottom w:val="0"/>
      <w:divBdr>
        <w:top w:val="none" w:sz="0" w:space="0" w:color="auto"/>
        <w:left w:val="none" w:sz="0" w:space="0" w:color="auto"/>
        <w:bottom w:val="none" w:sz="0" w:space="0" w:color="auto"/>
        <w:right w:val="none" w:sz="0" w:space="0" w:color="auto"/>
      </w:divBdr>
    </w:div>
    <w:div w:id="1303268446">
      <w:bodyDiv w:val="1"/>
      <w:marLeft w:val="0"/>
      <w:marRight w:val="0"/>
      <w:marTop w:val="0"/>
      <w:marBottom w:val="0"/>
      <w:divBdr>
        <w:top w:val="none" w:sz="0" w:space="0" w:color="auto"/>
        <w:left w:val="none" w:sz="0" w:space="0" w:color="auto"/>
        <w:bottom w:val="none" w:sz="0" w:space="0" w:color="auto"/>
        <w:right w:val="none" w:sz="0" w:space="0" w:color="auto"/>
      </w:divBdr>
    </w:div>
    <w:div w:id="1304582533">
      <w:bodyDiv w:val="1"/>
      <w:marLeft w:val="0"/>
      <w:marRight w:val="0"/>
      <w:marTop w:val="0"/>
      <w:marBottom w:val="0"/>
      <w:divBdr>
        <w:top w:val="none" w:sz="0" w:space="0" w:color="auto"/>
        <w:left w:val="none" w:sz="0" w:space="0" w:color="auto"/>
        <w:bottom w:val="none" w:sz="0" w:space="0" w:color="auto"/>
        <w:right w:val="none" w:sz="0" w:space="0" w:color="auto"/>
      </w:divBdr>
    </w:div>
    <w:div w:id="1304776823">
      <w:bodyDiv w:val="1"/>
      <w:marLeft w:val="0"/>
      <w:marRight w:val="0"/>
      <w:marTop w:val="0"/>
      <w:marBottom w:val="0"/>
      <w:divBdr>
        <w:top w:val="none" w:sz="0" w:space="0" w:color="auto"/>
        <w:left w:val="none" w:sz="0" w:space="0" w:color="auto"/>
        <w:bottom w:val="none" w:sz="0" w:space="0" w:color="auto"/>
        <w:right w:val="none" w:sz="0" w:space="0" w:color="auto"/>
      </w:divBdr>
    </w:div>
    <w:div w:id="1305114478">
      <w:bodyDiv w:val="1"/>
      <w:marLeft w:val="0"/>
      <w:marRight w:val="0"/>
      <w:marTop w:val="0"/>
      <w:marBottom w:val="0"/>
      <w:divBdr>
        <w:top w:val="none" w:sz="0" w:space="0" w:color="auto"/>
        <w:left w:val="none" w:sz="0" w:space="0" w:color="auto"/>
        <w:bottom w:val="none" w:sz="0" w:space="0" w:color="auto"/>
        <w:right w:val="none" w:sz="0" w:space="0" w:color="auto"/>
      </w:divBdr>
    </w:div>
    <w:div w:id="1306004558">
      <w:bodyDiv w:val="1"/>
      <w:marLeft w:val="0"/>
      <w:marRight w:val="0"/>
      <w:marTop w:val="0"/>
      <w:marBottom w:val="0"/>
      <w:divBdr>
        <w:top w:val="none" w:sz="0" w:space="0" w:color="auto"/>
        <w:left w:val="none" w:sz="0" w:space="0" w:color="auto"/>
        <w:bottom w:val="none" w:sz="0" w:space="0" w:color="auto"/>
        <w:right w:val="none" w:sz="0" w:space="0" w:color="auto"/>
      </w:divBdr>
    </w:div>
    <w:div w:id="1307932228">
      <w:bodyDiv w:val="1"/>
      <w:marLeft w:val="0"/>
      <w:marRight w:val="0"/>
      <w:marTop w:val="0"/>
      <w:marBottom w:val="0"/>
      <w:divBdr>
        <w:top w:val="none" w:sz="0" w:space="0" w:color="auto"/>
        <w:left w:val="none" w:sz="0" w:space="0" w:color="auto"/>
        <w:bottom w:val="none" w:sz="0" w:space="0" w:color="auto"/>
        <w:right w:val="none" w:sz="0" w:space="0" w:color="auto"/>
      </w:divBdr>
    </w:div>
    <w:div w:id="1309364631">
      <w:bodyDiv w:val="1"/>
      <w:marLeft w:val="0"/>
      <w:marRight w:val="0"/>
      <w:marTop w:val="0"/>
      <w:marBottom w:val="0"/>
      <w:divBdr>
        <w:top w:val="none" w:sz="0" w:space="0" w:color="auto"/>
        <w:left w:val="none" w:sz="0" w:space="0" w:color="auto"/>
        <w:bottom w:val="none" w:sz="0" w:space="0" w:color="auto"/>
        <w:right w:val="none" w:sz="0" w:space="0" w:color="auto"/>
      </w:divBdr>
    </w:div>
    <w:div w:id="1310399938">
      <w:bodyDiv w:val="1"/>
      <w:marLeft w:val="0"/>
      <w:marRight w:val="0"/>
      <w:marTop w:val="0"/>
      <w:marBottom w:val="0"/>
      <w:divBdr>
        <w:top w:val="none" w:sz="0" w:space="0" w:color="auto"/>
        <w:left w:val="none" w:sz="0" w:space="0" w:color="auto"/>
        <w:bottom w:val="none" w:sz="0" w:space="0" w:color="auto"/>
        <w:right w:val="none" w:sz="0" w:space="0" w:color="auto"/>
      </w:divBdr>
    </w:div>
    <w:div w:id="1310591651">
      <w:bodyDiv w:val="1"/>
      <w:marLeft w:val="0"/>
      <w:marRight w:val="0"/>
      <w:marTop w:val="0"/>
      <w:marBottom w:val="0"/>
      <w:divBdr>
        <w:top w:val="none" w:sz="0" w:space="0" w:color="auto"/>
        <w:left w:val="none" w:sz="0" w:space="0" w:color="auto"/>
        <w:bottom w:val="none" w:sz="0" w:space="0" w:color="auto"/>
        <w:right w:val="none" w:sz="0" w:space="0" w:color="auto"/>
      </w:divBdr>
    </w:div>
    <w:div w:id="1311062151">
      <w:bodyDiv w:val="1"/>
      <w:marLeft w:val="0"/>
      <w:marRight w:val="0"/>
      <w:marTop w:val="0"/>
      <w:marBottom w:val="0"/>
      <w:divBdr>
        <w:top w:val="none" w:sz="0" w:space="0" w:color="auto"/>
        <w:left w:val="none" w:sz="0" w:space="0" w:color="auto"/>
        <w:bottom w:val="none" w:sz="0" w:space="0" w:color="auto"/>
        <w:right w:val="none" w:sz="0" w:space="0" w:color="auto"/>
      </w:divBdr>
    </w:div>
    <w:div w:id="1311516052">
      <w:bodyDiv w:val="1"/>
      <w:marLeft w:val="0"/>
      <w:marRight w:val="0"/>
      <w:marTop w:val="0"/>
      <w:marBottom w:val="0"/>
      <w:divBdr>
        <w:top w:val="none" w:sz="0" w:space="0" w:color="auto"/>
        <w:left w:val="none" w:sz="0" w:space="0" w:color="auto"/>
        <w:bottom w:val="none" w:sz="0" w:space="0" w:color="auto"/>
        <w:right w:val="none" w:sz="0" w:space="0" w:color="auto"/>
      </w:divBdr>
    </w:div>
    <w:div w:id="1311593961">
      <w:bodyDiv w:val="1"/>
      <w:marLeft w:val="0"/>
      <w:marRight w:val="0"/>
      <w:marTop w:val="0"/>
      <w:marBottom w:val="0"/>
      <w:divBdr>
        <w:top w:val="none" w:sz="0" w:space="0" w:color="auto"/>
        <w:left w:val="none" w:sz="0" w:space="0" w:color="auto"/>
        <w:bottom w:val="none" w:sz="0" w:space="0" w:color="auto"/>
        <w:right w:val="none" w:sz="0" w:space="0" w:color="auto"/>
      </w:divBdr>
    </w:div>
    <w:div w:id="1311907751">
      <w:bodyDiv w:val="1"/>
      <w:marLeft w:val="0"/>
      <w:marRight w:val="0"/>
      <w:marTop w:val="0"/>
      <w:marBottom w:val="0"/>
      <w:divBdr>
        <w:top w:val="none" w:sz="0" w:space="0" w:color="auto"/>
        <w:left w:val="none" w:sz="0" w:space="0" w:color="auto"/>
        <w:bottom w:val="none" w:sz="0" w:space="0" w:color="auto"/>
        <w:right w:val="none" w:sz="0" w:space="0" w:color="auto"/>
      </w:divBdr>
    </w:div>
    <w:div w:id="1314023982">
      <w:bodyDiv w:val="1"/>
      <w:marLeft w:val="0"/>
      <w:marRight w:val="0"/>
      <w:marTop w:val="0"/>
      <w:marBottom w:val="0"/>
      <w:divBdr>
        <w:top w:val="none" w:sz="0" w:space="0" w:color="auto"/>
        <w:left w:val="none" w:sz="0" w:space="0" w:color="auto"/>
        <w:bottom w:val="none" w:sz="0" w:space="0" w:color="auto"/>
        <w:right w:val="none" w:sz="0" w:space="0" w:color="auto"/>
      </w:divBdr>
    </w:div>
    <w:div w:id="1316375379">
      <w:bodyDiv w:val="1"/>
      <w:marLeft w:val="0"/>
      <w:marRight w:val="0"/>
      <w:marTop w:val="0"/>
      <w:marBottom w:val="0"/>
      <w:divBdr>
        <w:top w:val="none" w:sz="0" w:space="0" w:color="auto"/>
        <w:left w:val="none" w:sz="0" w:space="0" w:color="auto"/>
        <w:bottom w:val="none" w:sz="0" w:space="0" w:color="auto"/>
        <w:right w:val="none" w:sz="0" w:space="0" w:color="auto"/>
      </w:divBdr>
    </w:div>
    <w:div w:id="1316951450">
      <w:bodyDiv w:val="1"/>
      <w:marLeft w:val="0"/>
      <w:marRight w:val="0"/>
      <w:marTop w:val="0"/>
      <w:marBottom w:val="0"/>
      <w:divBdr>
        <w:top w:val="none" w:sz="0" w:space="0" w:color="auto"/>
        <w:left w:val="none" w:sz="0" w:space="0" w:color="auto"/>
        <w:bottom w:val="none" w:sz="0" w:space="0" w:color="auto"/>
        <w:right w:val="none" w:sz="0" w:space="0" w:color="auto"/>
      </w:divBdr>
    </w:div>
    <w:div w:id="1317685646">
      <w:bodyDiv w:val="1"/>
      <w:marLeft w:val="0"/>
      <w:marRight w:val="0"/>
      <w:marTop w:val="0"/>
      <w:marBottom w:val="0"/>
      <w:divBdr>
        <w:top w:val="none" w:sz="0" w:space="0" w:color="auto"/>
        <w:left w:val="none" w:sz="0" w:space="0" w:color="auto"/>
        <w:bottom w:val="none" w:sz="0" w:space="0" w:color="auto"/>
        <w:right w:val="none" w:sz="0" w:space="0" w:color="auto"/>
      </w:divBdr>
    </w:div>
    <w:div w:id="1318222918">
      <w:bodyDiv w:val="1"/>
      <w:marLeft w:val="0"/>
      <w:marRight w:val="0"/>
      <w:marTop w:val="0"/>
      <w:marBottom w:val="0"/>
      <w:divBdr>
        <w:top w:val="none" w:sz="0" w:space="0" w:color="auto"/>
        <w:left w:val="none" w:sz="0" w:space="0" w:color="auto"/>
        <w:bottom w:val="none" w:sz="0" w:space="0" w:color="auto"/>
        <w:right w:val="none" w:sz="0" w:space="0" w:color="auto"/>
      </w:divBdr>
    </w:div>
    <w:div w:id="1318266171">
      <w:bodyDiv w:val="1"/>
      <w:marLeft w:val="0"/>
      <w:marRight w:val="0"/>
      <w:marTop w:val="0"/>
      <w:marBottom w:val="0"/>
      <w:divBdr>
        <w:top w:val="none" w:sz="0" w:space="0" w:color="auto"/>
        <w:left w:val="none" w:sz="0" w:space="0" w:color="auto"/>
        <w:bottom w:val="none" w:sz="0" w:space="0" w:color="auto"/>
        <w:right w:val="none" w:sz="0" w:space="0" w:color="auto"/>
      </w:divBdr>
    </w:div>
    <w:div w:id="1318339670">
      <w:bodyDiv w:val="1"/>
      <w:marLeft w:val="0"/>
      <w:marRight w:val="0"/>
      <w:marTop w:val="0"/>
      <w:marBottom w:val="0"/>
      <w:divBdr>
        <w:top w:val="none" w:sz="0" w:space="0" w:color="auto"/>
        <w:left w:val="none" w:sz="0" w:space="0" w:color="auto"/>
        <w:bottom w:val="none" w:sz="0" w:space="0" w:color="auto"/>
        <w:right w:val="none" w:sz="0" w:space="0" w:color="auto"/>
      </w:divBdr>
    </w:div>
    <w:div w:id="1319504621">
      <w:bodyDiv w:val="1"/>
      <w:marLeft w:val="0"/>
      <w:marRight w:val="0"/>
      <w:marTop w:val="0"/>
      <w:marBottom w:val="0"/>
      <w:divBdr>
        <w:top w:val="none" w:sz="0" w:space="0" w:color="auto"/>
        <w:left w:val="none" w:sz="0" w:space="0" w:color="auto"/>
        <w:bottom w:val="none" w:sz="0" w:space="0" w:color="auto"/>
        <w:right w:val="none" w:sz="0" w:space="0" w:color="auto"/>
      </w:divBdr>
    </w:div>
    <w:div w:id="1320112742">
      <w:bodyDiv w:val="1"/>
      <w:marLeft w:val="0"/>
      <w:marRight w:val="0"/>
      <w:marTop w:val="0"/>
      <w:marBottom w:val="0"/>
      <w:divBdr>
        <w:top w:val="none" w:sz="0" w:space="0" w:color="auto"/>
        <w:left w:val="none" w:sz="0" w:space="0" w:color="auto"/>
        <w:bottom w:val="none" w:sz="0" w:space="0" w:color="auto"/>
        <w:right w:val="none" w:sz="0" w:space="0" w:color="auto"/>
      </w:divBdr>
    </w:div>
    <w:div w:id="1320770138">
      <w:bodyDiv w:val="1"/>
      <w:marLeft w:val="0"/>
      <w:marRight w:val="0"/>
      <w:marTop w:val="0"/>
      <w:marBottom w:val="0"/>
      <w:divBdr>
        <w:top w:val="none" w:sz="0" w:space="0" w:color="auto"/>
        <w:left w:val="none" w:sz="0" w:space="0" w:color="auto"/>
        <w:bottom w:val="none" w:sz="0" w:space="0" w:color="auto"/>
        <w:right w:val="none" w:sz="0" w:space="0" w:color="auto"/>
      </w:divBdr>
    </w:div>
    <w:div w:id="1321620436">
      <w:bodyDiv w:val="1"/>
      <w:marLeft w:val="0"/>
      <w:marRight w:val="0"/>
      <w:marTop w:val="0"/>
      <w:marBottom w:val="0"/>
      <w:divBdr>
        <w:top w:val="none" w:sz="0" w:space="0" w:color="auto"/>
        <w:left w:val="none" w:sz="0" w:space="0" w:color="auto"/>
        <w:bottom w:val="none" w:sz="0" w:space="0" w:color="auto"/>
        <w:right w:val="none" w:sz="0" w:space="0" w:color="auto"/>
      </w:divBdr>
    </w:div>
    <w:div w:id="1322077226">
      <w:bodyDiv w:val="1"/>
      <w:marLeft w:val="0"/>
      <w:marRight w:val="0"/>
      <w:marTop w:val="0"/>
      <w:marBottom w:val="0"/>
      <w:divBdr>
        <w:top w:val="none" w:sz="0" w:space="0" w:color="auto"/>
        <w:left w:val="none" w:sz="0" w:space="0" w:color="auto"/>
        <w:bottom w:val="none" w:sz="0" w:space="0" w:color="auto"/>
        <w:right w:val="none" w:sz="0" w:space="0" w:color="auto"/>
      </w:divBdr>
    </w:div>
    <w:div w:id="1322344665">
      <w:bodyDiv w:val="1"/>
      <w:marLeft w:val="0"/>
      <w:marRight w:val="0"/>
      <w:marTop w:val="0"/>
      <w:marBottom w:val="0"/>
      <w:divBdr>
        <w:top w:val="none" w:sz="0" w:space="0" w:color="auto"/>
        <w:left w:val="none" w:sz="0" w:space="0" w:color="auto"/>
        <w:bottom w:val="none" w:sz="0" w:space="0" w:color="auto"/>
        <w:right w:val="none" w:sz="0" w:space="0" w:color="auto"/>
      </w:divBdr>
    </w:div>
    <w:div w:id="1323201172">
      <w:bodyDiv w:val="1"/>
      <w:marLeft w:val="0"/>
      <w:marRight w:val="0"/>
      <w:marTop w:val="0"/>
      <w:marBottom w:val="0"/>
      <w:divBdr>
        <w:top w:val="none" w:sz="0" w:space="0" w:color="auto"/>
        <w:left w:val="none" w:sz="0" w:space="0" w:color="auto"/>
        <w:bottom w:val="none" w:sz="0" w:space="0" w:color="auto"/>
        <w:right w:val="none" w:sz="0" w:space="0" w:color="auto"/>
      </w:divBdr>
    </w:div>
    <w:div w:id="1323392904">
      <w:bodyDiv w:val="1"/>
      <w:marLeft w:val="0"/>
      <w:marRight w:val="0"/>
      <w:marTop w:val="0"/>
      <w:marBottom w:val="0"/>
      <w:divBdr>
        <w:top w:val="none" w:sz="0" w:space="0" w:color="auto"/>
        <w:left w:val="none" w:sz="0" w:space="0" w:color="auto"/>
        <w:bottom w:val="none" w:sz="0" w:space="0" w:color="auto"/>
        <w:right w:val="none" w:sz="0" w:space="0" w:color="auto"/>
      </w:divBdr>
    </w:div>
    <w:div w:id="1323702492">
      <w:bodyDiv w:val="1"/>
      <w:marLeft w:val="0"/>
      <w:marRight w:val="0"/>
      <w:marTop w:val="0"/>
      <w:marBottom w:val="0"/>
      <w:divBdr>
        <w:top w:val="none" w:sz="0" w:space="0" w:color="auto"/>
        <w:left w:val="none" w:sz="0" w:space="0" w:color="auto"/>
        <w:bottom w:val="none" w:sz="0" w:space="0" w:color="auto"/>
        <w:right w:val="none" w:sz="0" w:space="0" w:color="auto"/>
      </w:divBdr>
    </w:div>
    <w:div w:id="1323848660">
      <w:bodyDiv w:val="1"/>
      <w:marLeft w:val="0"/>
      <w:marRight w:val="0"/>
      <w:marTop w:val="0"/>
      <w:marBottom w:val="0"/>
      <w:divBdr>
        <w:top w:val="none" w:sz="0" w:space="0" w:color="auto"/>
        <w:left w:val="none" w:sz="0" w:space="0" w:color="auto"/>
        <w:bottom w:val="none" w:sz="0" w:space="0" w:color="auto"/>
        <w:right w:val="none" w:sz="0" w:space="0" w:color="auto"/>
      </w:divBdr>
    </w:div>
    <w:div w:id="1324434778">
      <w:bodyDiv w:val="1"/>
      <w:marLeft w:val="0"/>
      <w:marRight w:val="0"/>
      <w:marTop w:val="0"/>
      <w:marBottom w:val="0"/>
      <w:divBdr>
        <w:top w:val="none" w:sz="0" w:space="0" w:color="auto"/>
        <w:left w:val="none" w:sz="0" w:space="0" w:color="auto"/>
        <w:bottom w:val="none" w:sz="0" w:space="0" w:color="auto"/>
        <w:right w:val="none" w:sz="0" w:space="0" w:color="auto"/>
      </w:divBdr>
    </w:div>
    <w:div w:id="1324552081">
      <w:bodyDiv w:val="1"/>
      <w:marLeft w:val="0"/>
      <w:marRight w:val="0"/>
      <w:marTop w:val="0"/>
      <w:marBottom w:val="0"/>
      <w:divBdr>
        <w:top w:val="none" w:sz="0" w:space="0" w:color="auto"/>
        <w:left w:val="none" w:sz="0" w:space="0" w:color="auto"/>
        <w:bottom w:val="none" w:sz="0" w:space="0" w:color="auto"/>
        <w:right w:val="none" w:sz="0" w:space="0" w:color="auto"/>
      </w:divBdr>
    </w:div>
    <w:div w:id="1329792240">
      <w:bodyDiv w:val="1"/>
      <w:marLeft w:val="0"/>
      <w:marRight w:val="0"/>
      <w:marTop w:val="0"/>
      <w:marBottom w:val="0"/>
      <w:divBdr>
        <w:top w:val="none" w:sz="0" w:space="0" w:color="auto"/>
        <w:left w:val="none" w:sz="0" w:space="0" w:color="auto"/>
        <w:bottom w:val="none" w:sz="0" w:space="0" w:color="auto"/>
        <w:right w:val="none" w:sz="0" w:space="0" w:color="auto"/>
      </w:divBdr>
    </w:div>
    <w:div w:id="1330870346">
      <w:bodyDiv w:val="1"/>
      <w:marLeft w:val="0"/>
      <w:marRight w:val="0"/>
      <w:marTop w:val="0"/>
      <w:marBottom w:val="0"/>
      <w:divBdr>
        <w:top w:val="none" w:sz="0" w:space="0" w:color="auto"/>
        <w:left w:val="none" w:sz="0" w:space="0" w:color="auto"/>
        <w:bottom w:val="none" w:sz="0" w:space="0" w:color="auto"/>
        <w:right w:val="none" w:sz="0" w:space="0" w:color="auto"/>
      </w:divBdr>
    </w:div>
    <w:div w:id="1332101886">
      <w:bodyDiv w:val="1"/>
      <w:marLeft w:val="0"/>
      <w:marRight w:val="0"/>
      <w:marTop w:val="0"/>
      <w:marBottom w:val="0"/>
      <w:divBdr>
        <w:top w:val="none" w:sz="0" w:space="0" w:color="auto"/>
        <w:left w:val="none" w:sz="0" w:space="0" w:color="auto"/>
        <w:bottom w:val="none" w:sz="0" w:space="0" w:color="auto"/>
        <w:right w:val="none" w:sz="0" w:space="0" w:color="auto"/>
      </w:divBdr>
    </w:div>
    <w:div w:id="1332367255">
      <w:bodyDiv w:val="1"/>
      <w:marLeft w:val="0"/>
      <w:marRight w:val="0"/>
      <w:marTop w:val="0"/>
      <w:marBottom w:val="0"/>
      <w:divBdr>
        <w:top w:val="none" w:sz="0" w:space="0" w:color="auto"/>
        <w:left w:val="none" w:sz="0" w:space="0" w:color="auto"/>
        <w:bottom w:val="none" w:sz="0" w:space="0" w:color="auto"/>
        <w:right w:val="none" w:sz="0" w:space="0" w:color="auto"/>
      </w:divBdr>
    </w:div>
    <w:div w:id="1333726416">
      <w:bodyDiv w:val="1"/>
      <w:marLeft w:val="0"/>
      <w:marRight w:val="0"/>
      <w:marTop w:val="0"/>
      <w:marBottom w:val="0"/>
      <w:divBdr>
        <w:top w:val="none" w:sz="0" w:space="0" w:color="auto"/>
        <w:left w:val="none" w:sz="0" w:space="0" w:color="auto"/>
        <w:bottom w:val="none" w:sz="0" w:space="0" w:color="auto"/>
        <w:right w:val="none" w:sz="0" w:space="0" w:color="auto"/>
      </w:divBdr>
    </w:div>
    <w:div w:id="1334186464">
      <w:bodyDiv w:val="1"/>
      <w:marLeft w:val="0"/>
      <w:marRight w:val="0"/>
      <w:marTop w:val="0"/>
      <w:marBottom w:val="0"/>
      <w:divBdr>
        <w:top w:val="none" w:sz="0" w:space="0" w:color="auto"/>
        <w:left w:val="none" w:sz="0" w:space="0" w:color="auto"/>
        <w:bottom w:val="none" w:sz="0" w:space="0" w:color="auto"/>
        <w:right w:val="none" w:sz="0" w:space="0" w:color="auto"/>
      </w:divBdr>
    </w:div>
    <w:div w:id="1335646132">
      <w:bodyDiv w:val="1"/>
      <w:marLeft w:val="0"/>
      <w:marRight w:val="0"/>
      <w:marTop w:val="0"/>
      <w:marBottom w:val="0"/>
      <w:divBdr>
        <w:top w:val="none" w:sz="0" w:space="0" w:color="auto"/>
        <w:left w:val="none" w:sz="0" w:space="0" w:color="auto"/>
        <w:bottom w:val="none" w:sz="0" w:space="0" w:color="auto"/>
        <w:right w:val="none" w:sz="0" w:space="0" w:color="auto"/>
      </w:divBdr>
    </w:div>
    <w:div w:id="1336615027">
      <w:bodyDiv w:val="1"/>
      <w:marLeft w:val="0"/>
      <w:marRight w:val="0"/>
      <w:marTop w:val="0"/>
      <w:marBottom w:val="0"/>
      <w:divBdr>
        <w:top w:val="none" w:sz="0" w:space="0" w:color="auto"/>
        <w:left w:val="none" w:sz="0" w:space="0" w:color="auto"/>
        <w:bottom w:val="none" w:sz="0" w:space="0" w:color="auto"/>
        <w:right w:val="none" w:sz="0" w:space="0" w:color="auto"/>
      </w:divBdr>
    </w:div>
    <w:div w:id="1339383878">
      <w:bodyDiv w:val="1"/>
      <w:marLeft w:val="0"/>
      <w:marRight w:val="0"/>
      <w:marTop w:val="0"/>
      <w:marBottom w:val="0"/>
      <w:divBdr>
        <w:top w:val="none" w:sz="0" w:space="0" w:color="auto"/>
        <w:left w:val="none" w:sz="0" w:space="0" w:color="auto"/>
        <w:bottom w:val="none" w:sz="0" w:space="0" w:color="auto"/>
        <w:right w:val="none" w:sz="0" w:space="0" w:color="auto"/>
      </w:divBdr>
    </w:div>
    <w:div w:id="1342465744">
      <w:bodyDiv w:val="1"/>
      <w:marLeft w:val="0"/>
      <w:marRight w:val="0"/>
      <w:marTop w:val="0"/>
      <w:marBottom w:val="0"/>
      <w:divBdr>
        <w:top w:val="none" w:sz="0" w:space="0" w:color="auto"/>
        <w:left w:val="none" w:sz="0" w:space="0" w:color="auto"/>
        <w:bottom w:val="none" w:sz="0" w:space="0" w:color="auto"/>
        <w:right w:val="none" w:sz="0" w:space="0" w:color="auto"/>
      </w:divBdr>
    </w:div>
    <w:div w:id="1343430708">
      <w:bodyDiv w:val="1"/>
      <w:marLeft w:val="0"/>
      <w:marRight w:val="0"/>
      <w:marTop w:val="0"/>
      <w:marBottom w:val="0"/>
      <w:divBdr>
        <w:top w:val="none" w:sz="0" w:space="0" w:color="auto"/>
        <w:left w:val="none" w:sz="0" w:space="0" w:color="auto"/>
        <w:bottom w:val="none" w:sz="0" w:space="0" w:color="auto"/>
        <w:right w:val="none" w:sz="0" w:space="0" w:color="auto"/>
      </w:divBdr>
    </w:div>
    <w:div w:id="1344438145">
      <w:bodyDiv w:val="1"/>
      <w:marLeft w:val="0"/>
      <w:marRight w:val="0"/>
      <w:marTop w:val="0"/>
      <w:marBottom w:val="0"/>
      <w:divBdr>
        <w:top w:val="none" w:sz="0" w:space="0" w:color="auto"/>
        <w:left w:val="none" w:sz="0" w:space="0" w:color="auto"/>
        <w:bottom w:val="none" w:sz="0" w:space="0" w:color="auto"/>
        <w:right w:val="none" w:sz="0" w:space="0" w:color="auto"/>
      </w:divBdr>
    </w:div>
    <w:div w:id="1346708118">
      <w:bodyDiv w:val="1"/>
      <w:marLeft w:val="0"/>
      <w:marRight w:val="0"/>
      <w:marTop w:val="0"/>
      <w:marBottom w:val="0"/>
      <w:divBdr>
        <w:top w:val="none" w:sz="0" w:space="0" w:color="auto"/>
        <w:left w:val="none" w:sz="0" w:space="0" w:color="auto"/>
        <w:bottom w:val="none" w:sz="0" w:space="0" w:color="auto"/>
        <w:right w:val="none" w:sz="0" w:space="0" w:color="auto"/>
      </w:divBdr>
    </w:div>
    <w:div w:id="1347443334">
      <w:bodyDiv w:val="1"/>
      <w:marLeft w:val="0"/>
      <w:marRight w:val="0"/>
      <w:marTop w:val="0"/>
      <w:marBottom w:val="0"/>
      <w:divBdr>
        <w:top w:val="none" w:sz="0" w:space="0" w:color="auto"/>
        <w:left w:val="none" w:sz="0" w:space="0" w:color="auto"/>
        <w:bottom w:val="none" w:sz="0" w:space="0" w:color="auto"/>
        <w:right w:val="none" w:sz="0" w:space="0" w:color="auto"/>
      </w:divBdr>
    </w:div>
    <w:div w:id="1347974339">
      <w:bodyDiv w:val="1"/>
      <w:marLeft w:val="0"/>
      <w:marRight w:val="0"/>
      <w:marTop w:val="0"/>
      <w:marBottom w:val="0"/>
      <w:divBdr>
        <w:top w:val="none" w:sz="0" w:space="0" w:color="auto"/>
        <w:left w:val="none" w:sz="0" w:space="0" w:color="auto"/>
        <w:bottom w:val="none" w:sz="0" w:space="0" w:color="auto"/>
        <w:right w:val="none" w:sz="0" w:space="0" w:color="auto"/>
      </w:divBdr>
    </w:div>
    <w:div w:id="1348560173">
      <w:bodyDiv w:val="1"/>
      <w:marLeft w:val="0"/>
      <w:marRight w:val="0"/>
      <w:marTop w:val="0"/>
      <w:marBottom w:val="0"/>
      <w:divBdr>
        <w:top w:val="none" w:sz="0" w:space="0" w:color="auto"/>
        <w:left w:val="none" w:sz="0" w:space="0" w:color="auto"/>
        <w:bottom w:val="none" w:sz="0" w:space="0" w:color="auto"/>
        <w:right w:val="none" w:sz="0" w:space="0" w:color="auto"/>
      </w:divBdr>
    </w:div>
    <w:div w:id="1348869286">
      <w:bodyDiv w:val="1"/>
      <w:marLeft w:val="0"/>
      <w:marRight w:val="0"/>
      <w:marTop w:val="0"/>
      <w:marBottom w:val="0"/>
      <w:divBdr>
        <w:top w:val="none" w:sz="0" w:space="0" w:color="auto"/>
        <w:left w:val="none" w:sz="0" w:space="0" w:color="auto"/>
        <w:bottom w:val="none" w:sz="0" w:space="0" w:color="auto"/>
        <w:right w:val="none" w:sz="0" w:space="0" w:color="auto"/>
      </w:divBdr>
    </w:div>
    <w:div w:id="1350178194">
      <w:bodyDiv w:val="1"/>
      <w:marLeft w:val="0"/>
      <w:marRight w:val="0"/>
      <w:marTop w:val="0"/>
      <w:marBottom w:val="0"/>
      <w:divBdr>
        <w:top w:val="none" w:sz="0" w:space="0" w:color="auto"/>
        <w:left w:val="none" w:sz="0" w:space="0" w:color="auto"/>
        <w:bottom w:val="none" w:sz="0" w:space="0" w:color="auto"/>
        <w:right w:val="none" w:sz="0" w:space="0" w:color="auto"/>
      </w:divBdr>
    </w:div>
    <w:div w:id="1350449236">
      <w:bodyDiv w:val="1"/>
      <w:marLeft w:val="0"/>
      <w:marRight w:val="0"/>
      <w:marTop w:val="0"/>
      <w:marBottom w:val="0"/>
      <w:divBdr>
        <w:top w:val="none" w:sz="0" w:space="0" w:color="auto"/>
        <w:left w:val="none" w:sz="0" w:space="0" w:color="auto"/>
        <w:bottom w:val="none" w:sz="0" w:space="0" w:color="auto"/>
        <w:right w:val="none" w:sz="0" w:space="0" w:color="auto"/>
      </w:divBdr>
    </w:div>
    <w:div w:id="1350764508">
      <w:bodyDiv w:val="1"/>
      <w:marLeft w:val="0"/>
      <w:marRight w:val="0"/>
      <w:marTop w:val="0"/>
      <w:marBottom w:val="0"/>
      <w:divBdr>
        <w:top w:val="none" w:sz="0" w:space="0" w:color="auto"/>
        <w:left w:val="none" w:sz="0" w:space="0" w:color="auto"/>
        <w:bottom w:val="none" w:sz="0" w:space="0" w:color="auto"/>
        <w:right w:val="none" w:sz="0" w:space="0" w:color="auto"/>
      </w:divBdr>
    </w:div>
    <w:div w:id="1351682226">
      <w:bodyDiv w:val="1"/>
      <w:marLeft w:val="0"/>
      <w:marRight w:val="0"/>
      <w:marTop w:val="0"/>
      <w:marBottom w:val="0"/>
      <w:divBdr>
        <w:top w:val="none" w:sz="0" w:space="0" w:color="auto"/>
        <w:left w:val="none" w:sz="0" w:space="0" w:color="auto"/>
        <w:bottom w:val="none" w:sz="0" w:space="0" w:color="auto"/>
        <w:right w:val="none" w:sz="0" w:space="0" w:color="auto"/>
      </w:divBdr>
    </w:div>
    <w:div w:id="1352144987">
      <w:bodyDiv w:val="1"/>
      <w:marLeft w:val="0"/>
      <w:marRight w:val="0"/>
      <w:marTop w:val="0"/>
      <w:marBottom w:val="0"/>
      <w:divBdr>
        <w:top w:val="none" w:sz="0" w:space="0" w:color="auto"/>
        <w:left w:val="none" w:sz="0" w:space="0" w:color="auto"/>
        <w:bottom w:val="none" w:sz="0" w:space="0" w:color="auto"/>
        <w:right w:val="none" w:sz="0" w:space="0" w:color="auto"/>
      </w:divBdr>
    </w:div>
    <w:div w:id="1354380949">
      <w:bodyDiv w:val="1"/>
      <w:marLeft w:val="0"/>
      <w:marRight w:val="0"/>
      <w:marTop w:val="0"/>
      <w:marBottom w:val="0"/>
      <w:divBdr>
        <w:top w:val="none" w:sz="0" w:space="0" w:color="auto"/>
        <w:left w:val="none" w:sz="0" w:space="0" w:color="auto"/>
        <w:bottom w:val="none" w:sz="0" w:space="0" w:color="auto"/>
        <w:right w:val="none" w:sz="0" w:space="0" w:color="auto"/>
      </w:divBdr>
    </w:div>
    <w:div w:id="1354726871">
      <w:bodyDiv w:val="1"/>
      <w:marLeft w:val="0"/>
      <w:marRight w:val="0"/>
      <w:marTop w:val="0"/>
      <w:marBottom w:val="0"/>
      <w:divBdr>
        <w:top w:val="none" w:sz="0" w:space="0" w:color="auto"/>
        <w:left w:val="none" w:sz="0" w:space="0" w:color="auto"/>
        <w:bottom w:val="none" w:sz="0" w:space="0" w:color="auto"/>
        <w:right w:val="none" w:sz="0" w:space="0" w:color="auto"/>
      </w:divBdr>
    </w:div>
    <w:div w:id="1356224128">
      <w:bodyDiv w:val="1"/>
      <w:marLeft w:val="0"/>
      <w:marRight w:val="0"/>
      <w:marTop w:val="0"/>
      <w:marBottom w:val="0"/>
      <w:divBdr>
        <w:top w:val="none" w:sz="0" w:space="0" w:color="auto"/>
        <w:left w:val="none" w:sz="0" w:space="0" w:color="auto"/>
        <w:bottom w:val="none" w:sz="0" w:space="0" w:color="auto"/>
        <w:right w:val="none" w:sz="0" w:space="0" w:color="auto"/>
      </w:divBdr>
    </w:div>
    <w:div w:id="1356273428">
      <w:bodyDiv w:val="1"/>
      <w:marLeft w:val="0"/>
      <w:marRight w:val="0"/>
      <w:marTop w:val="0"/>
      <w:marBottom w:val="0"/>
      <w:divBdr>
        <w:top w:val="none" w:sz="0" w:space="0" w:color="auto"/>
        <w:left w:val="none" w:sz="0" w:space="0" w:color="auto"/>
        <w:bottom w:val="none" w:sz="0" w:space="0" w:color="auto"/>
        <w:right w:val="none" w:sz="0" w:space="0" w:color="auto"/>
      </w:divBdr>
    </w:div>
    <w:div w:id="1356736169">
      <w:bodyDiv w:val="1"/>
      <w:marLeft w:val="0"/>
      <w:marRight w:val="0"/>
      <w:marTop w:val="0"/>
      <w:marBottom w:val="0"/>
      <w:divBdr>
        <w:top w:val="none" w:sz="0" w:space="0" w:color="auto"/>
        <w:left w:val="none" w:sz="0" w:space="0" w:color="auto"/>
        <w:bottom w:val="none" w:sz="0" w:space="0" w:color="auto"/>
        <w:right w:val="none" w:sz="0" w:space="0" w:color="auto"/>
      </w:divBdr>
    </w:div>
    <w:div w:id="1357536041">
      <w:bodyDiv w:val="1"/>
      <w:marLeft w:val="0"/>
      <w:marRight w:val="0"/>
      <w:marTop w:val="0"/>
      <w:marBottom w:val="0"/>
      <w:divBdr>
        <w:top w:val="none" w:sz="0" w:space="0" w:color="auto"/>
        <w:left w:val="none" w:sz="0" w:space="0" w:color="auto"/>
        <w:bottom w:val="none" w:sz="0" w:space="0" w:color="auto"/>
        <w:right w:val="none" w:sz="0" w:space="0" w:color="auto"/>
      </w:divBdr>
    </w:div>
    <w:div w:id="1358234466">
      <w:bodyDiv w:val="1"/>
      <w:marLeft w:val="0"/>
      <w:marRight w:val="0"/>
      <w:marTop w:val="0"/>
      <w:marBottom w:val="0"/>
      <w:divBdr>
        <w:top w:val="none" w:sz="0" w:space="0" w:color="auto"/>
        <w:left w:val="none" w:sz="0" w:space="0" w:color="auto"/>
        <w:bottom w:val="none" w:sz="0" w:space="0" w:color="auto"/>
        <w:right w:val="none" w:sz="0" w:space="0" w:color="auto"/>
      </w:divBdr>
    </w:div>
    <w:div w:id="1359820301">
      <w:bodyDiv w:val="1"/>
      <w:marLeft w:val="0"/>
      <w:marRight w:val="0"/>
      <w:marTop w:val="0"/>
      <w:marBottom w:val="0"/>
      <w:divBdr>
        <w:top w:val="none" w:sz="0" w:space="0" w:color="auto"/>
        <w:left w:val="none" w:sz="0" w:space="0" w:color="auto"/>
        <w:bottom w:val="none" w:sz="0" w:space="0" w:color="auto"/>
        <w:right w:val="none" w:sz="0" w:space="0" w:color="auto"/>
      </w:divBdr>
    </w:div>
    <w:div w:id="1361513375">
      <w:bodyDiv w:val="1"/>
      <w:marLeft w:val="0"/>
      <w:marRight w:val="0"/>
      <w:marTop w:val="0"/>
      <w:marBottom w:val="0"/>
      <w:divBdr>
        <w:top w:val="none" w:sz="0" w:space="0" w:color="auto"/>
        <w:left w:val="none" w:sz="0" w:space="0" w:color="auto"/>
        <w:bottom w:val="none" w:sz="0" w:space="0" w:color="auto"/>
        <w:right w:val="none" w:sz="0" w:space="0" w:color="auto"/>
      </w:divBdr>
    </w:div>
    <w:div w:id="1363482958">
      <w:bodyDiv w:val="1"/>
      <w:marLeft w:val="0"/>
      <w:marRight w:val="0"/>
      <w:marTop w:val="0"/>
      <w:marBottom w:val="0"/>
      <w:divBdr>
        <w:top w:val="none" w:sz="0" w:space="0" w:color="auto"/>
        <w:left w:val="none" w:sz="0" w:space="0" w:color="auto"/>
        <w:bottom w:val="none" w:sz="0" w:space="0" w:color="auto"/>
        <w:right w:val="none" w:sz="0" w:space="0" w:color="auto"/>
      </w:divBdr>
    </w:div>
    <w:div w:id="1363632185">
      <w:bodyDiv w:val="1"/>
      <w:marLeft w:val="0"/>
      <w:marRight w:val="0"/>
      <w:marTop w:val="0"/>
      <w:marBottom w:val="0"/>
      <w:divBdr>
        <w:top w:val="none" w:sz="0" w:space="0" w:color="auto"/>
        <w:left w:val="none" w:sz="0" w:space="0" w:color="auto"/>
        <w:bottom w:val="none" w:sz="0" w:space="0" w:color="auto"/>
        <w:right w:val="none" w:sz="0" w:space="0" w:color="auto"/>
      </w:divBdr>
    </w:div>
    <w:div w:id="1363676322">
      <w:bodyDiv w:val="1"/>
      <w:marLeft w:val="0"/>
      <w:marRight w:val="0"/>
      <w:marTop w:val="0"/>
      <w:marBottom w:val="0"/>
      <w:divBdr>
        <w:top w:val="none" w:sz="0" w:space="0" w:color="auto"/>
        <w:left w:val="none" w:sz="0" w:space="0" w:color="auto"/>
        <w:bottom w:val="none" w:sz="0" w:space="0" w:color="auto"/>
        <w:right w:val="none" w:sz="0" w:space="0" w:color="auto"/>
      </w:divBdr>
    </w:div>
    <w:div w:id="1363821455">
      <w:bodyDiv w:val="1"/>
      <w:marLeft w:val="0"/>
      <w:marRight w:val="0"/>
      <w:marTop w:val="0"/>
      <w:marBottom w:val="0"/>
      <w:divBdr>
        <w:top w:val="none" w:sz="0" w:space="0" w:color="auto"/>
        <w:left w:val="none" w:sz="0" w:space="0" w:color="auto"/>
        <w:bottom w:val="none" w:sz="0" w:space="0" w:color="auto"/>
        <w:right w:val="none" w:sz="0" w:space="0" w:color="auto"/>
      </w:divBdr>
    </w:div>
    <w:div w:id="1364211580">
      <w:bodyDiv w:val="1"/>
      <w:marLeft w:val="0"/>
      <w:marRight w:val="0"/>
      <w:marTop w:val="0"/>
      <w:marBottom w:val="0"/>
      <w:divBdr>
        <w:top w:val="none" w:sz="0" w:space="0" w:color="auto"/>
        <w:left w:val="none" w:sz="0" w:space="0" w:color="auto"/>
        <w:bottom w:val="none" w:sz="0" w:space="0" w:color="auto"/>
        <w:right w:val="none" w:sz="0" w:space="0" w:color="auto"/>
      </w:divBdr>
    </w:div>
    <w:div w:id="1365836492">
      <w:bodyDiv w:val="1"/>
      <w:marLeft w:val="0"/>
      <w:marRight w:val="0"/>
      <w:marTop w:val="0"/>
      <w:marBottom w:val="0"/>
      <w:divBdr>
        <w:top w:val="none" w:sz="0" w:space="0" w:color="auto"/>
        <w:left w:val="none" w:sz="0" w:space="0" w:color="auto"/>
        <w:bottom w:val="none" w:sz="0" w:space="0" w:color="auto"/>
        <w:right w:val="none" w:sz="0" w:space="0" w:color="auto"/>
      </w:divBdr>
    </w:div>
    <w:div w:id="1366053344">
      <w:bodyDiv w:val="1"/>
      <w:marLeft w:val="0"/>
      <w:marRight w:val="0"/>
      <w:marTop w:val="0"/>
      <w:marBottom w:val="0"/>
      <w:divBdr>
        <w:top w:val="none" w:sz="0" w:space="0" w:color="auto"/>
        <w:left w:val="none" w:sz="0" w:space="0" w:color="auto"/>
        <w:bottom w:val="none" w:sz="0" w:space="0" w:color="auto"/>
        <w:right w:val="none" w:sz="0" w:space="0" w:color="auto"/>
      </w:divBdr>
    </w:div>
    <w:div w:id="1366443425">
      <w:bodyDiv w:val="1"/>
      <w:marLeft w:val="0"/>
      <w:marRight w:val="0"/>
      <w:marTop w:val="0"/>
      <w:marBottom w:val="0"/>
      <w:divBdr>
        <w:top w:val="none" w:sz="0" w:space="0" w:color="auto"/>
        <w:left w:val="none" w:sz="0" w:space="0" w:color="auto"/>
        <w:bottom w:val="none" w:sz="0" w:space="0" w:color="auto"/>
        <w:right w:val="none" w:sz="0" w:space="0" w:color="auto"/>
      </w:divBdr>
    </w:div>
    <w:div w:id="1366518136">
      <w:bodyDiv w:val="1"/>
      <w:marLeft w:val="0"/>
      <w:marRight w:val="0"/>
      <w:marTop w:val="0"/>
      <w:marBottom w:val="0"/>
      <w:divBdr>
        <w:top w:val="none" w:sz="0" w:space="0" w:color="auto"/>
        <w:left w:val="none" w:sz="0" w:space="0" w:color="auto"/>
        <w:bottom w:val="none" w:sz="0" w:space="0" w:color="auto"/>
        <w:right w:val="none" w:sz="0" w:space="0" w:color="auto"/>
      </w:divBdr>
    </w:div>
    <w:div w:id="1366639121">
      <w:bodyDiv w:val="1"/>
      <w:marLeft w:val="0"/>
      <w:marRight w:val="0"/>
      <w:marTop w:val="0"/>
      <w:marBottom w:val="0"/>
      <w:divBdr>
        <w:top w:val="none" w:sz="0" w:space="0" w:color="auto"/>
        <w:left w:val="none" w:sz="0" w:space="0" w:color="auto"/>
        <w:bottom w:val="none" w:sz="0" w:space="0" w:color="auto"/>
        <w:right w:val="none" w:sz="0" w:space="0" w:color="auto"/>
      </w:divBdr>
    </w:div>
    <w:div w:id="1369333288">
      <w:bodyDiv w:val="1"/>
      <w:marLeft w:val="0"/>
      <w:marRight w:val="0"/>
      <w:marTop w:val="0"/>
      <w:marBottom w:val="0"/>
      <w:divBdr>
        <w:top w:val="none" w:sz="0" w:space="0" w:color="auto"/>
        <w:left w:val="none" w:sz="0" w:space="0" w:color="auto"/>
        <w:bottom w:val="none" w:sz="0" w:space="0" w:color="auto"/>
        <w:right w:val="none" w:sz="0" w:space="0" w:color="auto"/>
      </w:divBdr>
    </w:div>
    <w:div w:id="1370184353">
      <w:bodyDiv w:val="1"/>
      <w:marLeft w:val="0"/>
      <w:marRight w:val="0"/>
      <w:marTop w:val="0"/>
      <w:marBottom w:val="0"/>
      <w:divBdr>
        <w:top w:val="none" w:sz="0" w:space="0" w:color="auto"/>
        <w:left w:val="none" w:sz="0" w:space="0" w:color="auto"/>
        <w:bottom w:val="none" w:sz="0" w:space="0" w:color="auto"/>
        <w:right w:val="none" w:sz="0" w:space="0" w:color="auto"/>
      </w:divBdr>
    </w:div>
    <w:div w:id="1371956820">
      <w:bodyDiv w:val="1"/>
      <w:marLeft w:val="0"/>
      <w:marRight w:val="0"/>
      <w:marTop w:val="0"/>
      <w:marBottom w:val="0"/>
      <w:divBdr>
        <w:top w:val="none" w:sz="0" w:space="0" w:color="auto"/>
        <w:left w:val="none" w:sz="0" w:space="0" w:color="auto"/>
        <w:bottom w:val="none" w:sz="0" w:space="0" w:color="auto"/>
        <w:right w:val="none" w:sz="0" w:space="0" w:color="auto"/>
      </w:divBdr>
    </w:div>
    <w:div w:id="1373647418">
      <w:bodyDiv w:val="1"/>
      <w:marLeft w:val="0"/>
      <w:marRight w:val="0"/>
      <w:marTop w:val="0"/>
      <w:marBottom w:val="0"/>
      <w:divBdr>
        <w:top w:val="none" w:sz="0" w:space="0" w:color="auto"/>
        <w:left w:val="none" w:sz="0" w:space="0" w:color="auto"/>
        <w:bottom w:val="none" w:sz="0" w:space="0" w:color="auto"/>
        <w:right w:val="none" w:sz="0" w:space="0" w:color="auto"/>
      </w:divBdr>
    </w:div>
    <w:div w:id="1373966142">
      <w:bodyDiv w:val="1"/>
      <w:marLeft w:val="0"/>
      <w:marRight w:val="0"/>
      <w:marTop w:val="0"/>
      <w:marBottom w:val="0"/>
      <w:divBdr>
        <w:top w:val="none" w:sz="0" w:space="0" w:color="auto"/>
        <w:left w:val="none" w:sz="0" w:space="0" w:color="auto"/>
        <w:bottom w:val="none" w:sz="0" w:space="0" w:color="auto"/>
        <w:right w:val="none" w:sz="0" w:space="0" w:color="auto"/>
      </w:divBdr>
    </w:div>
    <w:div w:id="1378240506">
      <w:bodyDiv w:val="1"/>
      <w:marLeft w:val="0"/>
      <w:marRight w:val="0"/>
      <w:marTop w:val="0"/>
      <w:marBottom w:val="0"/>
      <w:divBdr>
        <w:top w:val="none" w:sz="0" w:space="0" w:color="auto"/>
        <w:left w:val="none" w:sz="0" w:space="0" w:color="auto"/>
        <w:bottom w:val="none" w:sz="0" w:space="0" w:color="auto"/>
        <w:right w:val="none" w:sz="0" w:space="0" w:color="auto"/>
      </w:divBdr>
    </w:div>
    <w:div w:id="1379473071">
      <w:bodyDiv w:val="1"/>
      <w:marLeft w:val="0"/>
      <w:marRight w:val="0"/>
      <w:marTop w:val="0"/>
      <w:marBottom w:val="0"/>
      <w:divBdr>
        <w:top w:val="none" w:sz="0" w:space="0" w:color="auto"/>
        <w:left w:val="none" w:sz="0" w:space="0" w:color="auto"/>
        <w:bottom w:val="none" w:sz="0" w:space="0" w:color="auto"/>
        <w:right w:val="none" w:sz="0" w:space="0" w:color="auto"/>
      </w:divBdr>
    </w:div>
    <w:div w:id="1379940927">
      <w:bodyDiv w:val="1"/>
      <w:marLeft w:val="0"/>
      <w:marRight w:val="0"/>
      <w:marTop w:val="0"/>
      <w:marBottom w:val="0"/>
      <w:divBdr>
        <w:top w:val="none" w:sz="0" w:space="0" w:color="auto"/>
        <w:left w:val="none" w:sz="0" w:space="0" w:color="auto"/>
        <w:bottom w:val="none" w:sz="0" w:space="0" w:color="auto"/>
        <w:right w:val="none" w:sz="0" w:space="0" w:color="auto"/>
      </w:divBdr>
    </w:div>
    <w:div w:id="1380279138">
      <w:bodyDiv w:val="1"/>
      <w:marLeft w:val="0"/>
      <w:marRight w:val="0"/>
      <w:marTop w:val="0"/>
      <w:marBottom w:val="0"/>
      <w:divBdr>
        <w:top w:val="none" w:sz="0" w:space="0" w:color="auto"/>
        <w:left w:val="none" w:sz="0" w:space="0" w:color="auto"/>
        <w:bottom w:val="none" w:sz="0" w:space="0" w:color="auto"/>
        <w:right w:val="none" w:sz="0" w:space="0" w:color="auto"/>
      </w:divBdr>
    </w:div>
    <w:div w:id="1381200937">
      <w:bodyDiv w:val="1"/>
      <w:marLeft w:val="0"/>
      <w:marRight w:val="0"/>
      <w:marTop w:val="0"/>
      <w:marBottom w:val="0"/>
      <w:divBdr>
        <w:top w:val="none" w:sz="0" w:space="0" w:color="auto"/>
        <w:left w:val="none" w:sz="0" w:space="0" w:color="auto"/>
        <w:bottom w:val="none" w:sz="0" w:space="0" w:color="auto"/>
        <w:right w:val="none" w:sz="0" w:space="0" w:color="auto"/>
      </w:divBdr>
    </w:div>
    <w:div w:id="1381244470">
      <w:bodyDiv w:val="1"/>
      <w:marLeft w:val="0"/>
      <w:marRight w:val="0"/>
      <w:marTop w:val="0"/>
      <w:marBottom w:val="0"/>
      <w:divBdr>
        <w:top w:val="none" w:sz="0" w:space="0" w:color="auto"/>
        <w:left w:val="none" w:sz="0" w:space="0" w:color="auto"/>
        <w:bottom w:val="none" w:sz="0" w:space="0" w:color="auto"/>
        <w:right w:val="none" w:sz="0" w:space="0" w:color="auto"/>
      </w:divBdr>
    </w:div>
    <w:div w:id="1382242604">
      <w:bodyDiv w:val="1"/>
      <w:marLeft w:val="0"/>
      <w:marRight w:val="0"/>
      <w:marTop w:val="0"/>
      <w:marBottom w:val="0"/>
      <w:divBdr>
        <w:top w:val="none" w:sz="0" w:space="0" w:color="auto"/>
        <w:left w:val="none" w:sz="0" w:space="0" w:color="auto"/>
        <w:bottom w:val="none" w:sz="0" w:space="0" w:color="auto"/>
        <w:right w:val="none" w:sz="0" w:space="0" w:color="auto"/>
      </w:divBdr>
    </w:div>
    <w:div w:id="1382826436">
      <w:bodyDiv w:val="1"/>
      <w:marLeft w:val="0"/>
      <w:marRight w:val="0"/>
      <w:marTop w:val="0"/>
      <w:marBottom w:val="0"/>
      <w:divBdr>
        <w:top w:val="none" w:sz="0" w:space="0" w:color="auto"/>
        <w:left w:val="none" w:sz="0" w:space="0" w:color="auto"/>
        <w:bottom w:val="none" w:sz="0" w:space="0" w:color="auto"/>
        <w:right w:val="none" w:sz="0" w:space="0" w:color="auto"/>
      </w:divBdr>
    </w:div>
    <w:div w:id="1382900416">
      <w:bodyDiv w:val="1"/>
      <w:marLeft w:val="0"/>
      <w:marRight w:val="0"/>
      <w:marTop w:val="0"/>
      <w:marBottom w:val="0"/>
      <w:divBdr>
        <w:top w:val="none" w:sz="0" w:space="0" w:color="auto"/>
        <w:left w:val="none" w:sz="0" w:space="0" w:color="auto"/>
        <w:bottom w:val="none" w:sz="0" w:space="0" w:color="auto"/>
        <w:right w:val="none" w:sz="0" w:space="0" w:color="auto"/>
      </w:divBdr>
    </w:div>
    <w:div w:id="1383483048">
      <w:bodyDiv w:val="1"/>
      <w:marLeft w:val="0"/>
      <w:marRight w:val="0"/>
      <w:marTop w:val="0"/>
      <w:marBottom w:val="0"/>
      <w:divBdr>
        <w:top w:val="none" w:sz="0" w:space="0" w:color="auto"/>
        <w:left w:val="none" w:sz="0" w:space="0" w:color="auto"/>
        <w:bottom w:val="none" w:sz="0" w:space="0" w:color="auto"/>
        <w:right w:val="none" w:sz="0" w:space="0" w:color="auto"/>
      </w:divBdr>
    </w:div>
    <w:div w:id="1384331495">
      <w:bodyDiv w:val="1"/>
      <w:marLeft w:val="0"/>
      <w:marRight w:val="0"/>
      <w:marTop w:val="0"/>
      <w:marBottom w:val="0"/>
      <w:divBdr>
        <w:top w:val="none" w:sz="0" w:space="0" w:color="auto"/>
        <w:left w:val="none" w:sz="0" w:space="0" w:color="auto"/>
        <w:bottom w:val="none" w:sz="0" w:space="0" w:color="auto"/>
        <w:right w:val="none" w:sz="0" w:space="0" w:color="auto"/>
      </w:divBdr>
    </w:div>
    <w:div w:id="1385443654">
      <w:bodyDiv w:val="1"/>
      <w:marLeft w:val="0"/>
      <w:marRight w:val="0"/>
      <w:marTop w:val="0"/>
      <w:marBottom w:val="0"/>
      <w:divBdr>
        <w:top w:val="none" w:sz="0" w:space="0" w:color="auto"/>
        <w:left w:val="none" w:sz="0" w:space="0" w:color="auto"/>
        <w:bottom w:val="none" w:sz="0" w:space="0" w:color="auto"/>
        <w:right w:val="none" w:sz="0" w:space="0" w:color="auto"/>
      </w:divBdr>
    </w:div>
    <w:div w:id="1386566709">
      <w:bodyDiv w:val="1"/>
      <w:marLeft w:val="0"/>
      <w:marRight w:val="0"/>
      <w:marTop w:val="0"/>
      <w:marBottom w:val="0"/>
      <w:divBdr>
        <w:top w:val="none" w:sz="0" w:space="0" w:color="auto"/>
        <w:left w:val="none" w:sz="0" w:space="0" w:color="auto"/>
        <w:bottom w:val="none" w:sz="0" w:space="0" w:color="auto"/>
        <w:right w:val="none" w:sz="0" w:space="0" w:color="auto"/>
      </w:divBdr>
    </w:div>
    <w:div w:id="1392117127">
      <w:bodyDiv w:val="1"/>
      <w:marLeft w:val="0"/>
      <w:marRight w:val="0"/>
      <w:marTop w:val="0"/>
      <w:marBottom w:val="0"/>
      <w:divBdr>
        <w:top w:val="none" w:sz="0" w:space="0" w:color="auto"/>
        <w:left w:val="none" w:sz="0" w:space="0" w:color="auto"/>
        <w:bottom w:val="none" w:sz="0" w:space="0" w:color="auto"/>
        <w:right w:val="none" w:sz="0" w:space="0" w:color="auto"/>
      </w:divBdr>
    </w:div>
    <w:div w:id="1392343051">
      <w:bodyDiv w:val="1"/>
      <w:marLeft w:val="0"/>
      <w:marRight w:val="0"/>
      <w:marTop w:val="0"/>
      <w:marBottom w:val="0"/>
      <w:divBdr>
        <w:top w:val="none" w:sz="0" w:space="0" w:color="auto"/>
        <w:left w:val="none" w:sz="0" w:space="0" w:color="auto"/>
        <w:bottom w:val="none" w:sz="0" w:space="0" w:color="auto"/>
        <w:right w:val="none" w:sz="0" w:space="0" w:color="auto"/>
      </w:divBdr>
    </w:div>
    <w:div w:id="1392535476">
      <w:bodyDiv w:val="1"/>
      <w:marLeft w:val="0"/>
      <w:marRight w:val="0"/>
      <w:marTop w:val="0"/>
      <w:marBottom w:val="0"/>
      <w:divBdr>
        <w:top w:val="none" w:sz="0" w:space="0" w:color="auto"/>
        <w:left w:val="none" w:sz="0" w:space="0" w:color="auto"/>
        <w:bottom w:val="none" w:sz="0" w:space="0" w:color="auto"/>
        <w:right w:val="none" w:sz="0" w:space="0" w:color="auto"/>
      </w:divBdr>
    </w:div>
    <w:div w:id="1393238347">
      <w:bodyDiv w:val="1"/>
      <w:marLeft w:val="0"/>
      <w:marRight w:val="0"/>
      <w:marTop w:val="0"/>
      <w:marBottom w:val="0"/>
      <w:divBdr>
        <w:top w:val="none" w:sz="0" w:space="0" w:color="auto"/>
        <w:left w:val="none" w:sz="0" w:space="0" w:color="auto"/>
        <w:bottom w:val="none" w:sz="0" w:space="0" w:color="auto"/>
        <w:right w:val="none" w:sz="0" w:space="0" w:color="auto"/>
      </w:divBdr>
    </w:div>
    <w:div w:id="1393429613">
      <w:bodyDiv w:val="1"/>
      <w:marLeft w:val="0"/>
      <w:marRight w:val="0"/>
      <w:marTop w:val="0"/>
      <w:marBottom w:val="0"/>
      <w:divBdr>
        <w:top w:val="none" w:sz="0" w:space="0" w:color="auto"/>
        <w:left w:val="none" w:sz="0" w:space="0" w:color="auto"/>
        <w:bottom w:val="none" w:sz="0" w:space="0" w:color="auto"/>
        <w:right w:val="none" w:sz="0" w:space="0" w:color="auto"/>
      </w:divBdr>
    </w:div>
    <w:div w:id="1393581329">
      <w:bodyDiv w:val="1"/>
      <w:marLeft w:val="0"/>
      <w:marRight w:val="0"/>
      <w:marTop w:val="0"/>
      <w:marBottom w:val="0"/>
      <w:divBdr>
        <w:top w:val="none" w:sz="0" w:space="0" w:color="auto"/>
        <w:left w:val="none" w:sz="0" w:space="0" w:color="auto"/>
        <w:bottom w:val="none" w:sz="0" w:space="0" w:color="auto"/>
        <w:right w:val="none" w:sz="0" w:space="0" w:color="auto"/>
      </w:divBdr>
    </w:div>
    <w:div w:id="1393769368">
      <w:bodyDiv w:val="1"/>
      <w:marLeft w:val="0"/>
      <w:marRight w:val="0"/>
      <w:marTop w:val="0"/>
      <w:marBottom w:val="0"/>
      <w:divBdr>
        <w:top w:val="none" w:sz="0" w:space="0" w:color="auto"/>
        <w:left w:val="none" w:sz="0" w:space="0" w:color="auto"/>
        <w:bottom w:val="none" w:sz="0" w:space="0" w:color="auto"/>
        <w:right w:val="none" w:sz="0" w:space="0" w:color="auto"/>
      </w:divBdr>
    </w:div>
    <w:div w:id="1394498489">
      <w:bodyDiv w:val="1"/>
      <w:marLeft w:val="0"/>
      <w:marRight w:val="0"/>
      <w:marTop w:val="0"/>
      <w:marBottom w:val="0"/>
      <w:divBdr>
        <w:top w:val="none" w:sz="0" w:space="0" w:color="auto"/>
        <w:left w:val="none" w:sz="0" w:space="0" w:color="auto"/>
        <w:bottom w:val="none" w:sz="0" w:space="0" w:color="auto"/>
        <w:right w:val="none" w:sz="0" w:space="0" w:color="auto"/>
      </w:divBdr>
    </w:div>
    <w:div w:id="1398624626">
      <w:bodyDiv w:val="1"/>
      <w:marLeft w:val="0"/>
      <w:marRight w:val="0"/>
      <w:marTop w:val="0"/>
      <w:marBottom w:val="0"/>
      <w:divBdr>
        <w:top w:val="none" w:sz="0" w:space="0" w:color="auto"/>
        <w:left w:val="none" w:sz="0" w:space="0" w:color="auto"/>
        <w:bottom w:val="none" w:sz="0" w:space="0" w:color="auto"/>
        <w:right w:val="none" w:sz="0" w:space="0" w:color="auto"/>
      </w:divBdr>
    </w:div>
    <w:div w:id="1400791246">
      <w:bodyDiv w:val="1"/>
      <w:marLeft w:val="0"/>
      <w:marRight w:val="0"/>
      <w:marTop w:val="0"/>
      <w:marBottom w:val="0"/>
      <w:divBdr>
        <w:top w:val="none" w:sz="0" w:space="0" w:color="auto"/>
        <w:left w:val="none" w:sz="0" w:space="0" w:color="auto"/>
        <w:bottom w:val="none" w:sz="0" w:space="0" w:color="auto"/>
        <w:right w:val="none" w:sz="0" w:space="0" w:color="auto"/>
      </w:divBdr>
    </w:div>
    <w:div w:id="1403410871">
      <w:bodyDiv w:val="1"/>
      <w:marLeft w:val="0"/>
      <w:marRight w:val="0"/>
      <w:marTop w:val="0"/>
      <w:marBottom w:val="0"/>
      <w:divBdr>
        <w:top w:val="none" w:sz="0" w:space="0" w:color="auto"/>
        <w:left w:val="none" w:sz="0" w:space="0" w:color="auto"/>
        <w:bottom w:val="none" w:sz="0" w:space="0" w:color="auto"/>
        <w:right w:val="none" w:sz="0" w:space="0" w:color="auto"/>
      </w:divBdr>
    </w:div>
    <w:div w:id="1407066324">
      <w:bodyDiv w:val="1"/>
      <w:marLeft w:val="0"/>
      <w:marRight w:val="0"/>
      <w:marTop w:val="0"/>
      <w:marBottom w:val="0"/>
      <w:divBdr>
        <w:top w:val="none" w:sz="0" w:space="0" w:color="auto"/>
        <w:left w:val="none" w:sz="0" w:space="0" w:color="auto"/>
        <w:bottom w:val="none" w:sz="0" w:space="0" w:color="auto"/>
        <w:right w:val="none" w:sz="0" w:space="0" w:color="auto"/>
      </w:divBdr>
    </w:div>
    <w:div w:id="1407534484">
      <w:bodyDiv w:val="1"/>
      <w:marLeft w:val="0"/>
      <w:marRight w:val="0"/>
      <w:marTop w:val="0"/>
      <w:marBottom w:val="0"/>
      <w:divBdr>
        <w:top w:val="none" w:sz="0" w:space="0" w:color="auto"/>
        <w:left w:val="none" w:sz="0" w:space="0" w:color="auto"/>
        <w:bottom w:val="none" w:sz="0" w:space="0" w:color="auto"/>
        <w:right w:val="none" w:sz="0" w:space="0" w:color="auto"/>
      </w:divBdr>
    </w:div>
    <w:div w:id="1408578279">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
    <w:div w:id="1411151982">
      <w:bodyDiv w:val="1"/>
      <w:marLeft w:val="0"/>
      <w:marRight w:val="0"/>
      <w:marTop w:val="0"/>
      <w:marBottom w:val="0"/>
      <w:divBdr>
        <w:top w:val="none" w:sz="0" w:space="0" w:color="auto"/>
        <w:left w:val="none" w:sz="0" w:space="0" w:color="auto"/>
        <w:bottom w:val="none" w:sz="0" w:space="0" w:color="auto"/>
        <w:right w:val="none" w:sz="0" w:space="0" w:color="auto"/>
      </w:divBdr>
    </w:div>
    <w:div w:id="1411463732">
      <w:bodyDiv w:val="1"/>
      <w:marLeft w:val="0"/>
      <w:marRight w:val="0"/>
      <w:marTop w:val="0"/>
      <w:marBottom w:val="0"/>
      <w:divBdr>
        <w:top w:val="none" w:sz="0" w:space="0" w:color="auto"/>
        <w:left w:val="none" w:sz="0" w:space="0" w:color="auto"/>
        <w:bottom w:val="none" w:sz="0" w:space="0" w:color="auto"/>
        <w:right w:val="none" w:sz="0" w:space="0" w:color="auto"/>
      </w:divBdr>
    </w:div>
    <w:div w:id="1411806851">
      <w:bodyDiv w:val="1"/>
      <w:marLeft w:val="0"/>
      <w:marRight w:val="0"/>
      <w:marTop w:val="0"/>
      <w:marBottom w:val="0"/>
      <w:divBdr>
        <w:top w:val="none" w:sz="0" w:space="0" w:color="auto"/>
        <w:left w:val="none" w:sz="0" w:space="0" w:color="auto"/>
        <w:bottom w:val="none" w:sz="0" w:space="0" w:color="auto"/>
        <w:right w:val="none" w:sz="0" w:space="0" w:color="auto"/>
      </w:divBdr>
    </w:div>
    <w:div w:id="1411973719">
      <w:bodyDiv w:val="1"/>
      <w:marLeft w:val="0"/>
      <w:marRight w:val="0"/>
      <w:marTop w:val="0"/>
      <w:marBottom w:val="0"/>
      <w:divBdr>
        <w:top w:val="none" w:sz="0" w:space="0" w:color="auto"/>
        <w:left w:val="none" w:sz="0" w:space="0" w:color="auto"/>
        <w:bottom w:val="none" w:sz="0" w:space="0" w:color="auto"/>
        <w:right w:val="none" w:sz="0" w:space="0" w:color="auto"/>
      </w:divBdr>
    </w:div>
    <w:div w:id="1412586500">
      <w:bodyDiv w:val="1"/>
      <w:marLeft w:val="0"/>
      <w:marRight w:val="0"/>
      <w:marTop w:val="0"/>
      <w:marBottom w:val="0"/>
      <w:divBdr>
        <w:top w:val="none" w:sz="0" w:space="0" w:color="auto"/>
        <w:left w:val="none" w:sz="0" w:space="0" w:color="auto"/>
        <w:bottom w:val="none" w:sz="0" w:space="0" w:color="auto"/>
        <w:right w:val="none" w:sz="0" w:space="0" w:color="auto"/>
      </w:divBdr>
    </w:div>
    <w:div w:id="1413508227">
      <w:bodyDiv w:val="1"/>
      <w:marLeft w:val="0"/>
      <w:marRight w:val="0"/>
      <w:marTop w:val="0"/>
      <w:marBottom w:val="0"/>
      <w:divBdr>
        <w:top w:val="none" w:sz="0" w:space="0" w:color="auto"/>
        <w:left w:val="none" w:sz="0" w:space="0" w:color="auto"/>
        <w:bottom w:val="none" w:sz="0" w:space="0" w:color="auto"/>
        <w:right w:val="none" w:sz="0" w:space="0" w:color="auto"/>
      </w:divBdr>
    </w:div>
    <w:div w:id="1415782424">
      <w:bodyDiv w:val="1"/>
      <w:marLeft w:val="0"/>
      <w:marRight w:val="0"/>
      <w:marTop w:val="0"/>
      <w:marBottom w:val="0"/>
      <w:divBdr>
        <w:top w:val="none" w:sz="0" w:space="0" w:color="auto"/>
        <w:left w:val="none" w:sz="0" w:space="0" w:color="auto"/>
        <w:bottom w:val="none" w:sz="0" w:space="0" w:color="auto"/>
        <w:right w:val="none" w:sz="0" w:space="0" w:color="auto"/>
      </w:divBdr>
    </w:div>
    <w:div w:id="1416129963">
      <w:bodyDiv w:val="1"/>
      <w:marLeft w:val="0"/>
      <w:marRight w:val="0"/>
      <w:marTop w:val="0"/>
      <w:marBottom w:val="0"/>
      <w:divBdr>
        <w:top w:val="none" w:sz="0" w:space="0" w:color="auto"/>
        <w:left w:val="none" w:sz="0" w:space="0" w:color="auto"/>
        <w:bottom w:val="none" w:sz="0" w:space="0" w:color="auto"/>
        <w:right w:val="none" w:sz="0" w:space="0" w:color="auto"/>
      </w:divBdr>
    </w:div>
    <w:div w:id="1416781027">
      <w:bodyDiv w:val="1"/>
      <w:marLeft w:val="0"/>
      <w:marRight w:val="0"/>
      <w:marTop w:val="0"/>
      <w:marBottom w:val="0"/>
      <w:divBdr>
        <w:top w:val="none" w:sz="0" w:space="0" w:color="auto"/>
        <w:left w:val="none" w:sz="0" w:space="0" w:color="auto"/>
        <w:bottom w:val="none" w:sz="0" w:space="0" w:color="auto"/>
        <w:right w:val="none" w:sz="0" w:space="0" w:color="auto"/>
      </w:divBdr>
    </w:div>
    <w:div w:id="1419668433">
      <w:bodyDiv w:val="1"/>
      <w:marLeft w:val="0"/>
      <w:marRight w:val="0"/>
      <w:marTop w:val="0"/>
      <w:marBottom w:val="0"/>
      <w:divBdr>
        <w:top w:val="none" w:sz="0" w:space="0" w:color="auto"/>
        <w:left w:val="none" w:sz="0" w:space="0" w:color="auto"/>
        <w:bottom w:val="none" w:sz="0" w:space="0" w:color="auto"/>
        <w:right w:val="none" w:sz="0" w:space="0" w:color="auto"/>
      </w:divBdr>
    </w:div>
    <w:div w:id="1419790511">
      <w:bodyDiv w:val="1"/>
      <w:marLeft w:val="0"/>
      <w:marRight w:val="0"/>
      <w:marTop w:val="0"/>
      <w:marBottom w:val="0"/>
      <w:divBdr>
        <w:top w:val="none" w:sz="0" w:space="0" w:color="auto"/>
        <w:left w:val="none" w:sz="0" w:space="0" w:color="auto"/>
        <w:bottom w:val="none" w:sz="0" w:space="0" w:color="auto"/>
        <w:right w:val="none" w:sz="0" w:space="0" w:color="auto"/>
      </w:divBdr>
    </w:div>
    <w:div w:id="1420296783">
      <w:bodyDiv w:val="1"/>
      <w:marLeft w:val="0"/>
      <w:marRight w:val="0"/>
      <w:marTop w:val="0"/>
      <w:marBottom w:val="0"/>
      <w:divBdr>
        <w:top w:val="none" w:sz="0" w:space="0" w:color="auto"/>
        <w:left w:val="none" w:sz="0" w:space="0" w:color="auto"/>
        <w:bottom w:val="none" w:sz="0" w:space="0" w:color="auto"/>
        <w:right w:val="none" w:sz="0" w:space="0" w:color="auto"/>
      </w:divBdr>
    </w:div>
    <w:div w:id="1420368121">
      <w:bodyDiv w:val="1"/>
      <w:marLeft w:val="0"/>
      <w:marRight w:val="0"/>
      <w:marTop w:val="0"/>
      <w:marBottom w:val="0"/>
      <w:divBdr>
        <w:top w:val="none" w:sz="0" w:space="0" w:color="auto"/>
        <w:left w:val="none" w:sz="0" w:space="0" w:color="auto"/>
        <w:bottom w:val="none" w:sz="0" w:space="0" w:color="auto"/>
        <w:right w:val="none" w:sz="0" w:space="0" w:color="auto"/>
      </w:divBdr>
    </w:div>
    <w:div w:id="1421365773">
      <w:bodyDiv w:val="1"/>
      <w:marLeft w:val="0"/>
      <w:marRight w:val="0"/>
      <w:marTop w:val="0"/>
      <w:marBottom w:val="0"/>
      <w:divBdr>
        <w:top w:val="none" w:sz="0" w:space="0" w:color="auto"/>
        <w:left w:val="none" w:sz="0" w:space="0" w:color="auto"/>
        <w:bottom w:val="none" w:sz="0" w:space="0" w:color="auto"/>
        <w:right w:val="none" w:sz="0" w:space="0" w:color="auto"/>
      </w:divBdr>
    </w:div>
    <w:div w:id="1422332353">
      <w:bodyDiv w:val="1"/>
      <w:marLeft w:val="0"/>
      <w:marRight w:val="0"/>
      <w:marTop w:val="0"/>
      <w:marBottom w:val="0"/>
      <w:divBdr>
        <w:top w:val="none" w:sz="0" w:space="0" w:color="auto"/>
        <w:left w:val="none" w:sz="0" w:space="0" w:color="auto"/>
        <w:bottom w:val="none" w:sz="0" w:space="0" w:color="auto"/>
        <w:right w:val="none" w:sz="0" w:space="0" w:color="auto"/>
      </w:divBdr>
    </w:div>
    <w:div w:id="1422604221">
      <w:bodyDiv w:val="1"/>
      <w:marLeft w:val="0"/>
      <w:marRight w:val="0"/>
      <w:marTop w:val="0"/>
      <w:marBottom w:val="0"/>
      <w:divBdr>
        <w:top w:val="none" w:sz="0" w:space="0" w:color="auto"/>
        <w:left w:val="none" w:sz="0" w:space="0" w:color="auto"/>
        <w:bottom w:val="none" w:sz="0" w:space="0" w:color="auto"/>
        <w:right w:val="none" w:sz="0" w:space="0" w:color="auto"/>
      </w:divBdr>
    </w:div>
    <w:div w:id="1423186198">
      <w:bodyDiv w:val="1"/>
      <w:marLeft w:val="0"/>
      <w:marRight w:val="0"/>
      <w:marTop w:val="0"/>
      <w:marBottom w:val="0"/>
      <w:divBdr>
        <w:top w:val="none" w:sz="0" w:space="0" w:color="auto"/>
        <w:left w:val="none" w:sz="0" w:space="0" w:color="auto"/>
        <w:bottom w:val="none" w:sz="0" w:space="0" w:color="auto"/>
        <w:right w:val="none" w:sz="0" w:space="0" w:color="auto"/>
      </w:divBdr>
    </w:div>
    <w:div w:id="1424885832">
      <w:bodyDiv w:val="1"/>
      <w:marLeft w:val="0"/>
      <w:marRight w:val="0"/>
      <w:marTop w:val="0"/>
      <w:marBottom w:val="0"/>
      <w:divBdr>
        <w:top w:val="none" w:sz="0" w:space="0" w:color="auto"/>
        <w:left w:val="none" w:sz="0" w:space="0" w:color="auto"/>
        <w:bottom w:val="none" w:sz="0" w:space="0" w:color="auto"/>
        <w:right w:val="none" w:sz="0" w:space="0" w:color="auto"/>
      </w:divBdr>
    </w:div>
    <w:div w:id="1425418794">
      <w:bodyDiv w:val="1"/>
      <w:marLeft w:val="0"/>
      <w:marRight w:val="0"/>
      <w:marTop w:val="0"/>
      <w:marBottom w:val="0"/>
      <w:divBdr>
        <w:top w:val="none" w:sz="0" w:space="0" w:color="auto"/>
        <w:left w:val="none" w:sz="0" w:space="0" w:color="auto"/>
        <w:bottom w:val="none" w:sz="0" w:space="0" w:color="auto"/>
        <w:right w:val="none" w:sz="0" w:space="0" w:color="auto"/>
      </w:divBdr>
    </w:div>
    <w:div w:id="1425764867">
      <w:bodyDiv w:val="1"/>
      <w:marLeft w:val="0"/>
      <w:marRight w:val="0"/>
      <w:marTop w:val="0"/>
      <w:marBottom w:val="0"/>
      <w:divBdr>
        <w:top w:val="none" w:sz="0" w:space="0" w:color="auto"/>
        <w:left w:val="none" w:sz="0" w:space="0" w:color="auto"/>
        <w:bottom w:val="none" w:sz="0" w:space="0" w:color="auto"/>
        <w:right w:val="none" w:sz="0" w:space="0" w:color="auto"/>
      </w:divBdr>
    </w:div>
    <w:div w:id="1427116371">
      <w:bodyDiv w:val="1"/>
      <w:marLeft w:val="0"/>
      <w:marRight w:val="0"/>
      <w:marTop w:val="0"/>
      <w:marBottom w:val="0"/>
      <w:divBdr>
        <w:top w:val="none" w:sz="0" w:space="0" w:color="auto"/>
        <w:left w:val="none" w:sz="0" w:space="0" w:color="auto"/>
        <w:bottom w:val="none" w:sz="0" w:space="0" w:color="auto"/>
        <w:right w:val="none" w:sz="0" w:space="0" w:color="auto"/>
      </w:divBdr>
    </w:div>
    <w:div w:id="1427463904">
      <w:bodyDiv w:val="1"/>
      <w:marLeft w:val="0"/>
      <w:marRight w:val="0"/>
      <w:marTop w:val="0"/>
      <w:marBottom w:val="0"/>
      <w:divBdr>
        <w:top w:val="none" w:sz="0" w:space="0" w:color="auto"/>
        <w:left w:val="none" w:sz="0" w:space="0" w:color="auto"/>
        <w:bottom w:val="none" w:sz="0" w:space="0" w:color="auto"/>
        <w:right w:val="none" w:sz="0" w:space="0" w:color="auto"/>
      </w:divBdr>
    </w:div>
    <w:div w:id="1427655599">
      <w:bodyDiv w:val="1"/>
      <w:marLeft w:val="0"/>
      <w:marRight w:val="0"/>
      <w:marTop w:val="0"/>
      <w:marBottom w:val="0"/>
      <w:divBdr>
        <w:top w:val="none" w:sz="0" w:space="0" w:color="auto"/>
        <w:left w:val="none" w:sz="0" w:space="0" w:color="auto"/>
        <w:bottom w:val="none" w:sz="0" w:space="0" w:color="auto"/>
        <w:right w:val="none" w:sz="0" w:space="0" w:color="auto"/>
      </w:divBdr>
    </w:div>
    <w:div w:id="1428506025">
      <w:bodyDiv w:val="1"/>
      <w:marLeft w:val="0"/>
      <w:marRight w:val="0"/>
      <w:marTop w:val="0"/>
      <w:marBottom w:val="0"/>
      <w:divBdr>
        <w:top w:val="none" w:sz="0" w:space="0" w:color="auto"/>
        <w:left w:val="none" w:sz="0" w:space="0" w:color="auto"/>
        <w:bottom w:val="none" w:sz="0" w:space="0" w:color="auto"/>
        <w:right w:val="none" w:sz="0" w:space="0" w:color="auto"/>
      </w:divBdr>
    </w:div>
    <w:div w:id="1430077918">
      <w:bodyDiv w:val="1"/>
      <w:marLeft w:val="0"/>
      <w:marRight w:val="0"/>
      <w:marTop w:val="0"/>
      <w:marBottom w:val="0"/>
      <w:divBdr>
        <w:top w:val="none" w:sz="0" w:space="0" w:color="auto"/>
        <w:left w:val="none" w:sz="0" w:space="0" w:color="auto"/>
        <w:bottom w:val="none" w:sz="0" w:space="0" w:color="auto"/>
        <w:right w:val="none" w:sz="0" w:space="0" w:color="auto"/>
      </w:divBdr>
    </w:div>
    <w:div w:id="1432584117">
      <w:bodyDiv w:val="1"/>
      <w:marLeft w:val="0"/>
      <w:marRight w:val="0"/>
      <w:marTop w:val="0"/>
      <w:marBottom w:val="0"/>
      <w:divBdr>
        <w:top w:val="none" w:sz="0" w:space="0" w:color="auto"/>
        <w:left w:val="none" w:sz="0" w:space="0" w:color="auto"/>
        <w:bottom w:val="none" w:sz="0" w:space="0" w:color="auto"/>
        <w:right w:val="none" w:sz="0" w:space="0" w:color="auto"/>
      </w:divBdr>
    </w:div>
    <w:div w:id="1433160859">
      <w:bodyDiv w:val="1"/>
      <w:marLeft w:val="0"/>
      <w:marRight w:val="0"/>
      <w:marTop w:val="0"/>
      <w:marBottom w:val="0"/>
      <w:divBdr>
        <w:top w:val="none" w:sz="0" w:space="0" w:color="auto"/>
        <w:left w:val="none" w:sz="0" w:space="0" w:color="auto"/>
        <w:bottom w:val="none" w:sz="0" w:space="0" w:color="auto"/>
        <w:right w:val="none" w:sz="0" w:space="0" w:color="auto"/>
      </w:divBdr>
    </w:div>
    <w:div w:id="1435007337">
      <w:bodyDiv w:val="1"/>
      <w:marLeft w:val="0"/>
      <w:marRight w:val="0"/>
      <w:marTop w:val="0"/>
      <w:marBottom w:val="0"/>
      <w:divBdr>
        <w:top w:val="none" w:sz="0" w:space="0" w:color="auto"/>
        <w:left w:val="none" w:sz="0" w:space="0" w:color="auto"/>
        <w:bottom w:val="none" w:sz="0" w:space="0" w:color="auto"/>
        <w:right w:val="none" w:sz="0" w:space="0" w:color="auto"/>
      </w:divBdr>
    </w:div>
    <w:div w:id="1435248839">
      <w:bodyDiv w:val="1"/>
      <w:marLeft w:val="0"/>
      <w:marRight w:val="0"/>
      <w:marTop w:val="0"/>
      <w:marBottom w:val="0"/>
      <w:divBdr>
        <w:top w:val="none" w:sz="0" w:space="0" w:color="auto"/>
        <w:left w:val="none" w:sz="0" w:space="0" w:color="auto"/>
        <w:bottom w:val="none" w:sz="0" w:space="0" w:color="auto"/>
        <w:right w:val="none" w:sz="0" w:space="0" w:color="auto"/>
      </w:divBdr>
    </w:div>
    <w:div w:id="1436944389">
      <w:bodyDiv w:val="1"/>
      <w:marLeft w:val="0"/>
      <w:marRight w:val="0"/>
      <w:marTop w:val="0"/>
      <w:marBottom w:val="0"/>
      <w:divBdr>
        <w:top w:val="none" w:sz="0" w:space="0" w:color="auto"/>
        <w:left w:val="none" w:sz="0" w:space="0" w:color="auto"/>
        <w:bottom w:val="none" w:sz="0" w:space="0" w:color="auto"/>
        <w:right w:val="none" w:sz="0" w:space="0" w:color="auto"/>
      </w:divBdr>
    </w:div>
    <w:div w:id="1437289238">
      <w:bodyDiv w:val="1"/>
      <w:marLeft w:val="0"/>
      <w:marRight w:val="0"/>
      <w:marTop w:val="0"/>
      <w:marBottom w:val="0"/>
      <w:divBdr>
        <w:top w:val="none" w:sz="0" w:space="0" w:color="auto"/>
        <w:left w:val="none" w:sz="0" w:space="0" w:color="auto"/>
        <w:bottom w:val="none" w:sz="0" w:space="0" w:color="auto"/>
        <w:right w:val="none" w:sz="0" w:space="0" w:color="auto"/>
      </w:divBdr>
    </w:div>
    <w:div w:id="1439373913">
      <w:bodyDiv w:val="1"/>
      <w:marLeft w:val="0"/>
      <w:marRight w:val="0"/>
      <w:marTop w:val="0"/>
      <w:marBottom w:val="0"/>
      <w:divBdr>
        <w:top w:val="none" w:sz="0" w:space="0" w:color="auto"/>
        <w:left w:val="none" w:sz="0" w:space="0" w:color="auto"/>
        <w:bottom w:val="none" w:sz="0" w:space="0" w:color="auto"/>
        <w:right w:val="none" w:sz="0" w:space="0" w:color="auto"/>
      </w:divBdr>
    </w:div>
    <w:div w:id="1439763232">
      <w:bodyDiv w:val="1"/>
      <w:marLeft w:val="0"/>
      <w:marRight w:val="0"/>
      <w:marTop w:val="0"/>
      <w:marBottom w:val="0"/>
      <w:divBdr>
        <w:top w:val="none" w:sz="0" w:space="0" w:color="auto"/>
        <w:left w:val="none" w:sz="0" w:space="0" w:color="auto"/>
        <w:bottom w:val="none" w:sz="0" w:space="0" w:color="auto"/>
        <w:right w:val="none" w:sz="0" w:space="0" w:color="auto"/>
      </w:divBdr>
    </w:div>
    <w:div w:id="1440642146">
      <w:bodyDiv w:val="1"/>
      <w:marLeft w:val="0"/>
      <w:marRight w:val="0"/>
      <w:marTop w:val="0"/>
      <w:marBottom w:val="0"/>
      <w:divBdr>
        <w:top w:val="none" w:sz="0" w:space="0" w:color="auto"/>
        <w:left w:val="none" w:sz="0" w:space="0" w:color="auto"/>
        <w:bottom w:val="none" w:sz="0" w:space="0" w:color="auto"/>
        <w:right w:val="none" w:sz="0" w:space="0" w:color="auto"/>
      </w:divBdr>
    </w:div>
    <w:div w:id="1441608605">
      <w:bodyDiv w:val="1"/>
      <w:marLeft w:val="0"/>
      <w:marRight w:val="0"/>
      <w:marTop w:val="0"/>
      <w:marBottom w:val="0"/>
      <w:divBdr>
        <w:top w:val="none" w:sz="0" w:space="0" w:color="auto"/>
        <w:left w:val="none" w:sz="0" w:space="0" w:color="auto"/>
        <w:bottom w:val="none" w:sz="0" w:space="0" w:color="auto"/>
        <w:right w:val="none" w:sz="0" w:space="0" w:color="auto"/>
      </w:divBdr>
    </w:div>
    <w:div w:id="1443037270">
      <w:bodyDiv w:val="1"/>
      <w:marLeft w:val="0"/>
      <w:marRight w:val="0"/>
      <w:marTop w:val="0"/>
      <w:marBottom w:val="0"/>
      <w:divBdr>
        <w:top w:val="none" w:sz="0" w:space="0" w:color="auto"/>
        <w:left w:val="none" w:sz="0" w:space="0" w:color="auto"/>
        <w:bottom w:val="none" w:sz="0" w:space="0" w:color="auto"/>
        <w:right w:val="none" w:sz="0" w:space="0" w:color="auto"/>
      </w:divBdr>
    </w:div>
    <w:div w:id="1443305181">
      <w:bodyDiv w:val="1"/>
      <w:marLeft w:val="0"/>
      <w:marRight w:val="0"/>
      <w:marTop w:val="0"/>
      <w:marBottom w:val="0"/>
      <w:divBdr>
        <w:top w:val="none" w:sz="0" w:space="0" w:color="auto"/>
        <w:left w:val="none" w:sz="0" w:space="0" w:color="auto"/>
        <w:bottom w:val="none" w:sz="0" w:space="0" w:color="auto"/>
        <w:right w:val="none" w:sz="0" w:space="0" w:color="auto"/>
      </w:divBdr>
    </w:div>
    <w:div w:id="1444955525">
      <w:bodyDiv w:val="1"/>
      <w:marLeft w:val="0"/>
      <w:marRight w:val="0"/>
      <w:marTop w:val="0"/>
      <w:marBottom w:val="0"/>
      <w:divBdr>
        <w:top w:val="none" w:sz="0" w:space="0" w:color="auto"/>
        <w:left w:val="none" w:sz="0" w:space="0" w:color="auto"/>
        <w:bottom w:val="none" w:sz="0" w:space="0" w:color="auto"/>
        <w:right w:val="none" w:sz="0" w:space="0" w:color="auto"/>
      </w:divBdr>
    </w:div>
    <w:div w:id="1445347436">
      <w:bodyDiv w:val="1"/>
      <w:marLeft w:val="0"/>
      <w:marRight w:val="0"/>
      <w:marTop w:val="0"/>
      <w:marBottom w:val="0"/>
      <w:divBdr>
        <w:top w:val="none" w:sz="0" w:space="0" w:color="auto"/>
        <w:left w:val="none" w:sz="0" w:space="0" w:color="auto"/>
        <w:bottom w:val="none" w:sz="0" w:space="0" w:color="auto"/>
        <w:right w:val="none" w:sz="0" w:space="0" w:color="auto"/>
      </w:divBdr>
    </w:div>
    <w:div w:id="1446122035">
      <w:bodyDiv w:val="1"/>
      <w:marLeft w:val="0"/>
      <w:marRight w:val="0"/>
      <w:marTop w:val="0"/>
      <w:marBottom w:val="0"/>
      <w:divBdr>
        <w:top w:val="none" w:sz="0" w:space="0" w:color="auto"/>
        <w:left w:val="none" w:sz="0" w:space="0" w:color="auto"/>
        <w:bottom w:val="none" w:sz="0" w:space="0" w:color="auto"/>
        <w:right w:val="none" w:sz="0" w:space="0" w:color="auto"/>
      </w:divBdr>
    </w:div>
    <w:div w:id="1447045724">
      <w:bodyDiv w:val="1"/>
      <w:marLeft w:val="0"/>
      <w:marRight w:val="0"/>
      <w:marTop w:val="0"/>
      <w:marBottom w:val="0"/>
      <w:divBdr>
        <w:top w:val="none" w:sz="0" w:space="0" w:color="auto"/>
        <w:left w:val="none" w:sz="0" w:space="0" w:color="auto"/>
        <w:bottom w:val="none" w:sz="0" w:space="0" w:color="auto"/>
        <w:right w:val="none" w:sz="0" w:space="0" w:color="auto"/>
      </w:divBdr>
    </w:div>
    <w:div w:id="1449084185">
      <w:bodyDiv w:val="1"/>
      <w:marLeft w:val="0"/>
      <w:marRight w:val="0"/>
      <w:marTop w:val="0"/>
      <w:marBottom w:val="0"/>
      <w:divBdr>
        <w:top w:val="none" w:sz="0" w:space="0" w:color="auto"/>
        <w:left w:val="none" w:sz="0" w:space="0" w:color="auto"/>
        <w:bottom w:val="none" w:sz="0" w:space="0" w:color="auto"/>
        <w:right w:val="none" w:sz="0" w:space="0" w:color="auto"/>
      </w:divBdr>
    </w:div>
    <w:div w:id="1449470694">
      <w:bodyDiv w:val="1"/>
      <w:marLeft w:val="0"/>
      <w:marRight w:val="0"/>
      <w:marTop w:val="0"/>
      <w:marBottom w:val="0"/>
      <w:divBdr>
        <w:top w:val="none" w:sz="0" w:space="0" w:color="auto"/>
        <w:left w:val="none" w:sz="0" w:space="0" w:color="auto"/>
        <w:bottom w:val="none" w:sz="0" w:space="0" w:color="auto"/>
        <w:right w:val="none" w:sz="0" w:space="0" w:color="auto"/>
      </w:divBdr>
    </w:div>
    <w:div w:id="1450468056">
      <w:bodyDiv w:val="1"/>
      <w:marLeft w:val="0"/>
      <w:marRight w:val="0"/>
      <w:marTop w:val="0"/>
      <w:marBottom w:val="0"/>
      <w:divBdr>
        <w:top w:val="none" w:sz="0" w:space="0" w:color="auto"/>
        <w:left w:val="none" w:sz="0" w:space="0" w:color="auto"/>
        <w:bottom w:val="none" w:sz="0" w:space="0" w:color="auto"/>
        <w:right w:val="none" w:sz="0" w:space="0" w:color="auto"/>
      </w:divBdr>
    </w:div>
    <w:div w:id="1450588824">
      <w:bodyDiv w:val="1"/>
      <w:marLeft w:val="0"/>
      <w:marRight w:val="0"/>
      <w:marTop w:val="0"/>
      <w:marBottom w:val="0"/>
      <w:divBdr>
        <w:top w:val="none" w:sz="0" w:space="0" w:color="auto"/>
        <w:left w:val="none" w:sz="0" w:space="0" w:color="auto"/>
        <w:bottom w:val="none" w:sz="0" w:space="0" w:color="auto"/>
        <w:right w:val="none" w:sz="0" w:space="0" w:color="auto"/>
      </w:divBdr>
    </w:div>
    <w:div w:id="1450926934">
      <w:bodyDiv w:val="1"/>
      <w:marLeft w:val="0"/>
      <w:marRight w:val="0"/>
      <w:marTop w:val="0"/>
      <w:marBottom w:val="0"/>
      <w:divBdr>
        <w:top w:val="none" w:sz="0" w:space="0" w:color="auto"/>
        <w:left w:val="none" w:sz="0" w:space="0" w:color="auto"/>
        <w:bottom w:val="none" w:sz="0" w:space="0" w:color="auto"/>
        <w:right w:val="none" w:sz="0" w:space="0" w:color="auto"/>
      </w:divBdr>
    </w:div>
    <w:div w:id="1451779835">
      <w:bodyDiv w:val="1"/>
      <w:marLeft w:val="0"/>
      <w:marRight w:val="0"/>
      <w:marTop w:val="0"/>
      <w:marBottom w:val="0"/>
      <w:divBdr>
        <w:top w:val="none" w:sz="0" w:space="0" w:color="auto"/>
        <w:left w:val="none" w:sz="0" w:space="0" w:color="auto"/>
        <w:bottom w:val="none" w:sz="0" w:space="0" w:color="auto"/>
        <w:right w:val="none" w:sz="0" w:space="0" w:color="auto"/>
      </w:divBdr>
    </w:div>
    <w:div w:id="1452624054">
      <w:bodyDiv w:val="1"/>
      <w:marLeft w:val="0"/>
      <w:marRight w:val="0"/>
      <w:marTop w:val="0"/>
      <w:marBottom w:val="0"/>
      <w:divBdr>
        <w:top w:val="none" w:sz="0" w:space="0" w:color="auto"/>
        <w:left w:val="none" w:sz="0" w:space="0" w:color="auto"/>
        <w:bottom w:val="none" w:sz="0" w:space="0" w:color="auto"/>
        <w:right w:val="none" w:sz="0" w:space="0" w:color="auto"/>
      </w:divBdr>
    </w:div>
    <w:div w:id="1453867468">
      <w:bodyDiv w:val="1"/>
      <w:marLeft w:val="0"/>
      <w:marRight w:val="0"/>
      <w:marTop w:val="0"/>
      <w:marBottom w:val="0"/>
      <w:divBdr>
        <w:top w:val="none" w:sz="0" w:space="0" w:color="auto"/>
        <w:left w:val="none" w:sz="0" w:space="0" w:color="auto"/>
        <w:bottom w:val="none" w:sz="0" w:space="0" w:color="auto"/>
        <w:right w:val="none" w:sz="0" w:space="0" w:color="auto"/>
      </w:divBdr>
    </w:div>
    <w:div w:id="1454982039">
      <w:bodyDiv w:val="1"/>
      <w:marLeft w:val="0"/>
      <w:marRight w:val="0"/>
      <w:marTop w:val="0"/>
      <w:marBottom w:val="0"/>
      <w:divBdr>
        <w:top w:val="none" w:sz="0" w:space="0" w:color="auto"/>
        <w:left w:val="none" w:sz="0" w:space="0" w:color="auto"/>
        <w:bottom w:val="none" w:sz="0" w:space="0" w:color="auto"/>
        <w:right w:val="none" w:sz="0" w:space="0" w:color="auto"/>
      </w:divBdr>
    </w:div>
    <w:div w:id="1455178344">
      <w:bodyDiv w:val="1"/>
      <w:marLeft w:val="0"/>
      <w:marRight w:val="0"/>
      <w:marTop w:val="0"/>
      <w:marBottom w:val="0"/>
      <w:divBdr>
        <w:top w:val="none" w:sz="0" w:space="0" w:color="auto"/>
        <w:left w:val="none" w:sz="0" w:space="0" w:color="auto"/>
        <w:bottom w:val="none" w:sz="0" w:space="0" w:color="auto"/>
        <w:right w:val="none" w:sz="0" w:space="0" w:color="auto"/>
      </w:divBdr>
    </w:div>
    <w:div w:id="1455515069">
      <w:bodyDiv w:val="1"/>
      <w:marLeft w:val="0"/>
      <w:marRight w:val="0"/>
      <w:marTop w:val="0"/>
      <w:marBottom w:val="0"/>
      <w:divBdr>
        <w:top w:val="none" w:sz="0" w:space="0" w:color="auto"/>
        <w:left w:val="none" w:sz="0" w:space="0" w:color="auto"/>
        <w:bottom w:val="none" w:sz="0" w:space="0" w:color="auto"/>
        <w:right w:val="none" w:sz="0" w:space="0" w:color="auto"/>
      </w:divBdr>
    </w:div>
    <w:div w:id="1455715227">
      <w:bodyDiv w:val="1"/>
      <w:marLeft w:val="0"/>
      <w:marRight w:val="0"/>
      <w:marTop w:val="0"/>
      <w:marBottom w:val="0"/>
      <w:divBdr>
        <w:top w:val="none" w:sz="0" w:space="0" w:color="auto"/>
        <w:left w:val="none" w:sz="0" w:space="0" w:color="auto"/>
        <w:bottom w:val="none" w:sz="0" w:space="0" w:color="auto"/>
        <w:right w:val="none" w:sz="0" w:space="0" w:color="auto"/>
      </w:divBdr>
    </w:div>
    <w:div w:id="1456561104">
      <w:bodyDiv w:val="1"/>
      <w:marLeft w:val="0"/>
      <w:marRight w:val="0"/>
      <w:marTop w:val="0"/>
      <w:marBottom w:val="0"/>
      <w:divBdr>
        <w:top w:val="none" w:sz="0" w:space="0" w:color="auto"/>
        <w:left w:val="none" w:sz="0" w:space="0" w:color="auto"/>
        <w:bottom w:val="none" w:sz="0" w:space="0" w:color="auto"/>
        <w:right w:val="none" w:sz="0" w:space="0" w:color="auto"/>
      </w:divBdr>
    </w:div>
    <w:div w:id="1457289805">
      <w:bodyDiv w:val="1"/>
      <w:marLeft w:val="0"/>
      <w:marRight w:val="0"/>
      <w:marTop w:val="0"/>
      <w:marBottom w:val="0"/>
      <w:divBdr>
        <w:top w:val="none" w:sz="0" w:space="0" w:color="auto"/>
        <w:left w:val="none" w:sz="0" w:space="0" w:color="auto"/>
        <w:bottom w:val="none" w:sz="0" w:space="0" w:color="auto"/>
        <w:right w:val="none" w:sz="0" w:space="0" w:color="auto"/>
      </w:divBdr>
    </w:div>
    <w:div w:id="1461387764">
      <w:bodyDiv w:val="1"/>
      <w:marLeft w:val="0"/>
      <w:marRight w:val="0"/>
      <w:marTop w:val="0"/>
      <w:marBottom w:val="0"/>
      <w:divBdr>
        <w:top w:val="none" w:sz="0" w:space="0" w:color="auto"/>
        <w:left w:val="none" w:sz="0" w:space="0" w:color="auto"/>
        <w:bottom w:val="none" w:sz="0" w:space="0" w:color="auto"/>
        <w:right w:val="none" w:sz="0" w:space="0" w:color="auto"/>
      </w:divBdr>
    </w:div>
    <w:div w:id="1461412606">
      <w:bodyDiv w:val="1"/>
      <w:marLeft w:val="0"/>
      <w:marRight w:val="0"/>
      <w:marTop w:val="0"/>
      <w:marBottom w:val="0"/>
      <w:divBdr>
        <w:top w:val="none" w:sz="0" w:space="0" w:color="auto"/>
        <w:left w:val="none" w:sz="0" w:space="0" w:color="auto"/>
        <w:bottom w:val="none" w:sz="0" w:space="0" w:color="auto"/>
        <w:right w:val="none" w:sz="0" w:space="0" w:color="auto"/>
      </w:divBdr>
    </w:div>
    <w:div w:id="1461535976">
      <w:bodyDiv w:val="1"/>
      <w:marLeft w:val="0"/>
      <w:marRight w:val="0"/>
      <w:marTop w:val="0"/>
      <w:marBottom w:val="0"/>
      <w:divBdr>
        <w:top w:val="none" w:sz="0" w:space="0" w:color="auto"/>
        <w:left w:val="none" w:sz="0" w:space="0" w:color="auto"/>
        <w:bottom w:val="none" w:sz="0" w:space="0" w:color="auto"/>
        <w:right w:val="none" w:sz="0" w:space="0" w:color="auto"/>
      </w:divBdr>
    </w:div>
    <w:div w:id="1462262094">
      <w:bodyDiv w:val="1"/>
      <w:marLeft w:val="0"/>
      <w:marRight w:val="0"/>
      <w:marTop w:val="0"/>
      <w:marBottom w:val="0"/>
      <w:divBdr>
        <w:top w:val="none" w:sz="0" w:space="0" w:color="auto"/>
        <w:left w:val="none" w:sz="0" w:space="0" w:color="auto"/>
        <w:bottom w:val="none" w:sz="0" w:space="0" w:color="auto"/>
        <w:right w:val="none" w:sz="0" w:space="0" w:color="auto"/>
      </w:divBdr>
    </w:div>
    <w:div w:id="1462310362">
      <w:bodyDiv w:val="1"/>
      <w:marLeft w:val="0"/>
      <w:marRight w:val="0"/>
      <w:marTop w:val="0"/>
      <w:marBottom w:val="0"/>
      <w:divBdr>
        <w:top w:val="none" w:sz="0" w:space="0" w:color="auto"/>
        <w:left w:val="none" w:sz="0" w:space="0" w:color="auto"/>
        <w:bottom w:val="none" w:sz="0" w:space="0" w:color="auto"/>
        <w:right w:val="none" w:sz="0" w:space="0" w:color="auto"/>
      </w:divBdr>
    </w:div>
    <w:div w:id="1463501868">
      <w:bodyDiv w:val="1"/>
      <w:marLeft w:val="0"/>
      <w:marRight w:val="0"/>
      <w:marTop w:val="0"/>
      <w:marBottom w:val="0"/>
      <w:divBdr>
        <w:top w:val="none" w:sz="0" w:space="0" w:color="auto"/>
        <w:left w:val="none" w:sz="0" w:space="0" w:color="auto"/>
        <w:bottom w:val="none" w:sz="0" w:space="0" w:color="auto"/>
        <w:right w:val="none" w:sz="0" w:space="0" w:color="auto"/>
      </w:divBdr>
    </w:div>
    <w:div w:id="1464615413">
      <w:bodyDiv w:val="1"/>
      <w:marLeft w:val="0"/>
      <w:marRight w:val="0"/>
      <w:marTop w:val="0"/>
      <w:marBottom w:val="0"/>
      <w:divBdr>
        <w:top w:val="none" w:sz="0" w:space="0" w:color="auto"/>
        <w:left w:val="none" w:sz="0" w:space="0" w:color="auto"/>
        <w:bottom w:val="none" w:sz="0" w:space="0" w:color="auto"/>
        <w:right w:val="none" w:sz="0" w:space="0" w:color="auto"/>
      </w:divBdr>
    </w:div>
    <w:div w:id="1465343524">
      <w:bodyDiv w:val="1"/>
      <w:marLeft w:val="0"/>
      <w:marRight w:val="0"/>
      <w:marTop w:val="0"/>
      <w:marBottom w:val="0"/>
      <w:divBdr>
        <w:top w:val="none" w:sz="0" w:space="0" w:color="auto"/>
        <w:left w:val="none" w:sz="0" w:space="0" w:color="auto"/>
        <w:bottom w:val="none" w:sz="0" w:space="0" w:color="auto"/>
        <w:right w:val="none" w:sz="0" w:space="0" w:color="auto"/>
      </w:divBdr>
    </w:div>
    <w:div w:id="1465660390">
      <w:bodyDiv w:val="1"/>
      <w:marLeft w:val="0"/>
      <w:marRight w:val="0"/>
      <w:marTop w:val="0"/>
      <w:marBottom w:val="0"/>
      <w:divBdr>
        <w:top w:val="none" w:sz="0" w:space="0" w:color="auto"/>
        <w:left w:val="none" w:sz="0" w:space="0" w:color="auto"/>
        <w:bottom w:val="none" w:sz="0" w:space="0" w:color="auto"/>
        <w:right w:val="none" w:sz="0" w:space="0" w:color="auto"/>
      </w:divBdr>
    </w:div>
    <w:div w:id="1465998806">
      <w:bodyDiv w:val="1"/>
      <w:marLeft w:val="0"/>
      <w:marRight w:val="0"/>
      <w:marTop w:val="0"/>
      <w:marBottom w:val="0"/>
      <w:divBdr>
        <w:top w:val="none" w:sz="0" w:space="0" w:color="auto"/>
        <w:left w:val="none" w:sz="0" w:space="0" w:color="auto"/>
        <w:bottom w:val="none" w:sz="0" w:space="0" w:color="auto"/>
        <w:right w:val="none" w:sz="0" w:space="0" w:color="auto"/>
      </w:divBdr>
    </w:div>
    <w:div w:id="1466502968">
      <w:bodyDiv w:val="1"/>
      <w:marLeft w:val="0"/>
      <w:marRight w:val="0"/>
      <w:marTop w:val="0"/>
      <w:marBottom w:val="0"/>
      <w:divBdr>
        <w:top w:val="none" w:sz="0" w:space="0" w:color="auto"/>
        <w:left w:val="none" w:sz="0" w:space="0" w:color="auto"/>
        <w:bottom w:val="none" w:sz="0" w:space="0" w:color="auto"/>
        <w:right w:val="none" w:sz="0" w:space="0" w:color="auto"/>
      </w:divBdr>
    </w:div>
    <w:div w:id="1468038910">
      <w:bodyDiv w:val="1"/>
      <w:marLeft w:val="0"/>
      <w:marRight w:val="0"/>
      <w:marTop w:val="0"/>
      <w:marBottom w:val="0"/>
      <w:divBdr>
        <w:top w:val="none" w:sz="0" w:space="0" w:color="auto"/>
        <w:left w:val="none" w:sz="0" w:space="0" w:color="auto"/>
        <w:bottom w:val="none" w:sz="0" w:space="0" w:color="auto"/>
        <w:right w:val="none" w:sz="0" w:space="0" w:color="auto"/>
      </w:divBdr>
    </w:div>
    <w:div w:id="1469742496">
      <w:bodyDiv w:val="1"/>
      <w:marLeft w:val="0"/>
      <w:marRight w:val="0"/>
      <w:marTop w:val="0"/>
      <w:marBottom w:val="0"/>
      <w:divBdr>
        <w:top w:val="none" w:sz="0" w:space="0" w:color="auto"/>
        <w:left w:val="none" w:sz="0" w:space="0" w:color="auto"/>
        <w:bottom w:val="none" w:sz="0" w:space="0" w:color="auto"/>
        <w:right w:val="none" w:sz="0" w:space="0" w:color="auto"/>
      </w:divBdr>
    </w:div>
    <w:div w:id="1470593972">
      <w:bodyDiv w:val="1"/>
      <w:marLeft w:val="0"/>
      <w:marRight w:val="0"/>
      <w:marTop w:val="0"/>
      <w:marBottom w:val="0"/>
      <w:divBdr>
        <w:top w:val="none" w:sz="0" w:space="0" w:color="auto"/>
        <w:left w:val="none" w:sz="0" w:space="0" w:color="auto"/>
        <w:bottom w:val="none" w:sz="0" w:space="0" w:color="auto"/>
        <w:right w:val="none" w:sz="0" w:space="0" w:color="auto"/>
      </w:divBdr>
    </w:div>
    <w:div w:id="1473257998">
      <w:bodyDiv w:val="1"/>
      <w:marLeft w:val="0"/>
      <w:marRight w:val="0"/>
      <w:marTop w:val="0"/>
      <w:marBottom w:val="0"/>
      <w:divBdr>
        <w:top w:val="none" w:sz="0" w:space="0" w:color="auto"/>
        <w:left w:val="none" w:sz="0" w:space="0" w:color="auto"/>
        <w:bottom w:val="none" w:sz="0" w:space="0" w:color="auto"/>
        <w:right w:val="none" w:sz="0" w:space="0" w:color="auto"/>
      </w:divBdr>
    </w:div>
    <w:div w:id="1473718123">
      <w:bodyDiv w:val="1"/>
      <w:marLeft w:val="0"/>
      <w:marRight w:val="0"/>
      <w:marTop w:val="0"/>
      <w:marBottom w:val="0"/>
      <w:divBdr>
        <w:top w:val="none" w:sz="0" w:space="0" w:color="auto"/>
        <w:left w:val="none" w:sz="0" w:space="0" w:color="auto"/>
        <w:bottom w:val="none" w:sz="0" w:space="0" w:color="auto"/>
        <w:right w:val="none" w:sz="0" w:space="0" w:color="auto"/>
      </w:divBdr>
    </w:div>
    <w:div w:id="1473792305">
      <w:bodyDiv w:val="1"/>
      <w:marLeft w:val="0"/>
      <w:marRight w:val="0"/>
      <w:marTop w:val="0"/>
      <w:marBottom w:val="0"/>
      <w:divBdr>
        <w:top w:val="none" w:sz="0" w:space="0" w:color="auto"/>
        <w:left w:val="none" w:sz="0" w:space="0" w:color="auto"/>
        <w:bottom w:val="none" w:sz="0" w:space="0" w:color="auto"/>
        <w:right w:val="none" w:sz="0" w:space="0" w:color="auto"/>
      </w:divBdr>
    </w:div>
    <w:div w:id="1474520117">
      <w:bodyDiv w:val="1"/>
      <w:marLeft w:val="0"/>
      <w:marRight w:val="0"/>
      <w:marTop w:val="0"/>
      <w:marBottom w:val="0"/>
      <w:divBdr>
        <w:top w:val="none" w:sz="0" w:space="0" w:color="auto"/>
        <w:left w:val="none" w:sz="0" w:space="0" w:color="auto"/>
        <w:bottom w:val="none" w:sz="0" w:space="0" w:color="auto"/>
        <w:right w:val="none" w:sz="0" w:space="0" w:color="auto"/>
      </w:divBdr>
    </w:div>
    <w:div w:id="1474833064">
      <w:bodyDiv w:val="1"/>
      <w:marLeft w:val="0"/>
      <w:marRight w:val="0"/>
      <w:marTop w:val="0"/>
      <w:marBottom w:val="0"/>
      <w:divBdr>
        <w:top w:val="none" w:sz="0" w:space="0" w:color="auto"/>
        <w:left w:val="none" w:sz="0" w:space="0" w:color="auto"/>
        <w:bottom w:val="none" w:sz="0" w:space="0" w:color="auto"/>
        <w:right w:val="none" w:sz="0" w:space="0" w:color="auto"/>
      </w:divBdr>
    </w:div>
    <w:div w:id="1474906822">
      <w:bodyDiv w:val="1"/>
      <w:marLeft w:val="0"/>
      <w:marRight w:val="0"/>
      <w:marTop w:val="0"/>
      <w:marBottom w:val="0"/>
      <w:divBdr>
        <w:top w:val="none" w:sz="0" w:space="0" w:color="auto"/>
        <w:left w:val="none" w:sz="0" w:space="0" w:color="auto"/>
        <w:bottom w:val="none" w:sz="0" w:space="0" w:color="auto"/>
        <w:right w:val="none" w:sz="0" w:space="0" w:color="auto"/>
      </w:divBdr>
    </w:div>
    <w:div w:id="1477990332">
      <w:bodyDiv w:val="1"/>
      <w:marLeft w:val="0"/>
      <w:marRight w:val="0"/>
      <w:marTop w:val="0"/>
      <w:marBottom w:val="0"/>
      <w:divBdr>
        <w:top w:val="none" w:sz="0" w:space="0" w:color="auto"/>
        <w:left w:val="none" w:sz="0" w:space="0" w:color="auto"/>
        <w:bottom w:val="none" w:sz="0" w:space="0" w:color="auto"/>
        <w:right w:val="none" w:sz="0" w:space="0" w:color="auto"/>
      </w:divBdr>
    </w:div>
    <w:div w:id="1479179387">
      <w:bodyDiv w:val="1"/>
      <w:marLeft w:val="0"/>
      <w:marRight w:val="0"/>
      <w:marTop w:val="0"/>
      <w:marBottom w:val="0"/>
      <w:divBdr>
        <w:top w:val="none" w:sz="0" w:space="0" w:color="auto"/>
        <w:left w:val="none" w:sz="0" w:space="0" w:color="auto"/>
        <w:bottom w:val="none" w:sz="0" w:space="0" w:color="auto"/>
        <w:right w:val="none" w:sz="0" w:space="0" w:color="auto"/>
      </w:divBdr>
    </w:div>
    <w:div w:id="1480488993">
      <w:bodyDiv w:val="1"/>
      <w:marLeft w:val="0"/>
      <w:marRight w:val="0"/>
      <w:marTop w:val="0"/>
      <w:marBottom w:val="0"/>
      <w:divBdr>
        <w:top w:val="none" w:sz="0" w:space="0" w:color="auto"/>
        <w:left w:val="none" w:sz="0" w:space="0" w:color="auto"/>
        <w:bottom w:val="none" w:sz="0" w:space="0" w:color="auto"/>
        <w:right w:val="none" w:sz="0" w:space="0" w:color="auto"/>
      </w:divBdr>
    </w:div>
    <w:div w:id="1481460288">
      <w:bodyDiv w:val="1"/>
      <w:marLeft w:val="0"/>
      <w:marRight w:val="0"/>
      <w:marTop w:val="0"/>
      <w:marBottom w:val="0"/>
      <w:divBdr>
        <w:top w:val="none" w:sz="0" w:space="0" w:color="auto"/>
        <w:left w:val="none" w:sz="0" w:space="0" w:color="auto"/>
        <w:bottom w:val="none" w:sz="0" w:space="0" w:color="auto"/>
        <w:right w:val="none" w:sz="0" w:space="0" w:color="auto"/>
      </w:divBdr>
    </w:div>
    <w:div w:id="1482187681">
      <w:bodyDiv w:val="1"/>
      <w:marLeft w:val="0"/>
      <w:marRight w:val="0"/>
      <w:marTop w:val="0"/>
      <w:marBottom w:val="0"/>
      <w:divBdr>
        <w:top w:val="none" w:sz="0" w:space="0" w:color="auto"/>
        <w:left w:val="none" w:sz="0" w:space="0" w:color="auto"/>
        <w:bottom w:val="none" w:sz="0" w:space="0" w:color="auto"/>
        <w:right w:val="none" w:sz="0" w:space="0" w:color="auto"/>
      </w:divBdr>
    </w:div>
    <w:div w:id="1484467091">
      <w:bodyDiv w:val="1"/>
      <w:marLeft w:val="0"/>
      <w:marRight w:val="0"/>
      <w:marTop w:val="0"/>
      <w:marBottom w:val="0"/>
      <w:divBdr>
        <w:top w:val="none" w:sz="0" w:space="0" w:color="auto"/>
        <w:left w:val="none" w:sz="0" w:space="0" w:color="auto"/>
        <w:bottom w:val="none" w:sz="0" w:space="0" w:color="auto"/>
        <w:right w:val="none" w:sz="0" w:space="0" w:color="auto"/>
      </w:divBdr>
    </w:div>
    <w:div w:id="1486164032">
      <w:bodyDiv w:val="1"/>
      <w:marLeft w:val="0"/>
      <w:marRight w:val="0"/>
      <w:marTop w:val="0"/>
      <w:marBottom w:val="0"/>
      <w:divBdr>
        <w:top w:val="none" w:sz="0" w:space="0" w:color="auto"/>
        <w:left w:val="none" w:sz="0" w:space="0" w:color="auto"/>
        <w:bottom w:val="none" w:sz="0" w:space="0" w:color="auto"/>
        <w:right w:val="none" w:sz="0" w:space="0" w:color="auto"/>
      </w:divBdr>
    </w:div>
    <w:div w:id="1486703363">
      <w:bodyDiv w:val="1"/>
      <w:marLeft w:val="0"/>
      <w:marRight w:val="0"/>
      <w:marTop w:val="0"/>
      <w:marBottom w:val="0"/>
      <w:divBdr>
        <w:top w:val="none" w:sz="0" w:space="0" w:color="auto"/>
        <w:left w:val="none" w:sz="0" w:space="0" w:color="auto"/>
        <w:bottom w:val="none" w:sz="0" w:space="0" w:color="auto"/>
        <w:right w:val="none" w:sz="0" w:space="0" w:color="auto"/>
      </w:divBdr>
    </w:div>
    <w:div w:id="1486704327">
      <w:bodyDiv w:val="1"/>
      <w:marLeft w:val="0"/>
      <w:marRight w:val="0"/>
      <w:marTop w:val="0"/>
      <w:marBottom w:val="0"/>
      <w:divBdr>
        <w:top w:val="none" w:sz="0" w:space="0" w:color="auto"/>
        <w:left w:val="none" w:sz="0" w:space="0" w:color="auto"/>
        <w:bottom w:val="none" w:sz="0" w:space="0" w:color="auto"/>
        <w:right w:val="none" w:sz="0" w:space="0" w:color="auto"/>
      </w:divBdr>
    </w:div>
    <w:div w:id="1487934902">
      <w:bodyDiv w:val="1"/>
      <w:marLeft w:val="0"/>
      <w:marRight w:val="0"/>
      <w:marTop w:val="0"/>
      <w:marBottom w:val="0"/>
      <w:divBdr>
        <w:top w:val="none" w:sz="0" w:space="0" w:color="auto"/>
        <w:left w:val="none" w:sz="0" w:space="0" w:color="auto"/>
        <w:bottom w:val="none" w:sz="0" w:space="0" w:color="auto"/>
        <w:right w:val="none" w:sz="0" w:space="0" w:color="auto"/>
      </w:divBdr>
    </w:div>
    <w:div w:id="1488739887">
      <w:bodyDiv w:val="1"/>
      <w:marLeft w:val="0"/>
      <w:marRight w:val="0"/>
      <w:marTop w:val="0"/>
      <w:marBottom w:val="0"/>
      <w:divBdr>
        <w:top w:val="none" w:sz="0" w:space="0" w:color="auto"/>
        <w:left w:val="none" w:sz="0" w:space="0" w:color="auto"/>
        <w:bottom w:val="none" w:sz="0" w:space="0" w:color="auto"/>
        <w:right w:val="none" w:sz="0" w:space="0" w:color="auto"/>
      </w:divBdr>
    </w:div>
    <w:div w:id="1488744400">
      <w:bodyDiv w:val="1"/>
      <w:marLeft w:val="0"/>
      <w:marRight w:val="0"/>
      <w:marTop w:val="0"/>
      <w:marBottom w:val="0"/>
      <w:divBdr>
        <w:top w:val="none" w:sz="0" w:space="0" w:color="auto"/>
        <w:left w:val="none" w:sz="0" w:space="0" w:color="auto"/>
        <w:bottom w:val="none" w:sz="0" w:space="0" w:color="auto"/>
        <w:right w:val="none" w:sz="0" w:space="0" w:color="auto"/>
      </w:divBdr>
    </w:div>
    <w:div w:id="1489396013">
      <w:bodyDiv w:val="1"/>
      <w:marLeft w:val="0"/>
      <w:marRight w:val="0"/>
      <w:marTop w:val="0"/>
      <w:marBottom w:val="0"/>
      <w:divBdr>
        <w:top w:val="none" w:sz="0" w:space="0" w:color="auto"/>
        <w:left w:val="none" w:sz="0" w:space="0" w:color="auto"/>
        <w:bottom w:val="none" w:sz="0" w:space="0" w:color="auto"/>
        <w:right w:val="none" w:sz="0" w:space="0" w:color="auto"/>
      </w:divBdr>
    </w:div>
    <w:div w:id="1491214337">
      <w:bodyDiv w:val="1"/>
      <w:marLeft w:val="0"/>
      <w:marRight w:val="0"/>
      <w:marTop w:val="0"/>
      <w:marBottom w:val="0"/>
      <w:divBdr>
        <w:top w:val="none" w:sz="0" w:space="0" w:color="auto"/>
        <w:left w:val="none" w:sz="0" w:space="0" w:color="auto"/>
        <w:bottom w:val="none" w:sz="0" w:space="0" w:color="auto"/>
        <w:right w:val="none" w:sz="0" w:space="0" w:color="auto"/>
      </w:divBdr>
    </w:div>
    <w:div w:id="1493596452">
      <w:bodyDiv w:val="1"/>
      <w:marLeft w:val="0"/>
      <w:marRight w:val="0"/>
      <w:marTop w:val="0"/>
      <w:marBottom w:val="0"/>
      <w:divBdr>
        <w:top w:val="none" w:sz="0" w:space="0" w:color="auto"/>
        <w:left w:val="none" w:sz="0" w:space="0" w:color="auto"/>
        <w:bottom w:val="none" w:sz="0" w:space="0" w:color="auto"/>
        <w:right w:val="none" w:sz="0" w:space="0" w:color="auto"/>
      </w:divBdr>
    </w:div>
    <w:div w:id="1493982190">
      <w:bodyDiv w:val="1"/>
      <w:marLeft w:val="0"/>
      <w:marRight w:val="0"/>
      <w:marTop w:val="0"/>
      <w:marBottom w:val="0"/>
      <w:divBdr>
        <w:top w:val="none" w:sz="0" w:space="0" w:color="auto"/>
        <w:left w:val="none" w:sz="0" w:space="0" w:color="auto"/>
        <w:bottom w:val="none" w:sz="0" w:space="0" w:color="auto"/>
        <w:right w:val="none" w:sz="0" w:space="0" w:color="auto"/>
      </w:divBdr>
    </w:div>
    <w:div w:id="1495297005">
      <w:bodyDiv w:val="1"/>
      <w:marLeft w:val="0"/>
      <w:marRight w:val="0"/>
      <w:marTop w:val="0"/>
      <w:marBottom w:val="0"/>
      <w:divBdr>
        <w:top w:val="none" w:sz="0" w:space="0" w:color="auto"/>
        <w:left w:val="none" w:sz="0" w:space="0" w:color="auto"/>
        <w:bottom w:val="none" w:sz="0" w:space="0" w:color="auto"/>
        <w:right w:val="none" w:sz="0" w:space="0" w:color="auto"/>
      </w:divBdr>
    </w:div>
    <w:div w:id="1495300277">
      <w:bodyDiv w:val="1"/>
      <w:marLeft w:val="0"/>
      <w:marRight w:val="0"/>
      <w:marTop w:val="0"/>
      <w:marBottom w:val="0"/>
      <w:divBdr>
        <w:top w:val="none" w:sz="0" w:space="0" w:color="auto"/>
        <w:left w:val="none" w:sz="0" w:space="0" w:color="auto"/>
        <w:bottom w:val="none" w:sz="0" w:space="0" w:color="auto"/>
        <w:right w:val="none" w:sz="0" w:space="0" w:color="auto"/>
      </w:divBdr>
    </w:div>
    <w:div w:id="1495341974">
      <w:bodyDiv w:val="1"/>
      <w:marLeft w:val="0"/>
      <w:marRight w:val="0"/>
      <w:marTop w:val="0"/>
      <w:marBottom w:val="0"/>
      <w:divBdr>
        <w:top w:val="none" w:sz="0" w:space="0" w:color="auto"/>
        <w:left w:val="none" w:sz="0" w:space="0" w:color="auto"/>
        <w:bottom w:val="none" w:sz="0" w:space="0" w:color="auto"/>
        <w:right w:val="none" w:sz="0" w:space="0" w:color="auto"/>
      </w:divBdr>
    </w:div>
    <w:div w:id="1495680331">
      <w:bodyDiv w:val="1"/>
      <w:marLeft w:val="0"/>
      <w:marRight w:val="0"/>
      <w:marTop w:val="0"/>
      <w:marBottom w:val="0"/>
      <w:divBdr>
        <w:top w:val="none" w:sz="0" w:space="0" w:color="auto"/>
        <w:left w:val="none" w:sz="0" w:space="0" w:color="auto"/>
        <w:bottom w:val="none" w:sz="0" w:space="0" w:color="auto"/>
        <w:right w:val="none" w:sz="0" w:space="0" w:color="auto"/>
      </w:divBdr>
    </w:div>
    <w:div w:id="1496603453">
      <w:bodyDiv w:val="1"/>
      <w:marLeft w:val="0"/>
      <w:marRight w:val="0"/>
      <w:marTop w:val="0"/>
      <w:marBottom w:val="0"/>
      <w:divBdr>
        <w:top w:val="none" w:sz="0" w:space="0" w:color="auto"/>
        <w:left w:val="none" w:sz="0" w:space="0" w:color="auto"/>
        <w:bottom w:val="none" w:sz="0" w:space="0" w:color="auto"/>
        <w:right w:val="none" w:sz="0" w:space="0" w:color="auto"/>
      </w:divBdr>
    </w:div>
    <w:div w:id="1497184761">
      <w:bodyDiv w:val="1"/>
      <w:marLeft w:val="0"/>
      <w:marRight w:val="0"/>
      <w:marTop w:val="0"/>
      <w:marBottom w:val="0"/>
      <w:divBdr>
        <w:top w:val="none" w:sz="0" w:space="0" w:color="auto"/>
        <w:left w:val="none" w:sz="0" w:space="0" w:color="auto"/>
        <w:bottom w:val="none" w:sz="0" w:space="0" w:color="auto"/>
        <w:right w:val="none" w:sz="0" w:space="0" w:color="auto"/>
      </w:divBdr>
    </w:div>
    <w:div w:id="1497259564">
      <w:bodyDiv w:val="1"/>
      <w:marLeft w:val="0"/>
      <w:marRight w:val="0"/>
      <w:marTop w:val="0"/>
      <w:marBottom w:val="0"/>
      <w:divBdr>
        <w:top w:val="none" w:sz="0" w:space="0" w:color="auto"/>
        <w:left w:val="none" w:sz="0" w:space="0" w:color="auto"/>
        <w:bottom w:val="none" w:sz="0" w:space="0" w:color="auto"/>
        <w:right w:val="none" w:sz="0" w:space="0" w:color="auto"/>
      </w:divBdr>
    </w:div>
    <w:div w:id="1497266225">
      <w:bodyDiv w:val="1"/>
      <w:marLeft w:val="0"/>
      <w:marRight w:val="0"/>
      <w:marTop w:val="0"/>
      <w:marBottom w:val="0"/>
      <w:divBdr>
        <w:top w:val="none" w:sz="0" w:space="0" w:color="auto"/>
        <w:left w:val="none" w:sz="0" w:space="0" w:color="auto"/>
        <w:bottom w:val="none" w:sz="0" w:space="0" w:color="auto"/>
        <w:right w:val="none" w:sz="0" w:space="0" w:color="auto"/>
      </w:divBdr>
    </w:div>
    <w:div w:id="1497500734">
      <w:bodyDiv w:val="1"/>
      <w:marLeft w:val="0"/>
      <w:marRight w:val="0"/>
      <w:marTop w:val="0"/>
      <w:marBottom w:val="0"/>
      <w:divBdr>
        <w:top w:val="none" w:sz="0" w:space="0" w:color="auto"/>
        <w:left w:val="none" w:sz="0" w:space="0" w:color="auto"/>
        <w:bottom w:val="none" w:sz="0" w:space="0" w:color="auto"/>
        <w:right w:val="none" w:sz="0" w:space="0" w:color="auto"/>
      </w:divBdr>
    </w:div>
    <w:div w:id="1499272124">
      <w:bodyDiv w:val="1"/>
      <w:marLeft w:val="0"/>
      <w:marRight w:val="0"/>
      <w:marTop w:val="0"/>
      <w:marBottom w:val="0"/>
      <w:divBdr>
        <w:top w:val="none" w:sz="0" w:space="0" w:color="auto"/>
        <w:left w:val="none" w:sz="0" w:space="0" w:color="auto"/>
        <w:bottom w:val="none" w:sz="0" w:space="0" w:color="auto"/>
        <w:right w:val="none" w:sz="0" w:space="0" w:color="auto"/>
      </w:divBdr>
    </w:div>
    <w:div w:id="1499466944">
      <w:bodyDiv w:val="1"/>
      <w:marLeft w:val="0"/>
      <w:marRight w:val="0"/>
      <w:marTop w:val="0"/>
      <w:marBottom w:val="0"/>
      <w:divBdr>
        <w:top w:val="none" w:sz="0" w:space="0" w:color="auto"/>
        <w:left w:val="none" w:sz="0" w:space="0" w:color="auto"/>
        <w:bottom w:val="none" w:sz="0" w:space="0" w:color="auto"/>
        <w:right w:val="none" w:sz="0" w:space="0" w:color="auto"/>
      </w:divBdr>
    </w:div>
    <w:div w:id="1499542511">
      <w:bodyDiv w:val="1"/>
      <w:marLeft w:val="0"/>
      <w:marRight w:val="0"/>
      <w:marTop w:val="0"/>
      <w:marBottom w:val="0"/>
      <w:divBdr>
        <w:top w:val="none" w:sz="0" w:space="0" w:color="auto"/>
        <w:left w:val="none" w:sz="0" w:space="0" w:color="auto"/>
        <w:bottom w:val="none" w:sz="0" w:space="0" w:color="auto"/>
        <w:right w:val="none" w:sz="0" w:space="0" w:color="auto"/>
      </w:divBdr>
    </w:div>
    <w:div w:id="1500465581">
      <w:bodyDiv w:val="1"/>
      <w:marLeft w:val="0"/>
      <w:marRight w:val="0"/>
      <w:marTop w:val="0"/>
      <w:marBottom w:val="0"/>
      <w:divBdr>
        <w:top w:val="none" w:sz="0" w:space="0" w:color="auto"/>
        <w:left w:val="none" w:sz="0" w:space="0" w:color="auto"/>
        <w:bottom w:val="none" w:sz="0" w:space="0" w:color="auto"/>
        <w:right w:val="none" w:sz="0" w:space="0" w:color="auto"/>
      </w:divBdr>
    </w:div>
    <w:div w:id="1500540138">
      <w:bodyDiv w:val="1"/>
      <w:marLeft w:val="0"/>
      <w:marRight w:val="0"/>
      <w:marTop w:val="0"/>
      <w:marBottom w:val="0"/>
      <w:divBdr>
        <w:top w:val="none" w:sz="0" w:space="0" w:color="auto"/>
        <w:left w:val="none" w:sz="0" w:space="0" w:color="auto"/>
        <w:bottom w:val="none" w:sz="0" w:space="0" w:color="auto"/>
        <w:right w:val="none" w:sz="0" w:space="0" w:color="auto"/>
      </w:divBdr>
    </w:div>
    <w:div w:id="1501309830">
      <w:bodyDiv w:val="1"/>
      <w:marLeft w:val="0"/>
      <w:marRight w:val="0"/>
      <w:marTop w:val="0"/>
      <w:marBottom w:val="0"/>
      <w:divBdr>
        <w:top w:val="none" w:sz="0" w:space="0" w:color="auto"/>
        <w:left w:val="none" w:sz="0" w:space="0" w:color="auto"/>
        <w:bottom w:val="none" w:sz="0" w:space="0" w:color="auto"/>
        <w:right w:val="none" w:sz="0" w:space="0" w:color="auto"/>
      </w:divBdr>
    </w:div>
    <w:div w:id="1504004679">
      <w:bodyDiv w:val="1"/>
      <w:marLeft w:val="0"/>
      <w:marRight w:val="0"/>
      <w:marTop w:val="0"/>
      <w:marBottom w:val="0"/>
      <w:divBdr>
        <w:top w:val="none" w:sz="0" w:space="0" w:color="auto"/>
        <w:left w:val="none" w:sz="0" w:space="0" w:color="auto"/>
        <w:bottom w:val="none" w:sz="0" w:space="0" w:color="auto"/>
        <w:right w:val="none" w:sz="0" w:space="0" w:color="auto"/>
      </w:divBdr>
    </w:div>
    <w:div w:id="1504052399">
      <w:bodyDiv w:val="1"/>
      <w:marLeft w:val="0"/>
      <w:marRight w:val="0"/>
      <w:marTop w:val="0"/>
      <w:marBottom w:val="0"/>
      <w:divBdr>
        <w:top w:val="none" w:sz="0" w:space="0" w:color="auto"/>
        <w:left w:val="none" w:sz="0" w:space="0" w:color="auto"/>
        <w:bottom w:val="none" w:sz="0" w:space="0" w:color="auto"/>
        <w:right w:val="none" w:sz="0" w:space="0" w:color="auto"/>
      </w:divBdr>
    </w:div>
    <w:div w:id="1504200567">
      <w:bodyDiv w:val="1"/>
      <w:marLeft w:val="0"/>
      <w:marRight w:val="0"/>
      <w:marTop w:val="0"/>
      <w:marBottom w:val="0"/>
      <w:divBdr>
        <w:top w:val="none" w:sz="0" w:space="0" w:color="auto"/>
        <w:left w:val="none" w:sz="0" w:space="0" w:color="auto"/>
        <w:bottom w:val="none" w:sz="0" w:space="0" w:color="auto"/>
        <w:right w:val="none" w:sz="0" w:space="0" w:color="auto"/>
      </w:divBdr>
    </w:div>
    <w:div w:id="1504324071">
      <w:bodyDiv w:val="1"/>
      <w:marLeft w:val="0"/>
      <w:marRight w:val="0"/>
      <w:marTop w:val="0"/>
      <w:marBottom w:val="0"/>
      <w:divBdr>
        <w:top w:val="none" w:sz="0" w:space="0" w:color="auto"/>
        <w:left w:val="none" w:sz="0" w:space="0" w:color="auto"/>
        <w:bottom w:val="none" w:sz="0" w:space="0" w:color="auto"/>
        <w:right w:val="none" w:sz="0" w:space="0" w:color="auto"/>
      </w:divBdr>
    </w:div>
    <w:div w:id="1506281969">
      <w:bodyDiv w:val="1"/>
      <w:marLeft w:val="0"/>
      <w:marRight w:val="0"/>
      <w:marTop w:val="0"/>
      <w:marBottom w:val="0"/>
      <w:divBdr>
        <w:top w:val="none" w:sz="0" w:space="0" w:color="auto"/>
        <w:left w:val="none" w:sz="0" w:space="0" w:color="auto"/>
        <w:bottom w:val="none" w:sz="0" w:space="0" w:color="auto"/>
        <w:right w:val="none" w:sz="0" w:space="0" w:color="auto"/>
      </w:divBdr>
    </w:div>
    <w:div w:id="1508402650">
      <w:bodyDiv w:val="1"/>
      <w:marLeft w:val="0"/>
      <w:marRight w:val="0"/>
      <w:marTop w:val="0"/>
      <w:marBottom w:val="0"/>
      <w:divBdr>
        <w:top w:val="none" w:sz="0" w:space="0" w:color="auto"/>
        <w:left w:val="none" w:sz="0" w:space="0" w:color="auto"/>
        <w:bottom w:val="none" w:sz="0" w:space="0" w:color="auto"/>
        <w:right w:val="none" w:sz="0" w:space="0" w:color="auto"/>
      </w:divBdr>
    </w:div>
    <w:div w:id="1508906713">
      <w:bodyDiv w:val="1"/>
      <w:marLeft w:val="0"/>
      <w:marRight w:val="0"/>
      <w:marTop w:val="0"/>
      <w:marBottom w:val="0"/>
      <w:divBdr>
        <w:top w:val="none" w:sz="0" w:space="0" w:color="auto"/>
        <w:left w:val="none" w:sz="0" w:space="0" w:color="auto"/>
        <w:bottom w:val="none" w:sz="0" w:space="0" w:color="auto"/>
        <w:right w:val="none" w:sz="0" w:space="0" w:color="auto"/>
      </w:divBdr>
    </w:div>
    <w:div w:id="1508907003">
      <w:bodyDiv w:val="1"/>
      <w:marLeft w:val="0"/>
      <w:marRight w:val="0"/>
      <w:marTop w:val="0"/>
      <w:marBottom w:val="0"/>
      <w:divBdr>
        <w:top w:val="none" w:sz="0" w:space="0" w:color="auto"/>
        <w:left w:val="none" w:sz="0" w:space="0" w:color="auto"/>
        <w:bottom w:val="none" w:sz="0" w:space="0" w:color="auto"/>
        <w:right w:val="none" w:sz="0" w:space="0" w:color="auto"/>
      </w:divBdr>
    </w:div>
    <w:div w:id="1509368616">
      <w:bodyDiv w:val="1"/>
      <w:marLeft w:val="0"/>
      <w:marRight w:val="0"/>
      <w:marTop w:val="0"/>
      <w:marBottom w:val="0"/>
      <w:divBdr>
        <w:top w:val="none" w:sz="0" w:space="0" w:color="auto"/>
        <w:left w:val="none" w:sz="0" w:space="0" w:color="auto"/>
        <w:bottom w:val="none" w:sz="0" w:space="0" w:color="auto"/>
        <w:right w:val="none" w:sz="0" w:space="0" w:color="auto"/>
      </w:divBdr>
    </w:div>
    <w:div w:id="1512452522">
      <w:bodyDiv w:val="1"/>
      <w:marLeft w:val="0"/>
      <w:marRight w:val="0"/>
      <w:marTop w:val="0"/>
      <w:marBottom w:val="0"/>
      <w:divBdr>
        <w:top w:val="none" w:sz="0" w:space="0" w:color="auto"/>
        <w:left w:val="none" w:sz="0" w:space="0" w:color="auto"/>
        <w:bottom w:val="none" w:sz="0" w:space="0" w:color="auto"/>
        <w:right w:val="none" w:sz="0" w:space="0" w:color="auto"/>
      </w:divBdr>
    </w:div>
    <w:div w:id="1513760393">
      <w:bodyDiv w:val="1"/>
      <w:marLeft w:val="0"/>
      <w:marRight w:val="0"/>
      <w:marTop w:val="0"/>
      <w:marBottom w:val="0"/>
      <w:divBdr>
        <w:top w:val="none" w:sz="0" w:space="0" w:color="auto"/>
        <w:left w:val="none" w:sz="0" w:space="0" w:color="auto"/>
        <w:bottom w:val="none" w:sz="0" w:space="0" w:color="auto"/>
        <w:right w:val="none" w:sz="0" w:space="0" w:color="auto"/>
      </w:divBdr>
    </w:div>
    <w:div w:id="1514610603">
      <w:bodyDiv w:val="1"/>
      <w:marLeft w:val="0"/>
      <w:marRight w:val="0"/>
      <w:marTop w:val="0"/>
      <w:marBottom w:val="0"/>
      <w:divBdr>
        <w:top w:val="none" w:sz="0" w:space="0" w:color="auto"/>
        <w:left w:val="none" w:sz="0" w:space="0" w:color="auto"/>
        <w:bottom w:val="none" w:sz="0" w:space="0" w:color="auto"/>
        <w:right w:val="none" w:sz="0" w:space="0" w:color="auto"/>
      </w:divBdr>
    </w:div>
    <w:div w:id="1515070169">
      <w:bodyDiv w:val="1"/>
      <w:marLeft w:val="0"/>
      <w:marRight w:val="0"/>
      <w:marTop w:val="0"/>
      <w:marBottom w:val="0"/>
      <w:divBdr>
        <w:top w:val="none" w:sz="0" w:space="0" w:color="auto"/>
        <w:left w:val="none" w:sz="0" w:space="0" w:color="auto"/>
        <w:bottom w:val="none" w:sz="0" w:space="0" w:color="auto"/>
        <w:right w:val="none" w:sz="0" w:space="0" w:color="auto"/>
      </w:divBdr>
    </w:div>
    <w:div w:id="1516072208">
      <w:bodyDiv w:val="1"/>
      <w:marLeft w:val="0"/>
      <w:marRight w:val="0"/>
      <w:marTop w:val="0"/>
      <w:marBottom w:val="0"/>
      <w:divBdr>
        <w:top w:val="none" w:sz="0" w:space="0" w:color="auto"/>
        <w:left w:val="none" w:sz="0" w:space="0" w:color="auto"/>
        <w:bottom w:val="none" w:sz="0" w:space="0" w:color="auto"/>
        <w:right w:val="none" w:sz="0" w:space="0" w:color="auto"/>
      </w:divBdr>
    </w:div>
    <w:div w:id="1516647194">
      <w:bodyDiv w:val="1"/>
      <w:marLeft w:val="0"/>
      <w:marRight w:val="0"/>
      <w:marTop w:val="0"/>
      <w:marBottom w:val="0"/>
      <w:divBdr>
        <w:top w:val="none" w:sz="0" w:space="0" w:color="auto"/>
        <w:left w:val="none" w:sz="0" w:space="0" w:color="auto"/>
        <w:bottom w:val="none" w:sz="0" w:space="0" w:color="auto"/>
        <w:right w:val="none" w:sz="0" w:space="0" w:color="auto"/>
      </w:divBdr>
    </w:div>
    <w:div w:id="1519461423">
      <w:bodyDiv w:val="1"/>
      <w:marLeft w:val="0"/>
      <w:marRight w:val="0"/>
      <w:marTop w:val="0"/>
      <w:marBottom w:val="0"/>
      <w:divBdr>
        <w:top w:val="none" w:sz="0" w:space="0" w:color="auto"/>
        <w:left w:val="none" w:sz="0" w:space="0" w:color="auto"/>
        <w:bottom w:val="none" w:sz="0" w:space="0" w:color="auto"/>
        <w:right w:val="none" w:sz="0" w:space="0" w:color="auto"/>
      </w:divBdr>
    </w:div>
    <w:div w:id="1521697947">
      <w:bodyDiv w:val="1"/>
      <w:marLeft w:val="0"/>
      <w:marRight w:val="0"/>
      <w:marTop w:val="0"/>
      <w:marBottom w:val="0"/>
      <w:divBdr>
        <w:top w:val="none" w:sz="0" w:space="0" w:color="auto"/>
        <w:left w:val="none" w:sz="0" w:space="0" w:color="auto"/>
        <w:bottom w:val="none" w:sz="0" w:space="0" w:color="auto"/>
        <w:right w:val="none" w:sz="0" w:space="0" w:color="auto"/>
      </w:divBdr>
    </w:div>
    <w:div w:id="1521889564">
      <w:bodyDiv w:val="1"/>
      <w:marLeft w:val="0"/>
      <w:marRight w:val="0"/>
      <w:marTop w:val="0"/>
      <w:marBottom w:val="0"/>
      <w:divBdr>
        <w:top w:val="none" w:sz="0" w:space="0" w:color="auto"/>
        <w:left w:val="none" w:sz="0" w:space="0" w:color="auto"/>
        <w:bottom w:val="none" w:sz="0" w:space="0" w:color="auto"/>
        <w:right w:val="none" w:sz="0" w:space="0" w:color="auto"/>
      </w:divBdr>
    </w:div>
    <w:div w:id="1521973246">
      <w:bodyDiv w:val="1"/>
      <w:marLeft w:val="0"/>
      <w:marRight w:val="0"/>
      <w:marTop w:val="0"/>
      <w:marBottom w:val="0"/>
      <w:divBdr>
        <w:top w:val="none" w:sz="0" w:space="0" w:color="auto"/>
        <w:left w:val="none" w:sz="0" w:space="0" w:color="auto"/>
        <w:bottom w:val="none" w:sz="0" w:space="0" w:color="auto"/>
        <w:right w:val="none" w:sz="0" w:space="0" w:color="auto"/>
      </w:divBdr>
    </w:div>
    <w:div w:id="1522353958">
      <w:bodyDiv w:val="1"/>
      <w:marLeft w:val="0"/>
      <w:marRight w:val="0"/>
      <w:marTop w:val="0"/>
      <w:marBottom w:val="0"/>
      <w:divBdr>
        <w:top w:val="none" w:sz="0" w:space="0" w:color="auto"/>
        <w:left w:val="none" w:sz="0" w:space="0" w:color="auto"/>
        <w:bottom w:val="none" w:sz="0" w:space="0" w:color="auto"/>
        <w:right w:val="none" w:sz="0" w:space="0" w:color="auto"/>
      </w:divBdr>
    </w:div>
    <w:div w:id="1522817254">
      <w:bodyDiv w:val="1"/>
      <w:marLeft w:val="0"/>
      <w:marRight w:val="0"/>
      <w:marTop w:val="0"/>
      <w:marBottom w:val="0"/>
      <w:divBdr>
        <w:top w:val="none" w:sz="0" w:space="0" w:color="auto"/>
        <w:left w:val="none" w:sz="0" w:space="0" w:color="auto"/>
        <w:bottom w:val="none" w:sz="0" w:space="0" w:color="auto"/>
        <w:right w:val="none" w:sz="0" w:space="0" w:color="auto"/>
      </w:divBdr>
    </w:div>
    <w:div w:id="1523472600">
      <w:bodyDiv w:val="1"/>
      <w:marLeft w:val="0"/>
      <w:marRight w:val="0"/>
      <w:marTop w:val="0"/>
      <w:marBottom w:val="0"/>
      <w:divBdr>
        <w:top w:val="none" w:sz="0" w:space="0" w:color="auto"/>
        <w:left w:val="none" w:sz="0" w:space="0" w:color="auto"/>
        <w:bottom w:val="none" w:sz="0" w:space="0" w:color="auto"/>
        <w:right w:val="none" w:sz="0" w:space="0" w:color="auto"/>
      </w:divBdr>
    </w:div>
    <w:div w:id="1526022766">
      <w:bodyDiv w:val="1"/>
      <w:marLeft w:val="0"/>
      <w:marRight w:val="0"/>
      <w:marTop w:val="0"/>
      <w:marBottom w:val="0"/>
      <w:divBdr>
        <w:top w:val="none" w:sz="0" w:space="0" w:color="auto"/>
        <w:left w:val="none" w:sz="0" w:space="0" w:color="auto"/>
        <w:bottom w:val="none" w:sz="0" w:space="0" w:color="auto"/>
        <w:right w:val="none" w:sz="0" w:space="0" w:color="auto"/>
      </w:divBdr>
    </w:div>
    <w:div w:id="1526211669">
      <w:bodyDiv w:val="1"/>
      <w:marLeft w:val="0"/>
      <w:marRight w:val="0"/>
      <w:marTop w:val="0"/>
      <w:marBottom w:val="0"/>
      <w:divBdr>
        <w:top w:val="none" w:sz="0" w:space="0" w:color="auto"/>
        <w:left w:val="none" w:sz="0" w:space="0" w:color="auto"/>
        <w:bottom w:val="none" w:sz="0" w:space="0" w:color="auto"/>
        <w:right w:val="none" w:sz="0" w:space="0" w:color="auto"/>
      </w:divBdr>
    </w:div>
    <w:div w:id="1526940326">
      <w:bodyDiv w:val="1"/>
      <w:marLeft w:val="0"/>
      <w:marRight w:val="0"/>
      <w:marTop w:val="0"/>
      <w:marBottom w:val="0"/>
      <w:divBdr>
        <w:top w:val="none" w:sz="0" w:space="0" w:color="auto"/>
        <w:left w:val="none" w:sz="0" w:space="0" w:color="auto"/>
        <w:bottom w:val="none" w:sz="0" w:space="0" w:color="auto"/>
        <w:right w:val="none" w:sz="0" w:space="0" w:color="auto"/>
      </w:divBdr>
    </w:div>
    <w:div w:id="1528829306">
      <w:bodyDiv w:val="1"/>
      <w:marLeft w:val="0"/>
      <w:marRight w:val="0"/>
      <w:marTop w:val="0"/>
      <w:marBottom w:val="0"/>
      <w:divBdr>
        <w:top w:val="none" w:sz="0" w:space="0" w:color="auto"/>
        <w:left w:val="none" w:sz="0" w:space="0" w:color="auto"/>
        <w:bottom w:val="none" w:sz="0" w:space="0" w:color="auto"/>
        <w:right w:val="none" w:sz="0" w:space="0" w:color="auto"/>
      </w:divBdr>
    </w:div>
    <w:div w:id="1530291716">
      <w:bodyDiv w:val="1"/>
      <w:marLeft w:val="0"/>
      <w:marRight w:val="0"/>
      <w:marTop w:val="0"/>
      <w:marBottom w:val="0"/>
      <w:divBdr>
        <w:top w:val="none" w:sz="0" w:space="0" w:color="auto"/>
        <w:left w:val="none" w:sz="0" w:space="0" w:color="auto"/>
        <w:bottom w:val="none" w:sz="0" w:space="0" w:color="auto"/>
        <w:right w:val="none" w:sz="0" w:space="0" w:color="auto"/>
      </w:divBdr>
    </w:div>
    <w:div w:id="1531994121">
      <w:bodyDiv w:val="1"/>
      <w:marLeft w:val="0"/>
      <w:marRight w:val="0"/>
      <w:marTop w:val="0"/>
      <w:marBottom w:val="0"/>
      <w:divBdr>
        <w:top w:val="none" w:sz="0" w:space="0" w:color="auto"/>
        <w:left w:val="none" w:sz="0" w:space="0" w:color="auto"/>
        <w:bottom w:val="none" w:sz="0" w:space="0" w:color="auto"/>
        <w:right w:val="none" w:sz="0" w:space="0" w:color="auto"/>
      </w:divBdr>
    </w:div>
    <w:div w:id="1533611740">
      <w:bodyDiv w:val="1"/>
      <w:marLeft w:val="0"/>
      <w:marRight w:val="0"/>
      <w:marTop w:val="0"/>
      <w:marBottom w:val="0"/>
      <w:divBdr>
        <w:top w:val="none" w:sz="0" w:space="0" w:color="auto"/>
        <w:left w:val="none" w:sz="0" w:space="0" w:color="auto"/>
        <w:bottom w:val="none" w:sz="0" w:space="0" w:color="auto"/>
        <w:right w:val="none" w:sz="0" w:space="0" w:color="auto"/>
      </w:divBdr>
    </w:div>
    <w:div w:id="1533955324">
      <w:bodyDiv w:val="1"/>
      <w:marLeft w:val="0"/>
      <w:marRight w:val="0"/>
      <w:marTop w:val="0"/>
      <w:marBottom w:val="0"/>
      <w:divBdr>
        <w:top w:val="none" w:sz="0" w:space="0" w:color="auto"/>
        <w:left w:val="none" w:sz="0" w:space="0" w:color="auto"/>
        <w:bottom w:val="none" w:sz="0" w:space="0" w:color="auto"/>
        <w:right w:val="none" w:sz="0" w:space="0" w:color="auto"/>
      </w:divBdr>
    </w:div>
    <w:div w:id="1534924268">
      <w:bodyDiv w:val="1"/>
      <w:marLeft w:val="0"/>
      <w:marRight w:val="0"/>
      <w:marTop w:val="0"/>
      <w:marBottom w:val="0"/>
      <w:divBdr>
        <w:top w:val="none" w:sz="0" w:space="0" w:color="auto"/>
        <w:left w:val="none" w:sz="0" w:space="0" w:color="auto"/>
        <w:bottom w:val="none" w:sz="0" w:space="0" w:color="auto"/>
        <w:right w:val="none" w:sz="0" w:space="0" w:color="auto"/>
      </w:divBdr>
    </w:div>
    <w:div w:id="1536847725">
      <w:bodyDiv w:val="1"/>
      <w:marLeft w:val="0"/>
      <w:marRight w:val="0"/>
      <w:marTop w:val="0"/>
      <w:marBottom w:val="0"/>
      <w:divBdr>
        <w:top w:val="none" w:sz="0" w:space="0" w:color="auto"/>
        <w:left w:val="none" w:sz="0" w:space="0" w:color="auto"/>
        <w:bottom w:val="none" w:sz="0" w:space="0" w:color="auto"/>
        <w:right w:val="none" w:sz="0" w:space="0" w:color="auto"/>
      </w:divBdr>
    </w:div>
    <w:div w:id="1539275990">
      <w:bodyDiv w:val="1"/>
      <w:marLeft w:val="0"/>
      <w:marRight w:val="0"/>
      <w:marTop w:val="0"/>
      <w:marBottom w:val="0"/>
      <w:divBdr>
        <w:top w:val="none" w:sz="0" w:space="0" w:color="auto"/>
        <w:left w:val="none" w:sz="0" w:space="0" w:color="auto"/>
        <w:bottom w:val="none" w:sz="0" w:space="0" w:color="auto"/>
        <w:right w:val="none" w:sz="0" w:space="0" w:color="auto"/>
      </w:divBdr>
    </w:div>
    <w:div w:id="1541473451">
      <w:bodyDiv w:val="1"/>
      <w:marLeft w:val="0"/>
      <w:marRight w:val="0"/>
      <w:marTop w:val="0"/>
      <w:marBottom w:val="0"/>
      <w:divBdr>
        <w:top w:val="none" w:sz="0" w:space="0" w:color="auto"/>
        <w:left w:val="none" w:sz="0" w:space="0" w:color="auto"/>
        <w:bottom w:val="none" w:sz="0" w:space="0" w:color="auto"/>
        <w:right w:val="none" w:sz="0" w:space="0" w:color="auto"/>
      </w:divBdr>
    </w:div>
    <w:div w:id="1542202993">
      <w:bodyDiv w:val="1"/>
      <w:marLeft w:val="0"/>
      <w:marRight w:val="0"/>
      <w:marTop w:val="0"/>
      <w:marBottom w:val="0"/>
      <w:divBdr>
        <w:top w:val="none" w:sz="0" w:space="0" w:color="auto"/>
        <w:left w:val="none" w:sz="0" w:space="0" w:color="auto"/>
        <w:bottom w:val="none" w:sz="0" w:space="0" w:color="auto"/>
        <w:right w:val="none" w:sz="0" w:space="0" w:color="auto"/>
      </w:divBdr>
    </w:div>
    <w:div w:id="1542399961">
      <w:bodyDiv w:val="1"/>
      <w:marLeft w:val="0"/>
      <w:marRight w:val="0"/>
      <w:marTop w:val="0"/>
      <w:marBottom w:val="0"/>
      <w:divBdr>
        <w:top w:val="none" w:sz="0" w:space="0" w:color="auto"/>
        <w:left w:val="none" w:sz="0" w:space="0" w:color="auto"/>
        <w:bottom w:val="none" w:sz="0" w:space="0" w:color="auto"/>
        <w:right w:val="none" w:sz="0" w:space="0" w:color="auto"/>
      </w:divBdr>
    </w:div>
    <w:div w:id="1544319918">
      <w:bodyDiv w:val="1"/>
      <w:marLeft w:val="0"/>
      <w:marRight w:val="0"/>
      <w:marTop w:val="0"/>
      <w:marBottom w:val="0"/>
      <w:divBdr>
        <w:top w:val="none" w:sz="0" w:space="0" w:color="auto"/>
        <w:left w:val="none" w:sz="0" w:space="0" w:color="auto"/>
        <w:bottom w:val="none" w:sz="0" w:space="0" w:color="auto"/>
        <w:right w:val="none" w:sz="0" w:space="0" w:color="auto"/>
      </w:divBdr>
    </w:div>
    <w:div w:id="1544827463">
      <w:bodyDiv w:val="1"/>
      <w:marLeft w:val="0"/>
      <w:marRight w:val="0"/>
      <w:marTop w:val="0"/>
      <w:marBottom w:val="0"/>
      <w:divBdr>
        <w:top w:val="none" w:sz="0" w:space="0" w:color="auto"/>
        <w:left w:val="none" w:sz="0" w:space="0" w:color="auto"/>
        <w:bottom w:val="none" w:sz="0" w:space="0" w:color="auto"/>
        <w:right w:val="none" w:sz="0" w:space="0" w:color="auto"/>
      </w:divBdr>
    </w:div>
    <w:div w:id="1546403711">
      <w:bodyDiv w:val="1"/>
      <w:marLeft w:val="0"/>
      <w:marRight w:val="0"/>
      <w:marTop w:val="0"/>
      <w:marBottom w:val="0"/>
      <w:divBdr>
        <w:top w:val="none" w:sz="0" w:space="0" w:color="auto"/>
        <w:left w:val="none" w:sz="0" w:space="0" w:color="auto"/>
        <w:bottom w:val="none" w:sz="0" w:space="0" w:color="auto"/>
        <w:right w:val="none" w:sz="0" w:space="0" w:color="auto"/>
      </w:divBdr>
    </w:div>
    <w:div w:id="1546942018">
      <w:bodyDiv w:val="1"/>
      <w:marLeft w:val="0"/>
      <w:marRight w:val="0"/>
      <w:marTop w:val="0"/>
      <w:marBottom w:val="0"/>
      <w:divBdr>
        <w:top w:val="none" w:sz="0" w:space="0" w:color="auto"/>
        <w:left w:val="none" w:sz="0" w:space="0" w:color="auto"/>
        <w:bottom w:val="none" w:sz="0" w:space="0" w:color="auto"/>
        <w:right w:val="none" w:sz="0" w:space="0" w:color="auto"/>
      </w:divBdr>
    </w:div>
    <w:div w:id="1549301888">
      <w:bodyDiv w:val="1"/>
      <w:marLeft w:val="0"/>
      <w:marRight w:val="0"/>
      <w:marTop w:val="0"/>
      <w:marBottom w:val="0"/>
      <w:divBdr>
        <w:top w:val="none" w:sz="0" w:space="0" w:color="auto"/>
        <w:left w:val="none" w:sz="0" w:space="0" w:color="auto"/>
        <w:bottom w:val="none" w:sz="0" w:space="0" w:color="auto"/>
        <w:right w:val="none" w:sz="0" w:space="0" w:color="auto"/>
      </w:divBdr>
    </w:div>
    <w:div w:id="1550915814">
      <w:bodyDiv w:val="1"/>
      <w:marLeft w:val="0"/>
      <w:marRight w:val="0"/>
      <w:marTop w:val="0"/>
      <w:marBottom w:val="0"/>
      <w:divBdr>
        <w:top w:val="none" w:sz="0" w:space="0" w:color="auto"/>
        <w:left w:val="none" w:sz="0" w:space="0" w:color="auto"/>
        <w:bottom w:val="none" w:sz="0" w:space="0" w:color="auto"/>
        <w:right w:val="none" w:sz="0" w:space="0" w:color="auto"/>
      </w:divBdr>
    </w:div>
    <w:div w:id="1553226332">
      <w:bodyDiv w:val="1"/>
      <w:marLeft w:val="0"/>
      <w:marRight w:val="0"/>
      <w:marTop w:val="0"/>
      <w:marBottom w:val="0"/>
      <w:divBdr>
        <w:top w:val="none" w:sz="0" w:space="0" w:color="auto"/>
        <w:left w:val="none" w:sz="0" w:space="0" w:color="auto"/>
        <w:bottom w:val="none" w:sz="0" w:space="0" w:color="auto"/>
        <w:right w:val="none" w:sz="0" w:space="0" w:color="auto"/>
      </w:divBdr>
    </w:div>
    <w:div w:id="1553232204">
      <w:bodyDiv w:val="1"/>
      <w:marLeft w:val="0"/>
      <w:marRight w:val="0"/>
      <w:marTop w:val="0"/>
      <w:marBottom w:val="0"/>
      <w:divBdr>
        <w:top w:val="none" w:sz="0" w:space="0" w:color="auto"/>
        <w:left w:val="none" w:sz="0" w:space="0" w:color="auto"/>
        <w:bottom w:val="none" w:sz="0" w:space="0" w:color="auto"/>
        <w:right w:val="none" w:sz="0" w:space="0" w:color="auto"/>
      </w:divBdr>
    </w:div>
    <w:div w:id="1554074220">
      <w:bodyDiv w:val="1"/>
      <w:marLeft w:val="0"/>
      <w:marRight w:val="0"/>
      <w:marTop w:val="0"/>
      <w:marBottom w:val="0"/>
      <w:divBdr>
        <w:top w:val="none" w:sz="0" w:space="0" w:color="auto"/>
        <w:left w:val="none" w:sz="0" w:space="0" w:color="auto"/>
        <w:bottom w:val="none" w:sz="0" w:space="0" w:color="auto"/>
        <w:right w:val="none" w:sz="0" w:space="0" w:color="auto"/>
      </w:divBdr>
    </w:div>
    <w:div w:id="1555850270">
      <w:bodyDiv w:val="1"/>
      <w:marLeft w:val="0"/>
      <w:marRight w:val="0"/>
      <w:marTop w:val="0"/>
      <w:marBottom w:val="0"/>
      <w:divBdr>
        <w:top w:val="none" w:sz="0" w:space="0" w:color="auto"/>
        <w:left w:val="none" w:sz="0" w:space="0" w:color="auto"/>
        <w:bottom w:val="none" w:sz="0" w:space="0" w:color="auto"/>
        <w:right w:val="none" w:sz="0" w:space="0" w:color="auto"/>
      </w:divBdr>
    </w:div>
    <w:div w:id="1555968124">
      <w:bodyDiv w:val="1"/>
      <w:marLeft w:val="0"/>
      <w:marRight w:val="0"/>
      <w:marTop w:val="0"/>
      <w:marBottom w:val="0"/>
      <w:divBdr>
        <w:top w:val="none" w:sz="0" w:space="0" w:color="auto"/>
        <w:left w:val="none" w:sz="0" w:space="0" w:color="auto"/>
        <w:bottom w:val="none" w:sz="0" w:space="0" w:color="auto"/>
        <w:right w:val="none" w:sz="0" w:space="0" w:color="auto"/>
      </w:divBdr>
    </w:div>
    <w:div w:id="1558080140">
      <w:bodyDiv w:val="1"/>
      <w:marLeft w:val="0"/>
      <w:marRight w:val="0"/>
      <w:marTop w:val="0"/>
      <w:marBottom w:val="0"/>
      <w:divBdr>
        <w:top w:val="none" w:sz="0" w:space="0" w:color="auto"/>
        <w:left w:val="none" w:sz="0" w:space="0" w:color="auto"/>
        <w:bottom w:val="none" w:sz="0" w:space="0" w:color="auto"/>
        <w:right w:val="none" w:sz="0" w:space="0" w:color="auto"/>
      </w:divBdr>
    </w:div>
    <w:div w:id="1561400850">
      <w:bodyDiv w:val="1"/>
      <w:marLeft w:val="0"/>
      <w:marRight w:val="0"/>
      <w:marTop w:val="0"/>
      <w:marBottom w:val="0"/>
      <w:divBdr>
        <w:top w:val="none" w:sz="0" w:space="0" w:color="auto"/>
        <w:left w:val="none" w:sz="0" w:space="0" w:color="auto"/>
        <w:bottom w:val="none" w:sz="0" w:space="0" w:color="auto"/>
        <w:right w:val="none" w:sz="0" w:space="0" w:color="auto"/>
      </w:divBdr>
    </w:div>
    <w:div w:id="1562599306">
      <w:bodyDiv w:val="1"/>
      <w:marLeft w:val="0"/>
      <w:marRight w:val="0"/>
      <w:marTop w:val="0"/>
      <w:marBottom w:val="0"/>
      <w:divBdr>
        <w:top w:val="none" w:sz="0" w:space="0" w:color="auto"/>
        <w:left w:val="none" w:sz="0" w:space="0" w:color="auto"/>
        <w:bottom w:val="none" w:sz="0" w:space="0" w:color="auto"/>
        <w:right w:val="none" w:sz="0" w:space="0" w:color="auto"/>
      </w:divBdr>
    </w:div>
    <w:div w:id="1563252737">
      <w:bodyDiv w:val="1"/>
      <w:marLeft w:val="0"/>
      <w:marRight w:val="0"/>
      <w:marTop w:val="0"/>
      <w:marBottom w:val="0"/>
      <w:divBdr>
        <w:top w:val="none" w:sz="0" w:space="0" w:color="auto"/>
        <w:left w:val="none" w:sz="0" w:space="0" w:color="auto"/>
        <w:bottom w:val="none" w:sz="0" w:space="0" w:color="auto"/>
        <w:right w:val="none" w:sz="0" w:space="0" w:color="auto"/>
      </w:divBdr>
    </w:div>
    <w:div w:id="1564025120">
      <w:bodyDiv w:val="1"/>
      <w:marLeft w:val="0"/>
      <w:marRight w:val="0"/>
      <w:marTop w:val="0"/>
      <w:marBottom w:val="0"/>
      <w:divBdr>
        <w:top w:val="none" w:sz="0" w:space="0" w:color="auto"/>
        <w:left w:val="none" w:sz="0" w:space="0" w:color="auto"/>
        <w:bottom w:val="none" w:sz="0" w:space="0" w:color="auto"/>
        <w:right w:val="none" w:sz="0" w:space="0" w:color="auto"/>
      </w:divBdr>
    </w:div>
    <w:div w:id="1564482796">
      <w:bodyDiv w:val="1"/>
      <w:marLeft w:val="0"/>
      <w:marRight w:val="0"/>
      <w:marTop w:val="0"/>
      <w:marBottom w:val="0"/>
      <w:divBdr>
        <w:top w:val="none" w:sz="0" w:space="0" w:color="auto"/>
        <w:left w:val="none" w:sz="0" w:space="0" w:color="auto"/>
        <w:bottom w:val="none" w:sz="0" w:space="0" w:color="auto"/>
        <w:right w:val="none" w:sz="0" w:space="0" w:color="auto"/>
      </w:divBdr>
    </w:div>
    <w:div w:id="1565412646">
      <w:bodyDiv w:val="1"/>
      <w:marLeft w:val="0"/>
      <w:marRight w:val="0"/>
      <w:marTop w:val="0"/>
      <w:marBottom w:val="0"/>
      <w:divBdr>
        <w:top w:val="none" w:sz="0" w:space="0" w:color="auto"/>
        <w:left w:val="none" w:sz="0" w:space="0" w:color="auto"/>
        <w:bottom w:val="none" w:sz="0" w:space="0" w:color="auto"/>
        <w:right w:val="none" w:sz="0" w:space="0" w:color="auto"/>
      </w:divBdr>
    </w:div>
    <w:div w:id="1566184991">
      <w:bodyDiv w:val="1"/>
      <w:marLeft w:val="0"/>
      <w:marRight w:val="0"/>
      <w:marTop w:val="0"/>
      <w:marBottom w:val="0"/>
      <w:divBdr>
        <w:top w:val="none" w:sz="0" w:space="0" w:color="auto"/>
        <w:left w:val="none" w:sz="0" w:space="0" w:color="auto"/>
        <w:bottom w:val="none" w:sz="0" w:space="0" w:color="auto"/>
        <w:right w:val="none" w:sz="0" w:space="0" w:color="auto"/>
      </w:divBdr>
    </w:div>
    <w:div w:id="1566602689">
      <w:bodyDiv w:val="1"/>
      <w:marLeft w:val="0"/>
      <w:marRight w:val="0"/>
      <w:marTop w:val="0"/>
      <w:marBottom w:val="0"/>
      <w:divBdr>
        <w:top w:val="none" w:sz="0" w:space="0" w:color="auto"/>
        <w:left w:val="none" w:sz="0" w:space="0" w:color="auto"/>
        <w:bottom w:val="none" w:sz="0" w:space="0" w:color="auto"/>
        <w:right w:val="none" w:sz="0" w:space="0" w:color="auto"/>
      </w:divBdr>
    </w:div>
    <w:div w:id="1567566368">
      <w:bodyDiv w:val="1"/>
      <w:marLeft w:val="0"/>
      <w:marRight w:val="0"/>
      <w:marTop w:val="0"/>
      <w:marBottom w:val="0"/>
      <w:divBdr>
        <w:top w:val="none" w:sz="0" w:space="0" w:color="auto"/>
        <w:left w:val="none" w:sz="0" w:space="0" w:color="auto"/>
        <w:bottom w:val="none" w:sz="0" w:space="0" w:color="auto"/>
        <w:right w:val="none" w:sz="0" w:space="0" w:color="auto"/>
      </w:divBdr>
    </w:div>
    <w:div w:id="1567952978">
      <w:bodyDiv w:val="1"/>
      <w:marLeft w:val="0"/>
      <w:marRight w:val="0"/>
      <w:marTop w:val="0"/>
      <w:marBottom w:val="0"/>
      <w:divBdr>
        <w:top w:val="none" w:sz="0" w:space="0" w:color="auto"/>
        <w:left w:val="none" w:sz="0" w:space="0" w:color="auto"/>
        <w:bottom w:val="none" w:sz="0" w:space="0" w:color="auto"/>
        <w:right w:val="none" w:sz="0" w:space="0" w:color="auto"/>
      </w:divBdr>
    </w:div>
    <w:div w:id="1568682614">
      <w:bodyDiv w:val="1"/>
      <w:marLeft w:val="0"/>
      <w:marRight w:val="0"/>
      <w:marTop w:val="0"/>
      <w:marBottom w:val="0"/>
      <w:divBdr>
        <w:top w:val="none" w:sz="0" w:space="0" w:color="auto"/>
        <w:left w:val="none" w:sz="0" w:space="0" w:color="auto"/>
        <w:bottom w:val="none" w:sz="0" w:space="0" w:color="auto"/>
        <w:right w:val="none" w:sz="0" w:space="0" w:color="auto"/>
      </w:divBdr>
    </w:div>
    <w:div w:id="1568808955">
      <w:bodyDiv w:val="1"/>
      <w:marLeft w:val="0"/>
      <w:marRight w:val="0"/>
      <w:marTop w:val="0"/>
      <w:marBottom w:val="0"/>
      <w:divBdr>
        <w:top w:val="none" w:sz="0" w:space="0" w:color="auto"/>
        <w:left w:val="none" w:sz="0" w:space="0" w:color="auto"/>
        <w:bottom w:val="none" w:sz="0" w:space="0" w:color="auto"/>
        <w:right w:val="none" w:sz="0" w:space="0" w:color="auto"/>
      </w:divBdr>
    </w:div>
    <w:div w:id="1569539549">
      <w:bodyDiv w:val="1"/>
      <w:marLeft w:val="0"/>
      <w:marRight w:val="0"/>
      <w:marTop w:val="0"/>
      <w:marBottom w:val="0"/>
      <w:divBdr>
        <w:top w:val="none" w:sz="0" w:space="0" w:color="auto"/>
        <w:left w:val="none" w:sz="0" w:space="0" w:color="auto"/>
        <w:bottom w:val="none" w:sz="0" w:space="0" w:color="auto"/>
        <w:right w:val="none" w:sz="0" w:space="0" w:color="auto"/>
      </w:divBdr>
    </w:div>
    <w:div w:id="1570921681">
      <w:bodyDiv w:val="1"/>
      <w:marLeft w:val="0"/>
      <w:marRight w:val="0"/>
      <w:marTop w:val="0"/>
      <w:marBottom w:val="0"/>
      <w:divBdr>
        <w:top w:val="none" w:sz="0" w:space="0" w:color="auto"/>
        <w:left w:val="none" w:sz="0" w:space="0" w:color="auto"/>
        <w:bottom w:val="none" w:sz="0" w:space="0" w:color="auto"/>
        <w:right w:val="none" w:sz="0" w:space="0" w:color="auto"/>
      </w:divBdr>
    </w:div>
    <w:div w:id="1572615925">
      <w:bodyDiv w:val="1"/>
      <w:marLeft w:val="0"/>
      <w:marRight w:val="0"/>
      <w:marTop w:val="0"/>
      <w:marBottom w:val="0"/>
      <w:divBdr>
        <w:top w:val="none" w:sz="0" w:space="0" w:color="auto"/>
        <w:left w:val="none" w:sz="0" w:space="0" w:color="auto"/>
        <w:bottom w:val="none" w:sz="0" w:space="0" w:color="auto"/>
        <w:right w:val="none" w:sz="0" w:space="0" w:color="auto"/>
      </w:divBdr>
    </w:div>
    <w:div w:id="1574005440">
      <w:bodyDiv w:val="1"/>
      <w:marLeft w:val="0"/>
      <w:marRight w:val="0"/>
      <w:marTop w:val="0"/>
      <w:marBottom w:val="0"/>
      <w:divBdr>
        <w:top w:val="none" w:sz="0" w:space="0" w:color="auto"/>
        <w:left w:val="none" w:sz="0" w:space="0" w:color="auto"/>
        <w:bottom w:val="none" w:sz="0" w:space="0" w:color="auto"/>
        <w:right w:val="none" w:sz="0" w:space="0" w:color="auto"/>
      </w:divBdr>
    </w:div>
    <w:div w:id="1574120381">
      <w:bodyDiv w:val="1"/>
      <w:marLeft w:val="0"/>
      <w:marRight w:val="0"/>
      <w:marTop w:val="0"/>
      <w:marBottom w:val="0"/>
      <w:divBdr>
        <w:top w:val="none" w:sz="0" w:space="0" w:color="auto"/>
        <w:left w:val="none" w:sz="0" w:space="0" w:color="auto"/>
        <w:bottom w:val="none" w:sz="0" w:space="0" w:color="auto"/>
        <w:right w:val="none" w:sz="0" w:space="0" w:color="auto"/>
      </w:divBdr>
    </w:div>
    <w:div w:id="1574199426">
      <w:bodyDiv w:val="1"/>
      <w:marLeft w:val="0"/>
      <w:marRight w:val="0"/>
      <w:marTop w:val="0"/>
      <w:marBottom w:val="0"/>
      <w:divBdr>
        <w:top w:val="none" w:sz="0" w:space="0" w:color="auto"/>
        <w:left w:val="none" w:sz="0" w:space="0" w:color="auto"/>
        <w:bottom w:val="none" w:sz="0" w:space="0" w:color="auto"/>
        <w:right w:val="none" w:sz="0" w:space="0" w:color="auto"/>
      </w:divBdr>
    </w:div>
    <w:div w:id="1574243434">
      <w:bodyDiv w:val="1"/>
      <w:marLeft w:val="0"/>
      <w:marRight w:val="0"/>
      <w:marTop w:val="0"/>
      <w:marBottom w:val="0"/>
      <w:divBdr>
        <w:top w:val="none" w:sz="0" w:space="0" w:color="auto"/>
        <w:left w:val="none" w:sz="0" w:space="0" w:color="auto"/>
        <w:bottom w:val="none" w:sz="0" w:space="0" w:color="auto"/>
        <w:right w:val="none" w:sz="0" w:space="0" w:color="auto"/>
      </w:divBdr>
    </w:div>
    <w:div w:id="1574313157">
      <w:bodyDiv w:val="1"/>
      <w:marLeft w:val="0"/>
      <w:marRight w:val="0"/>
      <w:marTop w:val="0"/>
      <w:marBottom w:val="0"/>
      <w:divBdr>
        <w:top w:val="none" w:sz="0" w:space="0" w:color="auto"/>
        <w:left w:val="none" w:sz="0" w:space="0" w:color="auto"/>
        <w:bottom w:val="none" w:sz="0" w:space="0" w:color="auto"/>
        <w:right w:val="none" w:sz="0" w:space="0" w:color="auto"/>
      </w:divBdr>
    </w:div>
    <w:div w:id="1574775761">
      <w:bodyDiv w:val="1"/>
      <w:marLeft w:val="0"/>
      <w:marRight w:val="0"/>
      <w:marTop w:val="0"/>
      <w:marBottom w:val="0"/>
      <w:divBdr>
        <w:top w:val="none" w:sz="0" w:space="0" w:color="auto"/>
        <w:left w:val="none" w:sz="0" w:space="0" w:color="auto"/>
        <w:bottom w:val="none" w:sz="0" w:space="0" w:color="auto"/>
        <w:right w:val="none" w:sz="0" w:space="0" w:color="auto"/>
      </w:divBdr>
    </w:div>
    <w:div w:id="1574923878">
      <w:bodyDiv w:val="1"/>
      <w:marLeft w:val="0"/>
      <w:marRight w:val="0"/>
      <w:marTop w:val="0"/>
      <w:marBottom w:val="0"/>
      <w:divBdr>
        <w:top w:val="none" w:sz="0" w:space="0" w:color="auto"/>
        <w:left w:val="none" w:sz="0" w:space="0" w:color="auto"/>
        <w:bottom w:val="none" w:sz="0" w:space="0" w:color="auto"/>
        <w:right w:val="none" w:sz="0" w:space="0" w:color="auto"/>
      </w:divBdr>
    </w:div>
    <w:div w:id="1580362818">
      <w:bodyDiv w:val="1"/>
      <w:marLeft w:val="0"/>
      <w:marRight w:val="0"/>
      <w:marTop w:val="0"/>
      <w:marBottom w:val="0"/>
      <w:divBdr>
        <w:top w:val="none" w:sz="0" w:space="0" w:color="auto"/>
        <w:left w:val="none" w:sz="0" w:space="0" w:color="auto"/>
        <w:bottom w:val="none" w:sz="0" w:space="0" w:color="auto"/>
        <w:right w:val="none" w:sz="0" w:space="0" w:color="auto"/>
      </w:divBdr>
    </w:div>
    <w:div w:id="1580670504">
      <w:bodyDiv w:val="1"/>
      <w:marLeft w:val="0"/>
      <w:marRight w:val="0"/>
      <w:marTop w:val="0"/>
      <w:marBottom w:val="0"/>
      <w:divBdr>
        <w:top w:val="none" w:sz="0" w:space="0" w:color="auto"/>
        <w:left w:val="none" w:sz="0" w:space="0" w:color="auto"/>
        <w:bottom w:val="none" w:sz="0" w:space="0" w:color="auto"/>
        <w:right w:val="none" w:sz="0" w:space="0" w:color="auto"/>
      </w:divBdr>
    </w:div>
    <w:div w:id="1581940681">
      <w:bodyDiv w:val="1"/>
      <w:marLeft w:val="0"/>
      <w:marRight w:val="0"/>
      <w:marTop w:val="0"/>
      <w:marBottom w:val="0"/>
      <w:divBdr>
        <w:top w:val="none" w:sz="0" w:space="0" w:color="auto"/>
        <w:left w:val="none" w:sz="0" w:space="0" w:color="auto"/>
        <w:bottom w:val="none" w:sz="0" w:space="0" w:color="auto"/>
        <w:right w:val="none" w:sz="0" w:space="0" w:color="auto"/>
      </w:divBdr>
    </w:div>
    <w:div w:id="1583374658">
      <w:bodyDiv w:val="1"/>
      <w:marLeft w:val="0"/>
      <w:marRight w:val="0"/>
      <w:marTop w:val="0"/>
      <w:marBottom w:val="0"/>
      <w:divBdr>
        <w:top w:val="none" w:sz="0" w:space="0" w:color="auto"/>
        <w:left w:val="none" w:sz="0" w:space="0" w:color="auto"/>
        <w:bottom w:val="none" w:sz="0" w:space="0" w:color="auto"/>
        <w:right w:val="none" w:sz="0" w:space="0" w:color="auto"/>
      </w:divBdr>
    </w:div>
    <w:div w:id="1584027294">
      <w:bodyDiv w:val="1"/>
      <w:marLeft w:val="0"/>
      <w:marRight w:val="0"/>
      <w:marTop w:val="0"/>
      <w:marBottom w:val="0"/>
      <w:divBdr>
        <w:top w:val="none" w:sz="0" w:space="0" w:color="auto"/>
        <w:left w:val="none" w:sz="0" w:space="0" w:color="auto"/>
        <w:bottom w:val="none" w:sz="0" w:space="0" w:color="auto"/>
        <w:right w:val="none" w:sz="0" w:space="0" w:color="auto"/>
      </w:divBdr>
    </w:div>
    <w:div w:id="1584337822">
      <w:bodyDiv w:val="1"/>
      <w:marLeft w:val="0"/>
      <w:marRight w:val="0"/>
      <w:marTop w:val="0"/>
      <w:marBottom w:val="0"/>
      <w:divBdr>
        <w:top w:val="none" w:sz="0" w:space="0" w:color="auto"/>
        <w:left w:val="none" w:sz="0" w:space="0" w:color="auto"/>
        <w:bottom w:val="none" w:sz="0" w:space="0" w:color="auto"/>
        <w:right w:val="none" w:sz="0" w:space="0" w:color="auto"/>
      </w:divBdr>
    </w:div>
    <w:div w:id="1585914940">
      <w:bodyDiv w:val="1"/>
      <w:marLeft w:val="0"/>
      <w:marRight w:val="0"/>
      <w:marTop w:val="0"/>
      <w:marBottom w:val="0"/>
      <w:divBdr>
        <w:top w:val="none" w:sz="0" w:space="0" w:color="auto"/>
        <w:left w:val="none" w:sz="0" w:space="0" w:color="auto"/>
        <w:bottom w:val="none" w:sz="0" w:space="0" w:color="auto"/>
        <w:right w:val="none" w:sz="0" w:space="0" w:color="auto"/>
      </w:divBdr>
    </w:div>
    <w:div w:id="1586571952">
      <w:bodyDiv w:val="1"/>
      <w:marLeft w:val="0"/>
      <w:marRight w:val="0"/>
      <w:marTop w:val="0"/>
      <w:marBottom w:val="0"/>
      <w:divBdr>
        <w:top w:val="none" w:sz="0" w:space="0" w:color="auto"/>
        <w:left w:val="none" w:sz="0" w:space="0" w:color="auto"/>
        <w:bottom w:val="none" w:sz="0" w:space="0" w:color="auto"/>
        <w:right w:val="none" w:sz="0" w:space="0" w:color="auto"/>
      </w:divBdr>
    </w:div>
    <w:div w:id="1588808417">
      <w:bodyDiv w:val="1"/>
      <w:marLeft w:val="0"/>
      <w:marRight w:val="0"/>
      <w:marTop w:val="0"/>
      <w:marBottom w:val="0"/>
      <w:divBdr>
        <w:top w:val="none" w:sz="0" w:space="0" w:color="auto"/>
        <w:left w:val="none" w:sz="0" w:space="0" w:color="auto"/>
        <w:bottom w:val="none" w:sz="0" w:space="0" w:color="auto"/>
        <w:right w:val="none" w:sz="0" w:space="0" w:color="auto"/>
      </w:divBdr>
    </w:div>
    <w:div w:id="1589463610">
      <w:bodyDiv w:val="1"/>
      <w:marLeft w:val="0"/>
      <w:marRight w:val="0"/>
      <w:marTop w:val="0"/>
      <w:marBottom w:val="0"/>
      <w:divBdr>
        <w:top w:val="none" w:sz="0" w:space="0" w:color="auto"/>
        <w:left w:val="none" w:sz="0" w:space="0" w:color="auto"/>
        <w:bottom w:val="none" w:sz="0" w:space="0" w:color="auto"/>
        <w:right w:val="none" w:sz="0" w:space="0" w:color="auto"/>
      </w:divBdr>
    </w:div>
    <w:div w:id="1589725773">
      <w:bodyDiv w:val="1"/>
      <w:marLeft w:val="0"/>
      <w:marRight w:val="0"/>
      <w:marTop w:val="0"/>
      <w:marBottom w:val="0"/>
      <w:divBdr>
        <w:top w:val="none" w:sz="0" w:space="0" w:color="auto"/>
        <w:left w:val="none" w:sz="0" w:space="0" w:color="auto"/>
        <w:bottom w:val="none" w:sz="0" w:space="0" w:color="auto"/>
        <w:right w:val="none" w:sz="0" w:space="0" w:color="auto"/>
      </w:divBdr>
    </w:div>
    <w:div w:id="1589730859">
      <w:bodyDiv w:val="1"/>
      <w:marLeft w:val="0"/>
      <w:marRight w:val="0"/>
      <w:marTop w:val="0"/>
      <w:marBottom w:val="0"/>
      <w:divBdr>
        <w:top w:val="none" w:sz="0" w:space="0" w:color="auto"/>
        <w:left w:val="none" w:sz="0" w:space="0" w:color="auto"/>
        <w:bottom w:val="none" w:sz="0" w:space="0" w:color="auto"/>
        <w:right w:val="none" w:sz="0" w:space="0" w:color="auto"/>
      </w:divBdr>
    </w:div>
    <w:div w:id="1589847010">
      <w:bodyDiv w:val="1"/>
      <w:marLeft w:val="0"/>
      <w:marRight w:val="0"/>
      <w:marTop w:val="0"/>
      <w:marBottom w:val="0"/>
      <w:divBdr>
        <w:top w:val="none" w:sz="0" w:space="0" w:color="auto"/>
        <w:left w:val="none" w:sz="0" w:space="0" w:color="auto"/>
        <w:bottom w:val="none" w:sz="0" w:space="0" w:color="auto"/>
        <w:right w:val="none" w:sz="0" w:space="0" w:color="auto"/>
      </w:divBdr>
    </w:div>
    <w:div w:id="1590508453">
      <w:bodyDiv w:val="1"/>
      <w:marLeft w:val="0"/>
      <w:marRight w:val="0"/>
      <w:marTop w:val="0"/>
      <w:marBottom w:val="0"/>
      <w:divBdr>
        <w:top w:val="none" w:sz="0" w:space="0" w:color="auto"/>
        <w:left w:val="none" w:sz="0" w:space="0" w:color="auto"/>
        <w:bottom w:val="none" w:sz="0" w:space="0" w:color="auto"/>
        <w:right w:val="none" w:sz="0" w:space="0" w:color="auto"/>
      </w:divBdr>
    </w:div>
    <w:div w:id="1593853313">
      <w:bodyDiv w:val="1"/>
      <w:marLeft w:val="0"/>
      <w:marRight w:val="0"/>
      <w:marTop w:val="0"/>
      <w:marBottom w:val="0"/>
      <w:divBdr>
        <w:top w:val="none" w:sz="0" w:space="0" w:color="auto"/>
        <w:left w:val="none" w:sz="0" w:space="0" w:color="auto"/>
        <w:bottom w:val="none" w:sz="0" w:space="0" w:color="auto"/>
        <w:right w:val="none" w:sz="0" w:space="0" w:color="auto"/>
      </w:divBdr>
    </w:div>
    <w:div w:id="1594971575">
      <w:bodyDiv w:val="1"/>
      <w:marLeft w:val="0"/>
      <w:marRight w:val="0"/>
      <w:marTop w:val="0"/>
      <w:marBottom w:val="0"/>
      <w:divBdr>
        <w:top w:val="none" w:sz="0" w:space="0" w:color="auto"/>
        <w:left w:val="none" w:sz="0" w:space="0" w:color="auto"/>
        <w:bottom w:val="none" w:sz="0" w:space="0" w:color="auto"/>
        <w:right w:val="none" w:sz="0" w:space="0" w:color="auto"/>
      </w:divBdr>
    </w:div>
    <w:div w:id="1595356252">
      <w:bodyDiv w:val="1"/>
      <w:marLeft w:val="0"/>
      <w:marRight w:val="0"/>
      <w:marTop w:val="0"/>
      <w:marBottom w:val="0"/>
      <w:divBdr>
        <w:top w:val="none" w:sz="0" w:space="0" w:color="auto"/>
        <w:left w:val="none" w:sz="0" w:space="0" w:color="auto"/>
        <w:bottom w:val="none" w:sz="0" w:space="0" w:color="auto"/>
        <w:right w:val="none" w:sz="0" w:space="0" w:color="auto"/>
      </w:divBdr>
    </w:div>
    <w:div w:id="1595748847">
      <w:bodyDiv w:val="1"/>
      <w:marLeft w:val="0"/>
      <w:marRight w:val="0"/>
      <w:marTop w:val="0"/>
      <w:marBottom w:val="0"/>
      <w:divBdr>
        <w:top w:val="none" w:sz="0" w:space="0" w:color="auto"/>
        <w:left w:val="none" w:sz="0" w:space="0" w:color="auto"/>
        <w:bottom w:val="none" w:sz="0" w:space="0" w:color="auto"/>
        <w:right w:val="none" w:sz="0" w:space="0" w:color="auto"/>
      </w:divBdr>
    </w:div>
    <w:div w:id="1596669126">
      <w:bodyDiv w:val="1"/>
      <w:marLeft w:val="0"/>
      <w:marRight w:val="0"/>
      <w:marTop w:val="0"/>
      <w:marBottom w:val="0"/>
      <w:divBdr>
        <w:top w:val="none" w:sz="0" w:space="0" w:color="auto"/>
        <w:left w:val="none" w:sz="0" w:space="0" w:color="auto"/>
        <w:bottom w:val="none" w:sz="0" w:space="0" w:color="auto"/>
        <w:right w:val="none" w:sz="0" w:space="0" w:color="auto"/>
      </w:divBdr>
    </w:div>
    <w:div w:id="1597668722">
      <w:bodyDiv w:val="1"/>
      <w:marLeft w:val="0"/>
      <w:marRight w:val="0"/>
      <w:marTop w:val="0"/>
      <w:marBottom w:val="0"/>
      <w:divBdr>
        <w:top w:val="none" w:sz="0" w:space="0" w:color="auto"/>
        <w:left w:val="none" w:sz="0" w:space="0" w:color="auto"/>
        <w:bottom w:val="none" w:sz="0" w:space="0" w:color="auto"/>
        <w:right w:val="none" w:sz="0" w:space="0" w:color="auto"/>
      </w:divBdr>
    </w:div>
    <w:div w:id="1599872232">
      <w:bodyDiv w:val="1"/>
      <w:marLeft w:val="0"/>
      <w:marRight w:val="0"/>
      <w:marTop w:val="0"/>
      <w:marBottom w:val="0"/>
      <w:divBdr>
        <w:top w:val="none" w:sz="0" w:space="0" w:color="auto"/>
        <w:left w:val="none" w:sz="0" w:space="0" w:color="auto"/>
        <w:bottom w:val="none" w:sz="0" w:space="0" w:color="auto"/>
        <w:right w:val="none" w:sz="0" w:space="0" w:color="auto"/>
      </w:divBdr>
    </w:div>
    <w:div w:id="1600676325">
      <w:bodyDiv w:val="1"/>
      <w:marLeft w:val="0"/>
      <w:marRight w:val="0"/>
      <w:marTop w:val="0"/>
      <w:marBottom w:val="0"/>
      <w:divBdr>
        <w:top w:val="none" w:sz="0" w:space="0" w:color="auto"/>
        <w:left w:val="none" w:sz="0" w:space="0" w:color="auto"/>
        <w:bottom w:val="none" w:sz="0" w:space="0" w:color="auto"/>
        <w:right w:val="none" w:sz="0" w:space="0" w:color="auto"/>
      </w:divBdr>
    </w:div>
    <w:div w:id="1600869676">
      <w:bodyDiv w:val="1"/>
      <w:marLeft w:val="0"/>
      <w:marRight w:val="0"/>
      <w:marTop w:val="0"/>
      <w:marBottom w:val="0"/>
      <w:divBdr>
        <w:top w:val="none" w:sz="0" w:space="0" w:color="auto"/>
        <w:left w:val="none" w:sz="0" w:space="0" w:color="auto"/>
        <w:bottom w:val="none" w:sz="0" w:space="0" w:color="auto"/>
        <w:right w:val="none" w:sz="0" w:space="0" w:color="auto"/>
      </w:divBdr>
    </w:div>
    <w:div w:id="1601182770">
      <w:bodyDiv w:val="1"/>
      <w:marLeft w:val="0"/>
      <w:marRight w:val="0"/>
      <w:marTop w:val="0"/>
      <w:marBottom w:val="0"/>
      <w:divBdr>
        <w:top w:val="none" w:sz="0" w:space="0" w:color="auto"/>
        <w:left w:val="none" w:sz="0" w:space="0" w:color="auto"/>
        <w:bottom w:val="none" w:sz="0" w:space="0" w:color="auto"/>
        <w:right w:val="none" w:sz="0" w:space="0" w:color="auto"/>
      </w:divBdr>
    </w:div>
    <w:div w:id="1601375748">
      <w:bodyDiv w:val="1"/>
      <w:marLeft w:val="0"/>
      <w:marRight w:val="0"/>
      <w:marTop w:val="0"/>
      <w:marBottom w:val="0"/>
      <w:divBdr>
        <w:top w:val="none" w:sz="0" w:space="0" w:color="auto"/>
        <w:left w:val="none" w:sz="0" w:space="0" w:color="auto"/>
        <w:bottom w:val="none" w:sz="0" w:space="0" w:color="auto"/>
        <w:right w:val="none" w:sz="0" w:space="0" w:color="auto"/>
      </w:divBdr>
    </w:div>
    <w:div w:id="1602256742">
      <w:bodyDiv w:val="1"/>
      <w:marLeft w:val="0"/>
      <w:marRight w:val="0"/>
      <w:marTop w:val="0"/>
      <w:marBottom w:val="0"/>
      <w:divBdr>
        <w:top w:val="none" w:sz="0" w:space="0" w:color="auto"/>
        <w:left w:val="none" w:sz="0" w:space="0" w:color="auto"/>
        <w:bottom w:val="none" w:sz="0" w:space="0" w:color="auto"/>
        <w:right w:val="none" w:sz="0" w:space="0" w:color="auto"/>
      </w:divBdr>
    </w:div>
    <w:div w:id="1604024965">
      <w:bodyDiv w:val="1"/>
      <w:marLeft w:val="0"/>
      <w:marRight w:val="0"/>
      <w:marTop w:val="0"/>
      <w:marBottom w:val="0"/>
      <w:divBdr>
        <w:top w:val="none" w:sz="0" w:space="0" w:color="auto"/>
        <w:left w:val="none" w:sz="0" w:space="0" w:color="auto"/>
        <w:bottom w:val="none" w:sz="0" w:space="0" w:color="auto"/>
        <w:right w:val="none" w:sz="0" w:space="0" w:color="auto"/>
      </w:divBdr>
    </w:div>
    <w:div w:id="1605841257">
      <w:bodyDiv w:val="1"/>
      <w:marLeft w:val="0"/>
      <w:marRight w:val="0"/>
      <w:marTop w:val="0"/>
      <w:marBottom w:val="0"/>
      <w:divBdr>
        <w:top w:val="none" w:sz="0" w:space="0" w:color="auto"/>
        <w:left w:val="none" w:sz="0" w:space="0" w:color="auto"/>
        <w:bottom w:val="none" w:sz="0" w:space="0" w:color="auto"/>
        <w:right w:val="none" w:sz="0" w:space="0" w:color="auto"/>
      </w:divBdr>
    </w:div>
    <w:div w:id="1606766626">
      <w:bodyDiv w:val="1"/>
      <w:marLeft w:val="0"/>
      <w:marRight w:val="0"/>
      <w:marTop w:val="0"/>
      <w:marBottom w:val="0"/>
      <w:divBdr>
        <w:top w:val="none" w:sz="0" w:space="0" w:color="auto"/>
        <w:left w:val="none" w:sz="0" w:space="0" w:color="auto"/>
        <w:bottom w:val="none" w:sz="0" w:space="0" w:color="auto"/>
        <w:right w:val="none" w:sz="0" w:space="0" w:color="auto"/>
      </w:divBdr>
    </w:div>
    <w:div w:id="1607233842">
      <w:bodyDiv w:val="1"/>
      <w:marLeft w:val="0"/>
      <w:marRight w:val="0"/>
      <w:marTop w:val="0"/>
      <w:marBottom w:val="0"/>
      <w:divBdr>
        <w:top w:val="none" w:sz="0" w:space="0" w:color="auto"/>
        <w:left w:val="none" w:sz="0" w:space="0" w:color="auto"/>
        <w:bottom w:val="none" w:sz="0" w:space="0" w:color="auto"/>
        <w:right w:val="none" w:sz="0" w:space="0" w:color="auto"/>
      </w:divBdr>
    </w:div>
    <w:div w:id="1607734157">
      <w:bodyDiv w:val="1"/>
      <w:marLeft w:val="0"/>
      <w:marRight w:val="0"/>
      <w:marTop w:val="0"/>
      <w:marBottom w:val="0"/>
      <w:divBdr>
        <w:top w:val="none" w:sz="0" w:space="0" w:color="auto"/>
        <w:left w:val="none" w:sz="0" w:space="0" w:color="auto"/>
        <w:bottom w:val="none" w:sz="0" w:space="0" w:color="auto"/>
        <w:right w:val="none" w:sz="0" w:space="0" w:color="auto"/>
      </w:divBdr>
    </w:div>
    <w:div w:id="1608150342">
      <w:bodyDiv w:val="1"/>
      <w:marLeft w:val="0"/>
      <w:marRight w:val="0"/>
      <w:marTop w:val="0"/>
      <w:marBottom w:val="0"/>
      <w:divBdr>
        <w:top w:val="none" w:sz="0" w:space="0" w:color="auto"/>
        <w:left w:val="none" w:sz="0" w:space="0" w:color="auto"/>
        <w:bottom w:val="none" w:sz="0" w:space="0" w:color="auto"/>
        <w:right w:val="none" w:sz="0" w:space="0" w:color="auto"/>
      </w:divBdr>
    </w:div>
    <w:div w:id="1609194233">
      <w:bodyDiv w:val="1"/>
      <w:marLeft w:val="0"/>
      <w:marRight w:val="0"/>
      <w:marTop w:val="0"/>
      <w:marBottom w:val="0"/>
      <w:divBdr>
        <w:top w:val="none" w:sz="0" w:space="0" w:color="auto"/>
        <w:left w:val="none" w:sz="0" w:space="0" w:color="auto"/>
        <w:bottom w:val="none" w:sz="0" w:space="0" w:color="auto"/>
        <w:right w:val="none" w:sz="0" w:space="0" w:color="auto"/>
      </w:divBdr>
    </w:div>
    <w:div w:id="1609311105">
      <w:bodyDiv w:val="1"/>
      <w:marLeft w:val="0"/>
      <w:marRight w:val="0"/>
      <w:marTop w:val="0"/>
      <w:marBottom w:val="0"/>
      <w:divBdr>
        <w:top w:val="none" w:sz="0" w:space="0" w:color="auto"/>
        <w:left w:val="none" w:sz="0" w:space="0" w:color="auto"/>
        <w:bottom w:val="none" w:sz="0" w:space="0" w:color="auto"/>
        <w:right w:val="none" w:sz="0" w:space="0" w:color="auto"/>
      </w:divBdr>
    </w:div>
    <w:div w:id="1609657440">
      <w:bodyDiv w:val="1"/>
      <w:marLeft w:val="0"/>
      <w:marRight w:val="0"/>
      <w:marTop w:val="0"/>
      <w:marBottom w:val="0"/>
      <w:divBdr>
        <w:top w:val="none" w:sz="0" w:space="0" w:color="auto"/>
        <w:left w:val="none" w:sz="0" w:space="0" w:color="auto"/>
        <w:bottom w:val="none" w:sz="0" w:space="0" w:color="auto"/>
        <w:right w:val="none" w:sz="0" w:space="0" w:color="auto"/>
      </w:divBdr>
    </w:div>
    <w:div w:id="1609696390">
      <w:bodyDiv w:val="1"/>
      <w:marLeft w:val="0"/>
      <w:marRight w:val="0"/>
      <w:marTop w:val="0"/>
      <w:marBottom w:val="0"/>
      <w:divBdr>
        <w:top w:val="none" w:sz="0" w:space="0" w:color="auto"/>
        <w:left w:val="none" w:sz="0" w:space="0" w:color="auto"/>
        <w:bottom w:val="none" w:sz="0" w:space="0" w:color="auto"/>
        <w:right w:val="none" w:sz="0" w:space="0" w:color="auto"/>
      </w:divBdr>
    </w:div>
    <w:div w:id="1610578782">
      <w:bodyDiv w:val="1"/>
      <w:marLeft w:val="0"/>
      <w:marRight w:val="0"/>
      <w:marTop w:val="0"/>
      <w:marBottom w:val="0"/>
      <w:divBdr>
        <w:top w:val="none" w:sz="0" w:space="0" w:color="auto"/>
        <w:left w:val="none" w:sz="0" w:space="0" w:color="auto"/>
        <w:bottom w:val="none" w:sz="0" w:space="0" w:color="auto"/>
        <w:right w:val="none" w:sz="0" w:space="0" w:color="auto"/>
      </w:divBdr>
    </w:div>
    <w:div w:id="1611232660">
      <w:bodyDiv w:val="1"/>
      <w:marLeft w:val="0"/>
      <w:marRight w:val="0"/>
      <w:marTop w:val="0"/>
      <w:marBottom w:val="0"/>
      <w:divBdr>
        <w:top w:val="none" w:sz="0" w:space="0" w:color="auto"/>
        <w:left w:val="none" w:sz="0" w:space="0" w:color="auto"/>
        <w:bottom w:val="none" w:sz="0" w:space="0" w:color="auto"/>
        <w:right w:val="none" w:sz="0" w:space="0" w:color="auto"/>
      </w:divBdr>
    </w:div>
    <w:div w:id="1611742004">
      <w:bodyDiv w:val="1"/>
      <w:marLeft w:val="0"/>
      <w:marRight w:val="0"/>
      <w:marTop w:val="0"/>
      <w:marBottom w:val="0"/>
      <w:divBdr>
        <w:top w:val="none" w:sz="0" w:space="0" w:color="auto"/>
        <w:left w:val="none" w:sz="0" w:space="0" w:color="auto"/>
        <w:bottom w:val="none" w:sz="0" w:space="0" w:color="auto"/>
        <w:right w:val="none" w:sz="0" w:space="0" w:color="auto"/>
      </w:divBdr>
    </w:div>
    <w:div w:id="1613173095">
      <w:bodyDiv w:val="1"/>
      <w:marLeft w:val="0"/>
      <w:marRight w:val="0"/>
      <w:marTop w:val="0"/>
      <w:marBottom w:val="0"/>
      <w:divBdr>
        <w:top w:val="none" w:sz="0" w:space="0" w:color="auto"/>
        <w:left w:val="none" w:sz="0" w:space="0" w:color="auto"/>
        <w:bottom w:val="none" w:sz="0" w:space="0" w:color="auto"/>
        <w:right w:val="none" w:sz="0" w:space="0" w:color="auto"/>
      </w:divBdr>
    </w:div>
    <w:div w:id="1614169699">
      <w:bodyDiv w:val="1"/>
      <w:marLeft w:val="0"/>
      <w:marRight w:val="0"/>
      <w:marTop w:val="0"/>
      <w:marBottom w:val="0"/>
      <w:divBdr>
        <w:top w:val="none" w:sz="0" w:space="0" w:color="auto"/>
        <w:left w:val="none" w:sz="0" w:space="0" w:color="auto"/>
        <w:bottom w:val="none" w:sz="0" w:space="0" w:color="auto"/>
        <w:right w:val="none" w:sz="0" w:space="0" w:color="auto"/>
      </w:divBdr>
    </w:div>
    <w:div w:id="1614440493">
      <w:bodyDiv w:val="1"/>
      <w:marLeft w:val="0"/>
      <w:marRight w:val="0"/>
      <w:marTop w:val="0"/>
      <w:marBottom w:val="0"/>
      <w:divBdr>
        <w:top w:val="none" w:sz="0" w:space="0" w:color="auto"/>
        <w:left w:val="none" w:sz="0" w:space="0" w:color="auto"/>
        <w:bottom w:val="none" w:sz="0" w:space="0" w:color="auto"/>
        <w:right w:val="none" w:sz="0" w:space="0" w:color="auto"/>
      </w:divBdr>
    </w:div>
    <w:div w:id="1614826085">
      <w:bodyDiv w:val="1"/>
      <w:marLeft w:val="0"/>
      <w:marRight w:val="0"/>
      <w:marTop w:val="0"/>
      <w:marBottom w:val="0"/>
      <w:divBdr>
        <w:top w:val="none" w:sz="0" w:space="0" w:color="auto"/>
        <w:left w:val="none" w:sz="0" w:space="0" w:color="auto"/>
        <w:bottom w:val="none" w:sz="0" w:space="0" w:color="auto"/>
        <w:right w:val="none" w:sz="0" w:space="0" w:color="auto"/>
      </w:divBdr>
    </w:div>
    <w:div w:id="1615861265">
      <w:bodyDiv w:val="1"/>
      <w:marLeft w:val="0"/>
      <w:marRight w:val="0"/>
      <w:marTop w:val="0"/>
      <w:marBottom w:val="0"/>
      <w:divBdr>
        <w:top w:val="none" w:sz="0" w:space="0" w:color="auto"/>
        <w:left w:val="none" w:sz="0" w:space="0" w:color="auto"/>
        <w:bottom w:val="none" w:sz="0" w:space="0" w:color="auto"/>
        <w:right w:val="none" w:sz="0" w:space="0" w:color="auto"/>
      </w:divBdr>
    </w:div>
    <w:div w:id="1618633921">
      <w:bodyDiv w:val="1"/>
      <w:marLeft w:val="0"/>
      <w:marRight w:val="0"/>
      <w:marTop w:val="0"/>
      <w:marBottom w:val="0"/>
      <w:divBdr>
        <w:top w:val="none" w:sz="0" w:space="0" w:color="auto"/>
        <w:left w:val="none" w:sz="0" w:space="0" w:color="auto"/>
        <w:bottom w:val="none" w:sz="0" w:space="0" w:color="auto"/>
        <w:right w:val="none" w:sz="0" w:space="0" w:color="auto"/>
      </w:divBdr>
    </w:div>
    <w:div w:id="1619219068">
      <w:bodyDiv w:val="1"/>
      <w:marLeft w:val="0"/>
      <w:marRight w:val="0"/>
      <w:marTop w:val="0"/>
      <w:marBottom w:val="0"/>
      <w:divBdr>
        <w:top w:val="none" w:sz="0" w:space="0" w:color="auto"/>
        <w:left w:val="none" w:sz="0" w:space="0" w:color="auto"/>
        <w:bottom w:val="none" w:sz="0" w:space="0" w:color="auto"/>
        <w:right w:val="none" w:sz="0" w:space="0" w:color="auto"/>
      </w:divBdr>
    </w:div>
    <w:div w:id="1619533496">
      <w:bodyDiv w:val="1"/>
      <w:marLeft w:val="0"/>
      <w:marRight w:val="0"/>
      <w:marTop w:val="0"/>
      <w:marBottom w:val="0"/>
      <w:divBdr>
        <w:top w:val="none" w:sz="0" w:space="0" w:color="auto"/>
        <w:left w:val="none" w:sz="0" w:space="0" w:color="auto"/>
        <w:bottom w:val="none" w:sz="0" w:space="0" w:color="auto"/>
        <w:right w:val="none" w:sz="0" w:space="0" w:color="auto"/>
      </w:divBdr>
    </w:div>
    <w:div w:id="1620452732">
      <w:bodyDiv w:val="1"/>
      <w:marLeft w:val="0"/>
      <w:marRight w:val="0"/>
      <w:marTop w:val="0"/>
      <w:marBottom w:val="0"/>
      <w:divBdr>
        <w:top w:val="none" w:sz="0" w:space="0" w:color="auto"/>
        <w:left w:val="none" w:sz="0" w:space="0" w:color="auto"/>
        <w:bottom w:val="none" w:sz="0" w:space="0" w:color="auto"/>
        <w:right w:val="none" w:sz="0" w:space="0" w:color="auto"/>
      </w:divBdr>
    </w:div>
    <w:div w:id="1621065309">
      <w:bodyDiv w:val="1"/>
      <w:marLeft w:val="0"/>
      <w:marRight w:val="0"/>
      <w:marTop w:val="0"/>
      <w:marBottom w:val="0"/>
      <w:divBdr>
        <w:top w:val="none" w:sz="0" w:space="0" w:color="auto"/>
        <w:left w:val="none" w:sz="0" w:space="0" w:color="auto"/>
        <w:bottom w:val="none" w:sz="0" w:space="0" w:color="auto"/>
        <w:right w:val="none" w:sz="0" w:space="0" w:color="auto"/>
      </w:divBdr>
    </w:div>
    <w:div w:id="1622151496">
      <w:bodyDiv w:val="1"/>
      <w:marLeft w:val="0"/>
      <w:marRight w:val="0"/>
      <w:marTop w:val="0"/>
      <w:marBottom w:val="0"/>
      <w:divBdr>
        <w:top w:val="none" w:sz="0" w:space="0" w:color="auto"/>
        <w:left w:val="none" w:sz="0" w:space="0" w:color="auto"/>
        <w:bottom w:val="none" w:sz="0" w:space="0" w:color="auto"/>
        <w:right w:val="none" w:sz="0" w:space="0" w:color="auto"/>
      </w:divBdr>
    </w:div>
    <w:div w:id="1622222355">
      <w:bodyDiv w:val="1"/>
      <w:marLeft w:val="0"/>
      <w:marRight w:val="0"/>
      <w:marTop w:val="0"/>
      <w:marBottom w:val="0"/>
      <w:divBdr>
        <w:top w:val="none" w:sz="0" w:space="0" w:color="auto"/>
        <w:left w:val="none" w:sz="0" w:space="0" w:color="auto"/>
        <w:bottom w:val="none" w:sz="0" w:space="0" w:color="auto"/>
        <w:right w:val="none" w:sz="0" w:space="0" w:color="auto"/>
      </w:divBdr>
    </w:div>
    <w:div w:id="1623269215">
      <w:bodyDiv w:val="1"/>
      <w:marLeft w:val="0"/>
      <w:marRight w:val="0"/>
      <w:marTop w:val="0"/>
      <w:marBottom w:val="0"/>
      <w:divBdr>
        <w:top w:val="none" w:sz="0" w:space="0" w:color="auto"/>
        <w:left w:val="none" w:sz="0" w:space="0" w:color="auto"/>
        <w:bottom w:val="none" w:sz="0" w:space="0" w:color="auto"/>
        <w:right w:val="none" w:sz="0" w:space="0" w:color="auto"/>
      </w:divBdr>
    </w:div>
    <w:div w:id="1628730852">
      <w:bodyDiv w:val="1"/>
      <w:marLeft w:val="0"/>
      <w:marRight w:val="0"/>
      <w:marTop w:val="0"/>
      <w:marBottom w:val="0"/>
      <w:divBdr>
        <w:top w:val="none" w:sz="0" w:space="0" w:color="auto"/>
        <w:left w:val="none" w:sz="0" w:space="0" w:color="auto"/>
        <w:bottom w:val="none" w:sz="0" w:space="0" w:color="auto"/>
        <w:right w:val="none" w:sz="0" w:space="0" w:color="auto"/>
      </w:divBdr>
    </w:div>
    <w:div w:id="1628853354">
      <w:bodyDiv w:val="1"/>
      <w:marLeft w:val="0"/>
      <w:marRight w:val="0"/>
      <w:marTop w:val="0"/>
      <w:marBottom w:val="0"/>
      <w:divBdr>
        <w:top w:val="none" w:sz="0" w:space="0" w:color="auto"/>
        <w:left w:val="none" w:sz="0" w:space="0" w:color="auto"/>
        <w:bottom w:val="none" w:sz="0" w:space="0" w:color="auto"/>
        <w:right w:val="none" w:sz="0" w:space="0" w:color="auto"/>
      </w:divBdr>
    </w:div>
    <w:div w:id="1628968198">
      <w:bodyDiv w:val="1"/>
      <w:marLeft w:val="0"/>
      <w:marRight w:val="0"/>
      <w:marTop w:val="0"/>
      <w:marBottom w:val="0"/>
      <w:divBdr>
        <w:top w:val="none" w:sz="0" w:space="0" w:color="auto"/>
        <w:left w:val="none" w:sz="0" w:space="0" w:color="auto"/>
        <w:bottom w:val="none" w:sz="0" w:space="0" w:color="auto"/>
        <w:right w:val="none" w:sz="0" w:space="0" w:color="auto"/>
      </w:divBdr>
    </w:div>
    <w:div w:id="1629553154">
      <w:bodyDiv w:val="1"/>
      <w:marLeft w:val="0"/>
      <w:marRight w:val="0"/>
      <w:marTop w:val="0"/>
      <w:marBottom w:val="0"/>
      <w:divBdr>
        <w:top w:val="none" w:sz="0" w:space="0" w:color="auto"/>
        <w:left w:val="none" w:sz="0" w:space="0" w:color="auto"/>
        <w:bottom w:val="none" w:sz="0" w:space="0" w:color="auto"/>
        <w:right w:val="none" w:sz="0" w:space="0" w:color="auto"/>
      </w:divBdr>
    </w:div>
    <w:div w:id="1630088789">
      <w:bodyDiv w:val="1"/>
      <w:marLeft w:val="0"/>
      <w:marRight w:val="0"/>
      <w:marTop w:val="0"/>
      <w:marBottom w:val="0"/>
      <w:divBdr>
        <w:top w:val="none" w:sz="0" w:space="0" w:color="auto"/>
        <w:left w:val="none" w:sz="0" w:space="0" w:color="auto"/>
        <w:bottom w:val="none" w:sz="0" w:space="0" w:color="auto"/>
        <w:right w:val="none" w:sz="0" w:space="0" w:color="auto"/>
      </w:divBdr>
    </w:div>
    <w:div w:id="1630478791">
      <w:bodyDiv w:val="1"/>
      <w:marLeft w:val="0"/>
      <w:marRight w:val="0"/>
      <w:marTop w:val="0"/>
      <w:marBottom w:val="0"/>
      <w:divBdr>
        <w:top w:val="none" w:sz="0" w:space="0" w:color="auto"/>
        <w:left w:val="none" w:sz="0" w:space="0" w:color="auto"/>
        <w:bottom w:val="none" w:sz="0" w:space="0" w:color="auto"/>
        <w:right w:val="none" w:sz="0" w:space="0" w:color="auto"/>
      </w:divBdr>
    </w:div>
    <w:div w:id="1632443104">
      <w:bodyDiv w:val="1"/>
      <w:marLeft w:val="0"/>
      <w:marRight w:val="0"/>
      <w:marTop w:val="0"/>
      <w:marBottom w:val="0"/>
      <w:divBdr>
        <w:top w:val="none" w:sz="0" w:space="0" w:color="auto"/>
        <w:left w:val="none" w:sz="0" w:space="0" w:color="auto"/>
        <w:bottom w:val="none" w:sz="0" w:space="0" w:color="auto"/>
        <w:right w:val="none" w:sz="0" w:space="0" w:color="auto"/>
      </w:divBdr>
    </w:div>
    <w:div w:id="1632519586">
      <w:bodyDiv w:val="1"/>
      <w:marLeft w:val="0"/>
      <w:marRight w:val="0"/>
      <w:marTop w:val="0"/>
      <w:marBottom w:val="0"/>
      <w:divBdr>
        <w:top w:val="none" w:sz="0" w:space="0" w:color="auto"/>
        <w:left w:val="none" w:sz="0" w:space="0" w:color="auto"/>
        <w:bottom w:val="none" w:sz="0" w:space="0" w:color="auto"/>
        <w:right w:val="none" w:sz="0" w:space="0" w:color="auto"/>
      </w:divBdr>
    </w:div>
    <w:div w:id="1633704242">
      <w:bodyDiv w:val="1"/>
      <w:marLeft w:val="0"/>
      <w:marRight w:val="0"/>
      <w:marTop w:val="0"/>
      <w:marBottom w:val="0"/>
      <w:divBdr>
        <w:top w:val="none" w:sz="0" w:space="0" w:color="auto"/>
        <w:left w:val="none" w:sz="0" w:space="0" w:color="auto"/>
        <w:bottom w:val="none" w:sz="0" w:space="0" w:color="auto"/>
        <w:right w:val="none" w:sz="0" w:space="0" w:color="auto"/>
      </w:divBdr>
    </w:div>
    <w:div w:id="1633897913">
      <w:bodyDiv w:val="1"/>
      <w:marLeft w:val="0"/>
      <w:marRight w:val="0"/>
      <w:marTop w:val="0"/>
      <w:marBottom w:val="0"/>
      <w:divBdr>
        <w:top w:val="none" w:sz="0" w:space="0" w:color="auto"/>
        <w:left w:val="none" w:sz="0" w:space="0" w:color="auto"/>
        <w:bottom w:val="none" w:sz="0" w:space="0" w:color="auto"/>
        <w:right w:val="none" w:sz="0" w:space="0" w:color="auto"/>
      </w:divBdr>
    </w:div>
    <w:div w:id="1634629523">
      <w:bodyDiv w:val="1"/>
      <w:marLeft w:val="0"/>
      <w:marRight w:val="0"/>
      <w:marTop w:val="0"/>
      <w:marBottom w:val="0"/>
      <w:divBdr>
        <w:top w:val="none" w:sz="0" w:space="0" w:color="auto"/>
        <w:left w:val="none" w:sz="0" w:space="0" w:color="auto"/>
        <w:bottom w:val="none" w:sz="0" w:space="0" w:color="auto"/>
        <w:right w:val="none" w:sz="0" w:space="0" w:color="auto"/>
      </w:divBdr>
    </w:div>
    <w:div w:id="1635023033">
      <w:bodyDiv w:val="1"/>
      <w:marLeft w:val="0"/>
      <w:marRight w:val="0"/>
      <w:marTop w:val="0"/>
      <w:marBottom w:val="0"/>
      <w:divBdr>
        <w:top w:val="none" w:sz="0" w:space="0" w:color="auto"/>
        <w:left w:val="none" w:sz="0" w:space="0" w:color="auto"/>
        <w:bottom w:val="none" w:sz="0" w:space="0" w:color="auto"/>
        <w:right w:val="none" w:sz="0" w:space="0" w:color="auto"/>
      </w:divBdr>
    </w:div>
    <w:div w:id="1635867225">
      <w:bodyDiv w:val="1"/>
      <w:marLeft w:val="0"/>
      <w:marRight w:val="0"/>
      <w:marTop w:val="0"/>
      <w:marBottom w:val="0"/>
      <w:divBdr>
        <w:top w:val="none" w:sz="0" w:space="0" w:color="auto"/>
        <w:left w:val="none" w:sz="0" w:space="0" w:color="auto"/>
        <w:bottom w:val="none" w:sz="0" w:space="0" w:color="auto"/>
        <w:right w:val="none" w:sz="0" w:space="0" w:color="auto"/>
      </w:divBdr>
    </w:div>
    <w:div w:id="1636448016">
      <w:bodyDiv w:val="1"/>
      <w:marLeft w:val="0"/>
      <w:marRight w:val="0"/>
      <w:marTop w:val="0"/>
      <w:marBottom w:val="0"/>
      <w:divBdr>
        <w:top w:val="none" w:sz="0" w:space="0" w:color="auto"/>
        <w:left w:val="none" w:sz="0" w:space="0" w:color="auto"/>
        <w:bottom w:val="none" w:sz="0" w:space="0" w:color="auto"/>
        <w:right w:val="none" w:sz="0" w:space="0" w:color="auto"/>
      </w:divBdr>
    </w:div>
    <w:div w:id="1636986556">
      <w:bodyDiv w:val="1"/>
      <w:marLeft w:val="0"/>
      <w:marRight w:val="0"/>
      <w:marTop w:val="0"/>
      <w:marBottom w:val="0"/>
      <w:divBdr>
        <w:top w:val="none" w:sz="0" w:space="0" w:color="auto"/>
        <w:left w:val="none" w:sz="0" w:space="0" w:color="auto"/>
        <w:bottom w:val="none" w:sz="0" w:space="0" w:color="auto"/>
        <w:right w:val="none" w:sz="0" w:space="0" w:color="auto"/>
      </w:divBdr>
    </w:div>
    <w:div w:id="1637370441">
      <w:bodyDiv w:val="1"/>
      <w:marLeft w:val="0"/>
      <w:marRight w:val="0"/>
      <w:marTop w:val="0"/>
      <w:marBottom w:val="0"/>
      <w:divBdr>
        <w:top w:val="none" w:sz="0" w:space="0" w:color="auto"/>
        <w:left w:val="none" w:sz="0" w:space="0" w:color="auto"/>
        <w:bottom w:val="none" w:sz="0" w:space="0" w:color="auto"/>
        <w:right w:val="none" w:sz="0" w:space="0" w:color="auto"/>
      </w:divBdr>
    </w:div>
    <w:div w:id="1638367015">
      <w:bodyDiv w:val="1"/>
      <w:marLeft w:val="0"/>
      <w:marRight w:val="0"/>
      <w:marTop w:val="0"/>
      <w:marBottom w:val="0"/>
      <w:divBdr>
        <w:top w:val="none" w:sz="0" w:space="0" w:color="auto"/>
        <w:left w:val="none" w:sz="0" w:space="0" w:color="auto"/>
        <w:bottom w:val="none" w:sz="0" w:space="0" w:color="auto"/>
        <w:right w:val="none" w:sz="0" w:space="0" w:color="auto"/>
      </w:divBdr>
    </w:div>
    <w:div w:id="1638603590">
      <w:bodyDiv w:val="1"/>
      <w:marLeft w:val="0"/>
      <w:marRight w:val="0"/>
      <w:marTop w:val="0"/>
      <w:marBottom w:val="0"/>
      <w:divBdr>
        <w:top w:val="none" w:sz="0" w:space="0" w:color="auto"/>
        <w:left w:val="none" w:sz="0" w:space="0" w:color="auto"/>
        <w:bottom w:val="none" w:sz="0" w:space="0" w:color="auto"/>
        <w:right w:val="none" w:sz="0" w:space="0" w:color="auto"/>
      </w:divBdr>
    </w:div>
    <w:div w:id="1640841369">
      <w:bodyDiv w:val="1"/>
      <w:marLeft w:val="0"/>
      <w:marRight w:val="0"/>
      <w:marTop w:val="0"/>
      <w:marBottom w:val="0"/>
      <w:divBdr>
        <w:top w:val="none" w:sz="0" w:space="0" w:color="auto"/>
        <w:left w:val="none" w:sz="0" w:space="0" w:color="auto"/>
        <w:bottom w:val="none" w:sz="0" w:space="0" w:color="auto"/>
        <w:right w:val="none" w:sz="0" w:space="0" w:color="auto"/>
      </w:divBdr>
    </w:div>
    <w:div w:id="1641113716">
      <w:bodyDiv w:val="1"/>
      <w:marLeft w:val="0"/>
      <w:marRight w:val="0"/>
      <w:marTop w:val="0"/>
      <w:marBottom w:val="0"/>
      <w:divBdr>
        <w:top w:val="none" w:sz="0" w:space="0" w:color="auto"/>
        <w:left w:val="none" w:sz="0" w:space="0" w:color="auto"/>
        <w:bottom w:val="none" w:sz="0" w:space="0" w:color="auto"/>
        <w:right w:val="none" w:sz="0" w:space="0" w:color="auto"/>
      </w:divBdr>
    </w:div>
    <w:div w:id="1641883974">
      <w:bodyDiv w:val="1"/>
      <w:marLeft w:val="0"/>
      <w:marRight w:val="0"/>
      <w:marTop w:val="0"/>
      <w:marBottom w:val="0"/>
      <w:divBdr>
        <w:top w:val="none" w:sz="0" w:space="0" w:color="auto"/>
        <w:left w:val="none" w:sz="0" w:space="0" w:color="auto"/>
        <w:bottom w:val="none" w:sz="0" w:space="0" w:color="auto"/>
        <w:right w:val="none" w:sz="0" w:space="0" w:color="auto"/>
      </w:divBdr>
    </w:div>
    <w:div w:id="1642274804">
      <w:bodyDiv w:val="1"/>
      <w:marLeft w:val="0"/>
      <w:marRight w:val="0"/>
      <w:marTop w:val="0"/>
      <w:marBottom w:val="0"/>
      <w:divBdr>
        <w:top w:val="none" w:sz="0" w:space="0" w:color="auto"/>
        <w:left w:val="none" w:sz="0" w:space="0" w:color="auto"/>
        <w:bottom w:val="none" w:sz="0" w:space="0" w:color="auto"/>
        <w:right w:val="none" w:sz="0" w:space="0" w:color="auto"/>
      </w:divBdr>
    </w:div>
    <w:div w:id="1642690908">
      <w:bodyDiv w:val="1"/>
      <w:marLeft w:val="0"/>
      <w:marRight w:val="0"/>
      <w:marTop w:val="0"/>
      <w:marBottom w:val="0"/>
      <w:divBdr>
        <w:top w:val="none" w:sz="0" w:space="0" w:color="auto"/>
        <w:left w:val="none" w:sz="0" w:space="0" w:color="auto"/>
        <w:bottom w:val="none" w:sz="0" w:space="0" w:color="auto"/>
        <w:right w:val="none" w:sz="0" w:space="0" w:color="auto"/>
      </w:divBdr>
    </w:div>
    <w:div w:id="1643189020">
      <w:bodyDiv w:val="1"/>
      <w:marLeft w:val="0"/>
      <w:marRight w:val="0"/>
      <w:marTop w:val="0"/>
      <w:marBottom w:val="0"/>
      <w:divBdr>
        <w:top w:val="none" w:sz="0" w:space="0" w:color="auto"/>
        <w:left w:val="none" w:sz="0" w:space="0" w:color="auto"/>
        <w:bottom w:val="none" w:sz="0" w:space="0" w:color="auto"/>
        <w:right w:val="none" w:sz="0" w:space="0" w:color="auto"/>
      </w:divBdr>
    </w:div>
    <w:div w:id="1645044304">
      <w:bodyDiv w:val="1"/>
      <w:marLeft w:val="0"/>
      <w:marRight w:val="0"/>
      <w:marTop w:val="0"/>
      <w:marBottom w:val="0"/>
      <w:divBdr>
        <w:top w:val="none" w:sz="0" w:space="0" w:color="auto"/>
        <w:left w:val="none" w:sz="0" w:space="0" w:color="auto"/>
        <w:bottom w:val="none" w:sz="0" w:space="0" w:color="auto"/>
        <w:right w:val="none" w:sz="0" w:space="0" w:color="auto"/>
      </w:divBdr>
    </w:div>
    <w:div w:id="1645236992">
      <w:bodyDiv w:val="1"/>
      <w:marLeft w:val="0"/>
      <w:marRight w:val="0"/>
      <w:marTop w:val="0"/>
      <w:marBottom w:val="0"/>
      <w:divBdr>
        <w:top w:val="none" w:sz="0" w:space="0" w:color="auto"/>
        <w:left w:val="none" w:sz="0" w:space="0" w:color="auto"/>
        <w:bottom w:val="none" w:sz="0" w:space="0" w:color="auto"/>
        <w:right w:val="none" w:sz="0" w:space="0" w:color="auto"/>
      </w:divBdr>
    </w:div>
    <w:div w:id="1646087491">
      <w:bodyDiv w:val="1"/>
      <w:marLeft w:val="0"/>
      <w:marRight w:val="0"/>
      <w:marTop w:val="0"/>
      <w:marBottom w:val="0"/>
      <w:divBdr>
        <w:top w:val="none" w:sz="0" w:space="0" w:color="auto"/>
        <w:left w:val="none" w:sz="0" w:space="0" w:color="auto"/>
        <w:bottom w:val="none" w:sz="0" w:space="0" w:color="auto"/>
        <w:right w:val="none" w:sz="0" w:space="0" w:color="auto"/>
      </w:divBdr>
    </w:div>
    <w:div w:id="1646935015">
      <w:bodyDiv w:val="1"/>
      <w:marLeft w:val="0"/>
      <w:marRight w:val="0"/>
      <w:marTop w:val="0"/>
      <w:marBottom w:val="0"/>
      <w:divBdr>
        <w:top w:val="none" w:sz="0" w:space="0" w:color="auto"/>
        <w:left w:val="none" w:sz="0" w:space="0" w:color="auto"/>
        <w:bottom w:val="none" w:sz="0" w:space="0" w:color="auto"/>
        <w:right w:val="none" w:sz="0" w:space="0" w:color="auto"/>
      </w:divBdr>
    </w:div>
    <w:div w:id="1647010987">
      <w:bodyDiv w:val="1"/>
      <w:marLeft w:val="0"/>
      <w:marRight w:val="0"/>
      <w:marTop w:val="0"/>
      <w:marBottom w:val="0"/>
      <w:divBdr>
        <w:top w:val="none" w:sz="0" w:space="0" w:color="auto"/>
        <w:left w:val="none" w:sz="0" w:space="0" w:color="auto"/>
        <w:bottom w:val="none" w:sz="0" w:space="0" w:color="auto"/>
        <w:right w:val="none" w:sz="0" w:space="0" w:color="auto"/>
      </w:divBdr>
    </w:div>
    <w:div w:id="1647276037">
      <w:bodyDiv w:val="1"/>
      <w:marLeft w:val="0"/>
      <w:marRight w:val="0"/>
      <w:marTop w:val="0"/>
      <w:marBottom w:val="0"/>
      <w:divBdr>
        <w:top w:val="none" w:sz="0" w:space="0" w:color="auto"/>
        <w:left w:val="none" w:sz="0" w:space="0" w:color="auto"/>
        <w:bottom w:val="none" w:sz="0" w:space="0" w:color="auto"/>
        <w:right w:val="none" w:sz="0" w:space="0" w:color="auto"/>
      </w:divBdr>
    </w:div>
    <w:div w:id="1648895661">
      <w:bodyDiv w:val="1"/>
      <w:marLeft w:val="0"/>
      <w:marRight w:val="0"/>
      <w:marTop w:val="0"/>
      <w:marBottom w:val="0"/>
      <w:divBdr>
        <w:top w:val="none" w:sz="0" w:space="0" w:color="auto"/>
        <w:left w:val="none" w:sz="0" w:space="0" w:color="auto"/>
        <w:bottom w:val="none" w:sz="0" w:space="0" w:color="auto"/>
        <w:right w:val="none" w:sz="0" w:space="0" w:color="auto"/>
      </w:divBdr>
    </w:div>
    <w:div w:id="1650135034">
      <w:bodyDiv w:val="1"/>
      <w:marLeft w:val="0"/>
      <w:marRight w:val="0"/>
      <w:marTop w:val="0"/>
      <w:marBottom w:val="0"/>
      <w:divBdr>
        <w:top w:val="none" w:sz="0" w:space="0" w:color="auto"/>
        <w:left w:val="none" w:sz="0" w:space="0" w:color="auto"/>
        <w:bottom w:val="none" w:sz="0" w:space="0" w:color="auto"/>
        <w:right w:val="none" w:sz="0" w:space="0" w:color="auto"/>
      </w:divBdr>
    </w:div>
    <w:div w:id="1650359621">
      <w:bodyDiv w:val="1"/>
      <w:marLeft w:val="0"/>
      <w:marRight w:val="0"/>
      <w:marTop w:val="0"/>
      <w:marBottom w:val="0"/>
      <w:divBdr>
        <w:top w:val="none" w:sz="0" w:space="0" w:color="auto"/>
        <w:left w:val="none" w:sz="0" w:space="0" w:color="auto"/>
        <w:bottom w:val="none" w:sz="0" w:space="0" w:color="auto"/>
        <w:right w:val="none" w:sz="0" w:space="0" w:color="auto"/>
      </w:divBdr>
    </w:div>
    <w:div w:id="1651472509">
      <w:bodyDiv w:val="1"/>
      <w:marLeft w:val="0"/>
      <w:marRight w:val="0"/>
      <w:marTop w:val="0"/>
      <w:marBottom w:val="0"/>
      <w:divBdr>
        <w:top w:val="none" w:sz="0" w:space="0" w:color="auto"/>
        <w:left w:val="none" w:sz="0" w:space="0" w:color="auto"/>
        <w:bottom w:val="none" w:sz="0" w:space="0" w:color="auto"/>
        <w:right w:val="none" w:sz="0" w:space="0" w:color="auto"/>
      </w:divBdr>
    </w:div>
    <w:div w:id="1652756962">
      <w:bodyDiv w:val="1"/>
      <w:marLeft w:val="0"/>
      <w:marRight w:val="0"/>
      <w:marTop w:val="0"/>
      <w:marBottom w:val="0"/>
      <w:divBdr>
        <w:top w:val="none" w:sz="0" w:space="0" w:color="auto"/>
        <w:left w:val="none" w:sz="0" w:space="0" w:color="auto"/>
        <w:bottom w:val="none" w:sz="0" w:space="0" w:color="auto"/>
        <w:right w:val="none" w:sz="0" w:space="0" w:color="auto"/>
      </w:divBdr>
    </w:div>
    <w:div w:id="1653555672">
      <w:bodyDiv w:val="1"/>
      <w:marLeft w:val="0"/>
      <w:marRight w:val="0"/>
      <w:marTop w:val="0"/>
      <w:marBottom w:val="0"/>
      <w:divBdr>
        <w:top w:val="none" w:sz="0" w:space="0" w:color="auto"/>
        <w:left w:val="none" w:sz="0" w:space="0" w:color="auto"/>
        <w:bottom w:val="none" w:sz="0" w:space="0" w:color="auto"/>
        <w:right w:val="none" w:sz="0" w:space="0" w:color="auto"/>
      </w:divBdr>
    </w:div>
    <w:div w:id="1654601920">
      <w:bodyDiv w:val="1"/>
      <w:marLeft w:val="0"/>
      <w:marRight w:val="0"/>
      <w:marTop w:val="0"/>
      <w:marBottom w:val="0"/>
      <w:divBdr>
        <w:top w:val="none" w:sz="0" w:space="0" w:color="auto"/>
        <w:left w:val="none" w:sz="0" w:space="0" w:color="auto"/>
        <w:bottom w:val="none" w:sz="0" w:space="0" w:color="auto"/>
        <w:right w:val="none" w:sz="0" w:space="0" w:color="auto"/>
      </w:divBdr>
    </w:div>
    <w:div w:id="1655790510">
      <w:bodyDiv w:val="1"/>
      <w:marLeft w:val="0"/>
      <w:marRight w:val="0"/>
      <w:marTop w:val="0"/>
      <w:marBottom w:val="0"/>
      <w:divBdr>
        <w:top w:val="none" w:sz="0" w:space="0" w:color="auto"/>
        <w:left w:val="none" w:sz="0" w:space="0" w:color="auto"/>
        <w:bottom w:val="none" w:sz="0" w:space="0" w:color="auto"/>
        <w:right w:val="none" w:sz="0" w:space="0" w:color="auto"/>
      </w:divBdr>
    </w:div>
    <w:div w:id="1655988437">
      <w:bodyDiv w:val="1"/>
      <w:marLeft w:val="0"/>
      <w:marRight w:val="0"/>
      <w:marTop w:val="0"/>
      <w:marBottom w:val="0"/>
      <w:divBdr>
        <w:top w:val="none" w:sz="0" w:space="0" w:color="auto"/>
        <w:left w:val="none" w:sz="0" w:space="0" w:color="auto"/>
        <w:bottom w:val="none" w:sz="0" w:space="0" w:color="auto"/>
        <w:right w:val="none" w:sz="0" w:space="0" w:color="auto"/>
      </w:divBdr>
    </w:div>
    <w:div w:id="1657610686">
      <w:bodyDiv w:val="1"/>
      <w:marLeft w:val="0"/>
      <w:marRight w:val="0"/>
      <w:marTop w:val="0"/>
      <w:marBottom w:val="0"/>
      <w:divBdr>
        <w:top w:val="none" w:sz="0" w:space="0" w:color="auto"/>
        <w:left w:val="none" w:sz="0" w:space="0" w:color="auto"/>
        <w:bottom w:val="none" w:sz="0" w:space="0" w:color="auto"/>
        <w:right w:val="none" w:sz="0" w:space="0" w:color="auto"/>
      </w:divBdr>
    </w:div>
    <w:div w:id="1658194375">
      <w:bodyDiv w:val="1"/>
      <w:marLeft w:val="0"/>
      <w:marRight w:val="0"/>
      <w:marTop w:val="0"/>
      <w:marBottom w:val="0"/>
      <w:divBdr>
        <w:top w:val="none" w:sz="0" w:space="0" w:color="auto"/>
        <w:left w:val="none" w:sz="0" w:space="0" w:color="auto"/>
        <w:bottom w:val="none" w:sz="0" w:space="0" w:color="auto"/>
        <w:right w:val="none" w:sz="0" w:space="0" w:color="auto"/>
      </w:divBdr>
    </w:div>
    <w:div w:id="1663121880">
      <w:bodyDiv w:val="1"/>
      <w:marLeft w:val="0"/>
      <w:marRight w:val="0"/>
      <w:marTop w:val="0"/>
      <w:marBottom w:val="0"/>
      <w:divBdr>
        <w:top w:val="none" w:sz="0" w:space="0" w:color="auto"/>
        <w:left w:val="none" w:sz="0" w:space="0" w:color="auto"/>
        <w:bottom w:val="none" w:sz="0" w:space="0" w:color="auto"/>
        <w:right w:val="none" w:sz="0" w:space="0" w:color="auto"/>
      </w:divBdr>
    </w:div>
    <w:div w:id="1663310248">
      <w:bodyDiv w:val="1"/>
      <w:marLeft w:val="0"/>
      <w:marRight w:val="0"/>
      <w:marTop w:val="0"/>
      <w:marBottom w:val="0"/>
      <w:divBdr>
        <w:top w:val="none" w:sz="0" w:space="0" w:color="auto"/>
        <w:left w:val="none" w:sz="0" w:space="0" w:color="auto"/>
        <w:bottom w:val="none" w:sz="0" w:space="0" w:color="auto"/>
        <w:right w:val="none" w:sz="0" w:space="0" w:color="auto"/>
      </w:divBdr>
    </w:div>
    <w:div w:id="1664359733">
      <w:bodyDiv w:val="1"/>
      <w:marLeft w:val="0"/>
      <w:marRight w:val="0"/>
      <w:marTop w:val="0"/>
      <w:marBottom w:val="0"/>
      <w:divBdr>
        <w:top w:val="none" w:sz="0" w:space="0" w:color="auto"/>
        <w:left w:val="none" w:sz="0" w:space="0" w:color="auto"/>
        <w:bottom w:val="none" w:sz="0" w:space="0" w:color="auto"/>
        <w:right w:val="none" w:sz="0" w:space="0" w:color="auto"/>
      </w:divBdr>
    </w:div>
    <w:div w:id="1664888783">
      <w:bodyDiv w:val="1"/>
      <w:marLeft w:val="0"/>
      <w:marRight w:val="0"/>
      <w:marTop w:val="0"/>
      <w:marBottom w:val="0"/>
      <w:divBdr>
        <w:top w:val="none" w:sz="0" w:space="0" w:color="auto"/>
        <w:left w:val="none" w:sz="0" w:space="0" w:color="auto"/>
        <w:bottom w:val="none" w:sz="0" w:space="0" w:color="auto"/>
        <w:right w:val="none" w:sz="0" w:space="0" w:color="auto"/>
      </w:divBdr>
    </w:div>
    <w:div w:id="1664891873">
      <w:bodyDiv w:val="1"/>
      <w:marLeft w:val="0"/>
      <w:marRight w:val="0"/>
      <w:marTop w:val="0"/>
      <w:marBottom w:val="0"/>
      <w:divBdr>
        <w:top w:val="none" w:sz="0" w:space="0" w:color="auto"/>
        <w:left w:val="none" w:sz="0" w:space="0" w:color="auto"/>
        <w:bottom w:val="none" w:sz="0" w:space="0" w:color="auto"/>
        <w:right w:val="none" w:sz="0" w:space="0" w:color="auto"/>
      </w:divBdr>
    </w:div>
    <w:div w:id="1665278122">
      <w:bodyDiv w:val="1"/>
      <w:marLeft w:val="0"/>
      <w:marRight w:val="0"/>
      <w:marTop w:val="0"/>
      <w:marBottom w:val="0"/>
      <w:divBdr>
        <w:top w:val="none" w:sz="0" w:space="0" w:color="auto"/>
        <w:left w:val="none" w:sz="0" w:space="0" w:color="auto"/>
        <w:bottom w:val="none" w:sz="0" w:space="0" w:color="auto"/>
        <w:right w:val="none" w:sz="0" w:space="0" w:color="auto"/>
      </w:divBdr>
    </w:div>
    <w:div w:id="1666855381">
      <w:bodyDiv w:val="1"/>
      <w:marLeft w:val="0"/>
      <w:marRight w:val="0"/>
      <w:marTop w:val="0"/>
      <w:marBottom w:val="0"/>
      <w:divBdr>
        <w:top w:val="none" w:sz="0" w:space="0" w:color="auto"/>
        <w:left w:val="none" w:sz="0" w:space="0" w:color="auto"/>
        <w:bottom w:val="none" w:sz="0" w:space="0" w:color="auto"/>
        <w:right w:val="none" w:sz="0" w:space="0" w:color="auto"/>
      </w:divBdr>
    </w:div>
    <w:div w:id="1667584804">
      <w:bodyDiv w:val="1"/>
      <w:marLeft w:val="0"/>
      <w:marRight w:val="0"/>
      <w:marTop w:val="0"/>
      <w:marBottom w:val="0"/>
      <w:divBdr>
        <w:top w:val="none" w:sz="0" w:space="0" w:color="auto"/>
        <w:left w:val="none" w:sz="0" w:space="0" w:color="auto"/>
        <w:bottom w:val="none" w:sz="0" w:space="0" w:color="auto"/>
        <w:right w:val="none" w:sz="0" w:space="0" w:color="auto"/>
      </w:divBdr>
    </w:div>
    <w:div w:id="1670407251">
      <w:bodyDiv w:val="1"/>
      <w:marLeft w:val="0"/>
      <w:marRight w:val="0"/>
      <w:marTop w:val="0"/>
      <w:marBottom w:val="0"/>
      <w:divBdr>
        <w:top w:val="none" w:sz="0" w:space="0" w:color="auto"/>
        <w:left w:val="none" w:sz="0" w:space="0" w:color="auto"/>
        <w:bottom w:val="none" w:sz="0" w:space="0" w:color="auto"/>
        <w:right w:val="none" w:sz="0" w:space="0" w:color="auto"/>
      </w:divBdr>
    </w:div>
    <w:div w:id="1671714775">
      <w:bodyDiv w:val="1"/>
      <w:marLeft w:val="0"/>
      <w:marRight w:val="0"/>
      <w:marTop w:val="0"/>
      <w:marBottom w:val="0"/>
      <w:divBdr>
        <w:top w:val="none" w:sz="0" w:space="0" w:color="auto"/>
        <w:left w:val="none" w:sz="0" w:space="0" w:color="auto"/>
        <w:bottom w:val="none" w:sz="0" w:space="0" w:color="auto"/>
        <w:right w:val="none" w:sz="0" w:space="0" w:color="auto"/>
      </w:divBdr>
    </w:div>
    <w:div w:id="1672415733">
      <w:bodyDiv w:val="1"/>
      <w:marLeft w:val="0"/>
      <w:marRight w:val="0"/>
      <w:marTop w:val="0"/>
      <w:marBottom w:val="0"/>
      <w:divBdr>
        <w:top w:val="none" w:sz="0" w:space="0" w:color="auto"/>
        <w:left w:val="none" w:sz="0" w:space="0" w:color="auto"/>
        <w:bottom w:val="none" w:sz="0" w:space="0" w:color="auto"/>
        <w:right w:val="none" w:sz="0" w:space="0" w:color="auto"/>
      </w:divBdr>
    </w:div>
    <w:div w:id="1672638634">
      <w:bodyDiv w:val="1"/>
      <w:marLeft w:val="0"/>
      <w:marRight w:val="0"/>
      <w:marTop w:val="0"/>
      <w:marBottom w:val="0"/>
      <w:divBdr>
        <w:top w:val="none" w:sz="0" w:space="0" w:color="auto"/>
        <w:left w:val="none" w:sz="0" w:space="0" w:color="auto"/>
        <w:bottom w:val="none" w:sz="0" w:space="0" w:color="auto"/>
        <w:right w:val="none" w:sz="0" w:space="0" w:color="auto"/>
      </w:divBdr>
    </w:div>
    <w:div w:id="1672678387">
      <w:bodyDiv w:val="1"/>
      <w:marLeft w:val="0"/>
      <w:marRight w:val="0"/>
      <w:marTop w:val="0"/>
      <w:marBottom w:val="0"/>
      <w:divBdr>
        <w:top w:val="none" w:sz="0" w:space="0" w:color="auto"/>
        <w:left w:val="none" w:sz="0" w:space="0" w:color="auto"/>
        <w:bottom w:val="none" w:sz="0" w:space="0" w:color="auto"/>
        <w:right w:val="none" w:sz="0" w:space="0" w:color="auto"/>
      </w:divBdr>
    </w:div>
    <w:div w:id="1673870915">
      <w:bodyDiv w:val="1"/>
      <w:marLeft w:val="0"/>
      <w:marRight w:val="0"/>
      <w:marTop w:val="0"/>
      <w:marBottom w:val="0"/>
      <w:divBdr>
        <w:top w:val="none" w:sz="0" w:space="0" w:color="auto"/>
        <w:left w:val="none" w:sz="0" w:space="0" w:color="auto"/>
        <w:bottom w:val="none" w:sz="0" w:space="0" w:color="auto"/>
        <w:right w:val="none" w:sz="0" w:space="0" w:color="auto"/>
      </w:divBdr>
    </w:div>
    <w:div w:id="1674528475">
      <w:bodyDiv w:val="1"/>
      <w:marLeft w:val="0"/>
      <w:marRight w:val="0"/>
      <w:marTop w:val="0"/>
      <w:marBottom w:val="0"/>
      <w:divBdr>
        <w:top w:val="none" w:sz="0" w:space="0" w:color="auto"/>
        <w:left w:val="none" w:sz="0" w:space="0" w:color="auto"/>
        <w:bottom w:val="none" w:sz="0" w:space="0" w:color="auto"/>
        <w:right w:val="none" w:sz="0" w:space="0" w:color="auto"/>
      </w:divBdr>
    </w:div>
    <w:div w:id="1674911916">
      <w:bodyDiv w:val="1"/>
      <w:marLeft w:val="0"/>
      <w:marRight w:val="0"/>
      <w:marTop w:val="0"/>
      <w:marBottom w:val="0"/>
      <w:divBdr>
        <w:top w:val="none" w:sz="0" w:space="0" w:color="auto"/>
        <w:left w:val="none" w:sz="0" w:space="0" w:color="auto"/>
        <w:bottom w:val="none" w:sz="0" w:space="0" w:color="auto"/>
        <w:right w:val="none" w:sz="0" w:space="0" w:color="auto"/>
      </w:divBdr>
    </w:div>
    <w:div w:id="1674989982">
      <w:bodyDiv w:val="1"/>
      <w:marLeft w:val="0"/>
      <w:marRight w:val="0"/>
      <w:marTop w:val="0"/>
      <w:marBottom w:val="0"/>
      <w:divBdr>
        <w:top w:val="none" w:sz="0" w:space="0" w:color="auto"/>
        <w:left w:val="none" w:sz="0" w:space="0" w:color="auto"/>
        <w:bottom w:val="none" w:sz="0" w:space="0" w:color="auto"/>
        <w:right w:val="none" w:sz="0" w:space="0" w:color="auto"/>
      </w:divBdr>
    </w:div>
    <w:div w:id="1676153448">
      <w:bodyDiv w:val="1"/>
      <w:marLeft w:val="0"/>
      <w:marRight w:val="0"/>
      <w:marTop w:val="0"/>
      <w:marBottom w:val="0"/>
      <w:divBdr>
        <w:top w:val="none" w:sz="0" w:space="0" w:color="auto"/>
        <w:left w:val="none" w:sz="0" w:space="0" w:color="auto"/>
        <w:bottom w:val="none" w:sz="0" w:space="0" w:color="auto"/>
        <w:right w:val="none" w:sz="0" w:space="0" w:color="auto"/>
      </w:divBdr>
    </w:div>
    <w:div w:id="1676228801">
      <w:bodyDiv w:val="1"/>
      <w:marLeft w:val="0"/>
      <w:marRight w:val="0"/>
      <w:marTop w:val="0"/>
      <w:marBottom w:val="0"/>
      <w:divBdr>
        <w:top w:val="none" w:sz="0" w:space="0" w:color="auto"/>
        <w:left w:val="none" w:sz="0" w:space="0" w:color="auto"/>
        <w:bottom w:val="none" w:sz="0" w:space="0" w:color="auto"/>
        <w:right w:val="none" w:sz="0" w:space="0" w:color="auto"/>
      </w:divBdr>
    </w:div>
    <w:div w:id="1676493091">
      <w:bodyDiv w:val="1"/>
      <w:marLeft w:val="0"/>
      <w:marRight w:val="0"/>
      <w:marTop w:val="0"/>
      <w:marBottom w:val="0"/>
      <w:divBdr>
        <w:top w:val="none" w:sz="0" w:space="0" w:color="auto"/>
        <w:left w:val="none" w:sz="0" w:space="0" w:color="auto"/>
        <w:bottom w:val="none" w:sz="0" w:space="0" w:color="auto"/>
        <w:right w:val="none" w:sz="0" w:space="0" w:color="auto"/>
      </w:divBdr>
    </w:div>
    <w:div w:id="1676609082">
      <w:bodyDiv w:val="1"/>
      <w:marLeft w:val="0"/>
      <w:marRight w:val="0"/>
      <w:marTop w:val="0"/>
      <w:marBottom w:val="0"/>
      <w:divBdr>
        <w:top w:val="none" w:sz="0" w:space="0" w:color="auto"/>
        <w:left w:val="none" w:sz="0" w:space="0" w:color="auto"/>
        <w:bottom w:val="none" w:sz="0" w:space="0" w:color="auto"/>
        <w:right w:val="none" w:sz="0" w:space="0" w:color="auto"/>
      </w:divBdr>
    </w:div>
    <w:div w:id="1678193398">
      <w:bodyDiv w:val="1"/>
      <w:marLeft w:val="0"/>
      <w:marRight w:val="0"/>
      <w:marTop w:val="0"/>
      <w:marBottom w:val="0"/>
      <w:divBdr>
        <w:top w:val="none" w:sz="0" w:space="0" w:color="auto"/>
        <w:left w:val="none" w:sz="0" w:space="0" w:color="auto"/>
        <w:bottom w:val="none" w:sz="0" w:space="0" w:color="auto"/>
        <w:right w:val="none" w:sz="0" w:space="0" w:color="auto"/>
      </w:divBdr>
    </w:div>
    <w:div w:id="1678926174">
      <w:bodyDiv w:val="1"/>
      <w:marLeft w:val="0"/>
      <w:marRight w:val="0"/>
      <w:marTop w:val="0"/>
      <w:marBottom w:val="0"/>
      <w:divBdr>
        <w:top w:val="none" w:sz="0" w:space="0" w:color="auto"/>
        <w:left w:val="none" w:sz="0" w:space="0" w:color="auto"/>
        <w:bottom w:val="none" w:sz="0" w:space="0" w:color="auto"/>
        <w:right w:val="none" w:sz="0" w:space="0" w:color="auto"/>
      </w:divBdr>
    </w:div>
    <w:div w:id="1679652238">
      <w:bodyDiv w:val="1"/>
      <w:marLeft w:val="0"/>
      <w:marRight w:val="0"/>
      <w:marTop w:val="0"/>
      <w:marBottom w:val="0"/>
      <w:divBdr>
        <w:top w:val="none" w:sz="0" w:space="0" w:color="auto"/>
        <w:left w:val="none" w:sz="0" w:space="0" w:color="auto"/>
        <w:bottom w:val="none" w:sz="0" w:space="0" w:color="auto"/>
        <w:right w:val="none" w:sz="0" w:space="0" w:color="auto"/>
      </w:divBdr>
    </w:div>
    <w:div w:id="1681202984">
      <w:bodyDiv w:val="1"/>
      <w:marLeft w:val="0"/>
      <w:marRight w:val="0"/>
      <w:marTop w:val="0"/>
      <w:marBottom w:val="0"/>
      <w:divBdr>
        <w:top w:val="none" w:sz="0" w:space="0" w:color="auto"/>
        <w:left w:val="none" w:sz="0" w:space="0" w:color="auto"/>
        <w:bottom w:val="none" w:sz="0" w:space="0" w:color="auto"/>
        <w:right w:val="none" w:sz="0" w:space="0" w:color="auto"/>
      </w:divBdr>
    </w:div>
    <w:div w:id="1682312988">
      <w:bodyDiv w:val="1"/>
      <w:marLeft w:val="0"/>
      <w:marRight w:val="0"/>
      <w:marTop w:val="0"/>
      <w:marBottom w:val="0"/>
      <w:divBdr>
        <w:top w:val="none" w:sz="0" w:space="0" w:color="auto"/>
        <w:left w:val="none" w:sz="0" w:space="0" w:color="auto"/>
        <w:bottom w:val="none" w:sz="0" w:space="0" w:color="auto"/>
        <w:right w:val="none" w:sz="0" w:space="0" w:color="auto"/>
      </w:divBdr>
    </w:div>
    <w:div w:id="1682901393">
      <w:bodyDiv w:val="1"/>
      <w:marLeft w:val="0"/>
      <w:marRight w:val="0"/>
      <w:marTop w:val="0"/>
      <w:marBottom w:val="0"/>
      <w:divBdr>
        <w:top w:val="none" w:sz="0" w:space="0" w:color="auto"/>
        <w:left w:val="none" w:sz="0" w:space="0" w:color="auto"/>
        <w:bottom w:val="none" w:sz="0" w:space="0" w:color="auto"/>
        <w:right w:val="none" w:sz="0" w:space="0" w:color="auto"/>
      </w:divBdr>
    </w:div>
    <w:div w:id="1683823959">
      <w:bodyDiv w:val="1"/>
      <w:marLeft w:val="0"/>
      <w:marRight w:val="0"/>
      <w:marTop w:val="0"/>
      <w:marBottom w:val="0"/>
      <w:divBdr>
        <w:top w:val="none" w:sz="0" w:space="0" w:color="auto"/>
        <w:left w:val="none" w:sz="0" w:space="0" w:color="auto"/>
        <w:bottom w:val="none" w:sz="0" w:space="0" w:color="auto"/>
        <w:right w:val="none" w:sz="0" w:space="0" w:color="auto"/>
      </w:divBdr>
    </w:div>
    <w:div w:id="1685130609">
      <w:bodyDiv w:val="1"/>
      <w:marLeft w:val="0"/>
      <w:marRight w:val="0"/>
      <w:marTop w:val="0"/>
      <w:marBottom w:val="0"/>
      <w:divBdr>
        <w:top w:val="none" w:sz="0" w:space="0" w:color="auto"/>
        <w:left w:val="none" w:sz="0" w:space="0" w:color="auto"/>
        <w:bottom w:val="none" w:sz="0" w:space="0" w:color="auto"/>
        <w:right w:val="none" w:sz="0" w:space="0" w:color="auto"/>
      </w:divBdr>
    </w:div>
    <w:div w:id="1687709113">
      <w:bodyDiv w:val="1"/>
      <w:marLeft w:val="0"/>
      <w:marRight w:val="0"/>
      <w:marTop w:val="0"/>
      <w:marBottom w:val="0"/>
      <w:divBdr>
        <w:top w:val="none" w:sz="0" w:space="0" w:color="auto"/>
        <w:left w:val="none" w:sz="0" w:space="0" w:color="auto"/>
        <w:bottom w:val="none" w:sz="0" w:space="0" w:color="auto"/>
        <w:right w:val="none" w:sz="0" w:space="0" w:color="auto"/>
      </w:divBdr>
    </w:div>
    <w:div w:id="1688404920">
      <w:bodyDiv w:val="1"/>
      <w:marLeft w:val="0"/>
      <w:marRight w:val="0"/>
      <w:marTop w:val="0"/>
      <w:marBottom w:val="0"/>
      <w:divBdr>
        <w:top w:val="none" w:sz="0" w:space="0" w:color="auto"/>
        <w:left w:val="none" w:sz="0" w:space="0" w:color="auto"/>
        <w:bottom w:val="none" w:sz="0" w:space="0" w:color="auto"/>
        <w:right w:val="none" w:sz="0" w:space="0" w:color="auto"/>
      </w:divBdr>
    </w:div>
    <w:div w:id="1689209922">
      <w:bodyDiv w:val="1"/>
      <w:marLeft w:val="0"/>
      <w:marRight w:val="0"/>
      <w:marTop w:val="0"/>
      <w:marBottom w:val="0"/>
      <w:divBdr>
        <w:top w:val="none" w:sz="0" w:space="0" w:color="auto"/>
        <w:left w:val="none" w:sz="0" w:space="0" w:color="auto"/>
        <w:bottom w:val="none" w:sz="0" w:space="0" w:color="auto"/>
        <w:right w:val="none" w:sz="0" w:space="0" w:color="auto"/>
      </w:divBdr>
    </w:div>
    <w:div w:id="1690175186">
      <w:bodyDiv w:val="1"/>
      <w:marLeft w:val="0"/>
      <w:marRight w:val="0"/>
      <w:marTop w:val="0"/>
      <w:marBottom w:val="0"/>
      <w:divBdr>
        <w:top w:val="none" w:sz="0" w:space="0" w:color="auto"/>
        <w:left w:val="none" w:sz="0" w:space="0" w:color="auto"/>
        <w:bottom w:val="none" w:sz="0" w:space="0" w:color="auto"/>
        <w:right w:val="none" w:sz="0" w:space="0" w:color="auto"/>
      </w:divBdr>
    </w:div>
    <w:div w:id="1690335266">
      <w:bodyDiv w:val="1"/>
      <w:marLeft w:val="0"/>
      <w:marRight w:val="0"/>
      <w:marTop w:val="0"/>
      <w:marBottom w:val="0"/>
      <w:divBdr>
        <w:top w:val="none" w:sz="0" w:space="0" w:color="auto"/>
        <w:left w:val="none" w:sz="0" w:space="0" w:color="auto"/>
        <w:bottom w:val="none" w:sz="0" w:space="0" w:color="auto"/>
        <w:right w:val="none" w:sz="0" w:space="0" w:color="auto"/>
      </w:divBdr>
    </w:div>
    <w:div w:id="1692565331">
      <w:bodyDiv w:val="1"/>
      <w:marLeft w:val="0"/>
      <w:marRight w:val="0"/>
      <w:marTop w:val="0"/>
      <w:marBottom w:val="0"/>
      <w:divBdr>
        <w:top w:val="none" w:sz="0" w:space="0" w:color="auto"/>
        <w:left w:val="none" w:sz="0" w:space="0" w:color="auto"/>
        <w:bottom w:val="none" w:sz="0" w:space="0" w:color="auto"/>
        <w:right w:val="none" w:sz="0" w:space="0" w:color="auto"/>
      </w:divBdr>
    </w:div>
    <w:div w:id="1692678411">
      <w:bodyDiv w:val="1"/>
      <w:marLeft w:val="0"/>
      <w:marRight w:val="0"/>
      <w:marTop w:val="0"/>
      <w:marBottom w:val="0"/>
      <w:divBdr>
        <w:top w:val="none" w:sz="0" w:space="0" w:color="auto"/>
        <w:left w:val="none" w:sz="0" w:space="0" w:color="auto"/>
        <w:bottom w:val="none" w:sz="0" w:space="0" w:color="auto"/>
        <w:right w:val="none" w:sz="0" w:space="0" w:color="auto"/>
      </w:divBdr>
    </w:div>
    <w:div w:id="1693604295">
      <w:bodyDiv w:val="1"/>
      <w:marLeft w:val="0"/>
      <w:marRight w:val="0"/>
      <w:marTop w:val="0"/>
      <w:marBottom w:val="0"/>
      <w:divBdr>
        <w:top w:val="none" w:sz="0" w:space="0" w:color="auto"/>
        <w:left w:val="none" w:sz="0" w:space="0" w:color="auto"/>
        <w:bottom w:val="none" w:sz="0" w:space="0" w:color="auto"/>
        <w:right w:val="none" w:sz="0" w:space="0" w:color="auto"/>
      </w:divBdr>
    </w:div>
    <w:div w:id="1695691327">
      <w:bodyDiv w:val="1"/>
      <w:marLeft w:val="0"/>
      <w:marRight w:val="0"/>
      <w:marTop w:val="0"/>
      <w:marBottom w:val="0"/>
      <w:divBdr>
        <w:top w:val="none" w:sz="0" w:space="0" w:color="auto"/>
        <w:left w:val="none" w:sz="0" w:space="0" w:color="auto"/>
        <w:bottom w:val="none" w:sz="0" w:space="0" w:color="auto"/>
        <w:right w:val="none" w:sz="0" w:space="0" w:color="auto"/>
      </w:divBdr>
    </w:div>
    <w:div w:id="1696610213">
      <w:bodyDiv w:val="1"/>
      <w:marLeft w:val="0"/>
      <w:marRight w:val="0"/>
      <w:marTop w:val="0"/>
      <w:marBottom w:val="0"/>
      <w:divBdr>
        <w:top w:val="none" w:sz="0" w:space="0" w:color="auto"/>
        <w:left w:val="none" w:sz="0" w:space="0" w:color="auto"/>
        <w:bottom w:val="none" w:sz="0" w:space="0" w:color="auto"/>
        <w:right w:val="none" w:sz="0" w:space="0" w:color="auto"/>
      </w:divBdr>
    </w:div>
    <w:div w:id="1697728143">
      <w:bodyDiv w:val="1"/>
      <w:marLeft w:val="0"/>
      <w:marRight w:val="0"/>
      <w:marTop w:val="0"/>
      <w:marBottom w:val="0"/>
      <w:divBdr>
        <w:top w:val="none" w:sz="0" w:space="0" w:color="auto"/>
        <w:left w:val="none" w:sz="0" w:space="0" w:color="auto"/>
        <w:bottom w:val="none" w:sz="0" w:space="0" w:color="auto"/>
        <w:right w:val="none" w:sz="0" w:space="0" w:color="auto"/>
      </w:divBdr>
    </w:div>
    <w:div w:id="1698508110">
      <w:bodyDiv w:val="1"/>
      <w:marLeft w:val="0"/>
      <w:marRight w:val="0"/>
      <w:marTop w:val="0"/>
      <w:marBottom w:val="0"/>
      <w:divBdr>
        <w:top w:val="none" w:sz="0" w:space="0" w:color="auto"/>
        <w:left w:val="none" w:sz="0" w:space="0" w:color="auto"/>
        <w:bottom w:val="none" w:sz="0" w:space="0" w:color="auto"/>
        <w:right w:val="none" w:sz="0" w:space="0" w:color="auto"/>
      </w:divBdr>
    </w:div>
    <w:div w:id="1699162223">
      <w:bodyDiv w:val="1"/>
      <w:marLeft w:val="0"/>
      <w:marRight w:val="0"/>
      <w:marTop w:val="0"/>
      <w:marBottom w:val="0"/>
      <w:divBdr>
        <w:top w:val="none" w:sz="0" w:space="0" w:color="auto"/>
        <w:left w:val="none" w:sz="0" w:space="0" w:color="auto"/>
        <w:bottom w:val="none" w:sz="0" w:space="0" w:color="auto"/>
        <w:right w:val="none" w:sz="0" w:space="0" w:color="auto"/>
      </w:divBdr>
    </w:div>
    <w:div w:id="1699961839">
      <w:bodyDiv w:val="1"/>
      <w:marLeft w:val="0"/>
      <w:marRight w:val="0"/>
      <w:marTop w:val="0"/>
      <w:marBottom w:val="0"/>
      <w:divBdr>
        <w:top w:val="none" w:sz="0" w:space="0" w:color="auto"/>
        <w:left w:val="none" w:sz="0" w:space="0" w:color="auto"/>
        <w:bottom w:val="none" w:sz="0" w:space="0" w:color="auto"/>
        <w:right w:val="none" w:sz="0" w:space="0" w:color="auto"/>
      </w:divBdr>
    </w:div>
    <w:div w:id="1700932120">
      <w:bodyDiv w:val="1"/>
      <w:marLeft w:val="0"/>
      <w:marRight w:val="0"/>
      <w:marTop w:val="0"/>
      <w:marBottom w:val="0"/>
      <w:divBdr>
        <w:top w:val="none" w:sz="0" w:space="0" w:color="auto"/>
        <w:left w:val="none" w:sz="0" w:space="0" w:color="auto"/>
        <w:bottom w:val="none" w:sz="0" w:space="0" w:color="auto"/>
        <w:right w:val="none" w:sz="0" w:space="0" w:color="auto"/>
      </w:divBdr>
    </w:div>
    <w:div w:id="1701584789">
      <w:bodyDiv w:val="1"/>
      <w:marLeft w:val="0"/>
      <w:marRight w:val="0"/>
      <w:marTop w:val="0"/>
      <w:marBottom w:val="0"/>
      <w:divBdr>
        <w:top w:val="none" w:sz="0" w:space="0" w:color="auto"/>
        <w:left w:val="none" w:sz="0" w:space="0" w:color="auto"/>
        <w:bottom w:val="none" w:sz="0" w:space="0" w:color="auto"/>
        <w:right w:val="none" w:sz="0" w:space="0" w:color="auto"/>
      </w:divBdr>
    </w:div>
    <w:div w:id="1702390798">
      <w:bodyDiv w:val="1"/>
      <w:marLeft w:val="0"/>
      <w:marRight w:val="0"/>
      <w:marTop w:val="0"/>
      <w:marBottom w:val="0"/>
      <w:divBdr>
        <w:top w:val="none" w:sz="0" w:space="0" w:color="auto"/>
        <w:left w:val="none" w:sz="0" w:space="0" w:color="auto"/>
        <w:bottom w:val="none" w:sz="0" w:space="0" w:color="auto"/>
        <w:right w:val="none" w:sz="0" w:space="0" w:color="auto"/>
      </w:divBdr>
    </w:div>
    <w:div w:id="1703045972">
      <w:bodyDiv w:val="1"/>
      <w:marLeft w:val="0"/>
      <w:marRight w:val="0"/>
      <w:marTop w:val="0"/>
      <w:marBottom w:val="0"/>
      <w:divBdr>
        <w:top w:val="none" w:sz="0" w:space="0" w:color="auto"/>
        <w:left w:val="none" w:sz="0" w:space="0" w:color="auto"/>
        <w:bottom w:val="none" w:sz="0" w:space="0" w:color="auto"/>
        <w:right w:val="none" w:sz="0" w:space="0" w:color="auto"/>
      </w:divBdr>
    </w:div>
    <w:div w:id="1703631113">
      <w:bodyDiv w:val="1"/>
      <w:marLeft w:val="0"/>
      <w:marRight w:val="0"/>
      <w:marTop w:val="0"/>
      <w:marBottom w:val="0"/>
      <w:divBdr>
        <w:top w:val="none" w:sz="0" w:space="0" w:color="auto"/>
        <w:left w:val="none" w:sz="0" w:space="0" w:color="auto"/>
        <w:bottom w:val="none" w:sz="0" w:space="0" w:color="auto"/>
        <w:right w:val="none" w:sz="0" w:space="0" w:color="auto"/>
      </w:divBdr>
    </w:div>
    <w:div w:id="1703633702">
      <w:bodyDiv w:val="1"/>
      <w:marLeft w:val="0"/>
      <w:marRight w:val="0"/>
      <w:marTop w:val="0"/>
      <w:marBottom w:val="0"/>
      <w:divBdr>
        <w:top w:val="none" w:sz="0" w:space="0" w:color="auto"/>
        <w:left w:val="none" w:sz="0" w:space="0" w:color="auto"/>
        <w:bottom w:val="none" w:sz="0" w:space="0" w:color="auto"/>
        <w:right w:val="none" w:sz="0" w:space="0" w:color="auto"/>
      </w:divBdr>
    </w:div>
    <w:div w:id="1705712722">
      <w:bodyDiv w:val="1"/>
      <w:marLeft w:val="0"/>
      <w:marRight w:val="0"/>
      <w:marTop w:val="0"/>
      <w:marBottom w:val="0"/>
      <w:divBdr>
        <w:top w:val="none" w:sz="0" w:space="0" w:color="auto"/>
        <w:left w:val="none" w:sz="0" w:space="0" w:color="auto"/>
        <w:bottom w:val="none" w:sz="0" w:space="0" w:color="auto"/>
        <w:right w:val="none" w:sz="0" w:space="0" w:color="auto"/>
      </w:divBdr>
    </w:div>
    <w:div w:id="1706057516">
      <w:bodyDiv w:val="1"/>
      <w:marLeft w:val="0"/>
      <w:marRight w:val="0"/>
      <w:marTop w:val="0"/>
      <w:marBottom w:val="0"/>
      <w:divBdr>
        <w:top w:val="none" w:sz="0" w:space="0" w:color="auto"/>
        <w:left w:val="none" w:sz="0" w:space="0" w:color="auto"/>
        <w:bottom w:val="none" w:sz="0" w:space="0" w:color="auto"/>
        <w:right w:val="none" w:sz="0" w:space="0" w:color="auto"/>
      </w:divBdr>
    </w:div>
    <w:div w:id="1707440990">
      <w:bodyDiv w:val="1"/>
      <w:marLeft w:val="0"/>
      <w:marRight w:val="0"/>
      <w:marTop w:val="0"/>
      <w:marBottom w:val="0"/>
      <w:divBdr>
        <w:top w:val="none" w:sz="0" w:space="0" w:color="auto"/>
        <w:left w:val="none" w:sz="0" w:space="0" w:color="auto"/>
        <w:bottom w:val="none" w:sz="0" w:space="0" w:color="auto"/>
        <w:right w:val="none" w:sz="0" w:space="0" w:color="auto"/>
      </w:divBdr>
    </w:div>
    <w:div w:id="1708140276">
      <w:bodyDiv w:val="1"/>
      <w:marLeft w:val="0"/>
      <w:marRight w:val="0"/>
      <w:marTop w:val="0"/>
      <w:marBottom w:val="0"/>
      <w:divBdr>
        <w:top w:val="none" w:sz="0" w:space="0" w:color="auto"/>
        <w:left w:val="none" w:sz="0" w:space="0" w:color="auto"/>
        <w:bottom w:val="none" w:sz="0" w:space="0" w:color="auto"/>
        <w:right w:val="none" w:sz="0" w:space="0" w:color="auto"/>
      </w:divBdr>
    </w:div>
    <w:div w:id="1708946602">
      <w:bodyDiv w:val="1"/>
      <w:marLeft w:val="0"/>
      <w:marRight w:val="0"/>
      <w:marTop w:val="0"/>
      <w:marBottom w:val="0"/>
      <w:divBdr>
        <w:top w:val="none" w:sz="0" w:space="0" w:color="auto"/>
        <w:left w:val="none" w:sz="0" w:space="0" w:color="auto"/>
        <w:bottom w:val="none" w:sz="0" w:space="0" w:color="auto"/>
        <w:right w:val="none" w:sz="0" w:space="0" w:color="auto"/>
      </w:divBdr>
    </w:div>
    <w:div w:id="1708946980">
      <w:bodyDiv w:val="1"/>
      <w:marLeft w:val="0"/>
      <w:marRight w:val="0"/>
      <w:marTop w:val="0"/>
      <w:marBottom w:val="0"/>
      <w:divBdr>
        <w:top w:val="none" w:sz="0" w:space="0" w:color="auto"/>
        <w:left w:val="none" w:sz="0" w:space="0" w:color="auto"/>
        <w:bottom w:val="none" w:sz="0" w:space="0" w:color="auto"/>
        <w:right w:val="none" w:sz="0" w:space="0" w:color="auto"/>
      </w:divBdr>
    </w:div>
    <w:div w:id="1711682773">
      <w:bodyDiv w:val="1"/>
      <w:marLeft w:val="0"/>
      <w:marRight w:val="0"/>
      <w:marTop w:val="0"/>
      <w:marBottom w:val="0"/>
      <w:divBdr>
        <w:top w:val="none" w:sz="0" w:space="0" w:color="auto"/>
        <w:left w:val="none" w:sz="0" w:space="0" w:color="auto"/>
        <w:bottom w:val="none" w:sz="0" w:space="0" w:color="auto"/>
        <w:right w:val="none" w:sz="0" w:space="0" w:color="auto"/>
      </w:divBdr>
    </w:div>
    <w:div w:id="1712146274">
      <w:bodyDiv w:val="1"/>
      <w:marLeft w:val="0"/>
      <w:marRight w:val="0"/>
      <w:marTop w:val="0"/>
      <w:marBottom w:val="0"/>
      <w:divBdr>
        <w:top w:val="none" w:sz="0" w:space="0" w:color="auto"/>
        <w:left w:val="none" w:sz="0" w:space="0" w:color="auto"/>
        <w:bottom w:val="none" w:sz="0" w:space="0" w:color="auto"/>
        <w:right w:val="none" w:sz="0" w:space="0" w:color="auto"/>
      </w:divBdr>
    </w:div>
    <w:div w:id="1714619376">
      <w:bodyDiv w:val="1"/>
      <w:marLeft w:val="0"/>
      <w:marRight w:val="0"/>
      <w:marTop w:val="0"/>
      <w:marBottom w:val="0"/>
      <w:divBdr>
        <w:top w:val="none" w:sz="0" w:space="0" w:color="auto"/>
        <w:left w:val="none" w:sz="0" w:space="0" w:color="auto"/>
        <w:bottom w:val="none" w:sz="0" w:space="0" w:color="auto"/>
        <w:right w:val="none" w:sz="0" w:space="0" w:color="auto"/>
      </w:divBdr>
    </w:div>
    <w:div w:id="1715806571">
      <w:bodyDiv w:val="1"/>
      <w:marLeft w:val="0"/>
      <w:marRight w:val="0"/>
      <w:marTop w:val="0"/>
      <w:marBottom w:val="0"/>
      <w:divBdr>
        <w:top w:val="none" w:sz="0" w:space="0" w:color="auto"/>
        <w:left w:val="none" w:sz="0" w:space="0" w:color="auto"/>
        <w:bottom w:val="none" w:sz="0" w:space="0" w:color="auto"/>
        <w:right w:val="none" w:sz="0" w:space="0" w:color="auto"/>
      </w:divBdr>
    </w:div>
    <w:div w:id="1719014618">
      <w:bodyDiv w:val="1"/>
      <w:marLeft w:val="0"/>
      <w:marRight w:val="0"/>
      <w:marTop w:val="0"/>
      <w:marBottom w:val="0"/>
      <w:divBdr>
        <w:top w:val="none" w:sz="0" w:space="0" w:color="auto"/>
        <w:left w:val="none" w:sz="0" w:space="0" w:color="auto"/>
        <w:bottom w:val="none" w:sz="0" w:space="0" w:color="auto"/>
        <w:right w:val="none" w:sz="0" w:space="0" w:color="auto"/>
      </w:divBdr>
    </w:div>
    <w:div w:id="1719159449">
      <w:bodyDiv w:val="1"/>
      <w:marLeft w:val="0"/>
      <w:marRight w:val="0"/>
      <w:marTop w:val="0"/>
      <w:marBottom w:val="0"/>
      <w:divBdr>
        <w:top w:val="none" w:sz="0" w:space="0" w:color="auto"/>
        <w:left w:val="none" w:sz="0" w:space="0" w:color="auto"/>
        <w:bottom w:val="none" w:sz="0" w:space="0" w:color="auto"/>
        <w:right w:val="none" w:sz="0" w:space="0" w:color="auto"/>
      </w:divBdr>
    </w:div>
    <w:div w:id="1723820311">
      <w:bodyDiv w:val="1"/>
      <w:marLeft w:val="0"/>
      <w:marRight w:val="0"/>
      <w:marTop w:val="0"/>
      <w:marBottom w:val="0"/>
      <w:divBdr>
        <w:top w:val="none" w:sz="0" w:space="0" w:color="auto"/>
        <w:left w:val="none" w:sz="0" w:space="0" w:color="auto"/>
        <w:bottom w:val="none" w:sz="0" w:space="0" w:color="auto"/>
        <w:right w:val="none" w:sz="0" w:space="0" w:color="auto"/>
      </w:divBdr>
    </w:div>
    <w:div w:id="1725444509">
      <w:bodyDiv w:val="1"/>
      <w:marLeft w:val="0"/>
      <w:marRight w:val="0"/>
      <w:marTop w:val="0"/>
      <w:marBottom w:val="0"/>
      <w:divBdr>
        <w:top w:val="none" w:sz="0" w:space="0" w:color="auto"/>
        <w:left w:val="none" w:sz="0" w:space="0" w:color="auto"/>
        <w:bottom w:val="none" w:sz="0" w:space="0" w:color="auto"/>
        <w:right w:val="none" w:sz="0" w:space="0" w:color="auto"/>
      </w:divBdr>
    </w:div>
    <w:div w:id="1728141000">
      <w:bodyDiv w:val="1"/>
      <w:marLeft w:val="0"/>
      <w:marRight w:val="0"/>
      <w:marTop w:val="0"/>
      <w:marBottom w:val="0"/>
      <w:divBdr>
        <w:top w:val="none" w:sz="0" w:space="0" w:color="auto"/>
        <w:left w:val="none" w:sz="0" w:space="0" w:color="auto"/>
        <w:bottom w:val="none" w:sz="0" w:space="0" w:color="auto"/>
        <w:right w:val="none" w:sz="0" w:space="0" w:color="auto"/>
      </w:divBdr>
    </w:div>
    <w:div w:id="1731466647">
      <w:bodyDiv w:val="1"/>
      <w:marLeft w:val="0"/>
      <w:marRight w:val="0"/>
      <w:marTop w:val="0"/>
      <w:marBottom w:val="0"/>
      <w:divBdr>
        <w:top w:val="none" w:sz="0" w:space="0" w:color="auto"/>
        <w:left w:val="none" w:sz="0" w:space="0" w:color="auto"/>
        <w:bottom w:val="none" w:sz="0" w:space="0" w:color="auto"/>
        <w:right w:val="none" w:sz="0" w:space="0" w:color="auto"/>
      </w:divBdr>
    </w:div>
    <w:div w:id="1731729498">
      <w:bodyDiv w:val="1"/>
      <w:marLeft w:val="0"/>
      <w:marRight w:val="0"/>
      <w:marTop w:val="0"/>
      <w:marBottom w:val="0"/>
      <w:divBdr>
        <w:top w:val="none" w:sz="0" w:space="0" w:color="auto"/>
        <w:left w:val="none" w:sz="0" w:space="0" w:color="auto"/>
        <w:bottom w:val="none" w:sz="0" w:space="0" w:color="auto"/>
        <w:right w:val="none" w:sz="0" w:space="0" w:color="auto"/>
      </w:divBdr>
    </w:div>
    <w:div w:id="1733040061">
      <w:bodyDiv w:val="1"/>
      <w:marLeft w:val="0"/>
      <w:marRight w:val="0"/>
      <w:marTop w:val="0"/>
      <w:marBottom w:val="0"/>
      <w:divBdr>
        <w:top w:val="none" w:sz="0" w:space="0" w:color="auto"/>
        <w:left w:val="none" w:sz="0" w:space="0" w:color="auto"/>
        <w:bottom w:val="none" w:sz="0" w:space="0" w:color="auto"/>
        <w:right w:val="none" w:sz="0" w:space="0" w:color="auto"/>
      </w:divBdr>
    </w:div>
    <w:div w:id="1735077805">
      <w:bodyDiv w:val="1"/>
      <w:marLeft w:val="0"/>
      <w:marRight w:val="0"/>
      <w:marTop w:val="0"/>
      <w:marBottom w:val="0"/>
      <w:divBdr>
        <w:top w:val="none" w:sz="0" w:space="0" w:color="auto"/>
        <w:left w:val="none" w:sz="0" w:space="0" w:color="auto"/>
        <w:bottom w:val="none" w:sz="0" w:space="0" w:color="auto"/>
        <w:right w:val="none" w:sz="0" w:space="0" w:color="auto"/>
      </w:divBdr>
    </w:div>
    <w:div w:id="1736510538">
      <w:bodyDiv w:val="1"/>
      <w:marLeft w:val="0"/>
      <w:marRight w:val="0"/>
      <w:marTop w:val="0"/>
      <w:marBottom w:val="0"/>
      <w:divBdr>
        <w:top w:val="none" w:sz="0" w:space="0" w:color="auto"/>
        <w:left w:val="none" w:sz="0" w:space="0" w:color="auto"/>
        <w:bottom w:val="none" w:sz="0" w:space="0" w:color="auto"/>
        <w:right w:val="none" w:sz="0" w:space="0" w:color="auto"/>
      </w:divBdr>
    </w:div>
    <w:div w:id="1738091054">
      <w:bodyDiv w:val="1"/>
      <w:marLeft w:val="0"/>
      <w:marRight w:val="0"/>
      <w:marTop w:val="0"/>
      <w:marBottom w:val="0"/>
      <w:divBdr>
        <w:top w:val="none" w:sz="0" w:space="0" w:color="auto"/>
        <w:left w:val="none" w:sz="0" w:space="0" w:color="auto"/>
        <w:bottom w:val="none" w:sz="0" w:space="0" w:color="auto"/>
        <w:right w:val="none" w:sz="0" w:space="0" w:color="auto"/>
      </w:divBdr>
    </w:div>
    <w:div w:id="1738166439">
      <w:bodyDiv w:val="1"/>
      <w:marLeft w:val="0"/>
      <w:marRight w:val="0"/>
      <w:marTop w:val="0"/>
      <w:marBottom w:val="0"/>
      <w:divBdr>
        <w:top w:val="none" w:sz="0" w:space="0" w:color="auto"/>
        <w:left w:val="none" w:sz="0" w:space="0" w:color="auto"/>
        <w:bottom w:val="none" w:sz="0" w:space="0" w:color="auto"/>
        <w:right w:val="none" w:sz="0" w:space="0" w:color="auto"/>
      </w:divBdr>
    </w:div>
    <w:div w:id="1738549530">
      <w:bodyDiv w:val="1"/>
      <w:marLeft w:val="0"/>
      <w:marRight w:val="0"/>
      <w:marTop w:val="0"/>
      <w:marBottom w:val="0"/>
      <w:divBdr>
        <w:top w:val="none" w:sz="0" w:space="0" w:color="auto"/>
        <w:left w:val="none" w:sz="0" w:space="0" w:color="auto"/>
        <w:bottom w:val="none" w:sz="0" w:space="0" w:color="auto"/>
        <w:right w:val="none" w:sz="0" w:space="0" w:color="auto"/>
      </w:divBdr>
    </w:div>
    <w:div w:id="1739279549">
      <w:bodyDiv w:val="1"/>
      <w:marLeft w:val="0"/>
      <w:marRight w:val="0"/>
      <w:marTop w:val="0"/>
      <w:marBottom w:val="0"/>
      <w:divBdr>
        <w:top w:val="none" w:sz="0" w:space="0" w:color="auto"/>
        <w:left w:val="none" w:sz="0" w:space="0" w:color="auto"/>
        <w:bottom w:val="none" w:sz="0" w:space="0" w:color="auto"/>
        <w:right w:val="none" w:sz="0" w:space="0" w:color="auto"/>
      </w:divBdr>
    </w:div>
    <w:div w:id="1741781329">
      <w:bodyDiv w:val="1"/>
      <w:marLeft w:val="0"/>
      <w:marRight w:val="0"/>
      <w:marTop w:val="0"/>
      <w:marBottom w:val="0"/>
      <w:divBdr>
        <w:top w:val="none" w:sz="0" w:space="0" w:color="auto"/>
        <w:left w:val="none" w:sz="0" w:space="0" w:color="auto"/>
        <w:bottom w:val="none" w:sz="0" w:space="0" w:color="auto"/>
        <w:right w:val="none" w:sz="0" w:space="0" w:color="auto"/>
      </w:divBdr>
    </w:div>
    <w:div w:id="1744376453">
      <w:bodyDiv w:val="1"/>
      <w:marLeft w:val="0"/>
      <w:marRight w:val="0"/>
      <w:marTop w:val="0"/>
      <w:marBottom w:val="0"/>
      <w:divBdr>
        <w:top w:val="none" w:sz="0" w:space="0" w:color="auto"/>
        <w:left w:val="none" w:sz="0" w:space="0" w:color="auto"/>
        <w:bottom w:val="none" w:sz="0" w:space="0" w:color="auto"/>
        <w:right w:val="none" w:sz="0" w:space="0" w:color="auto"/>
      </w:divBdr>
    </w:div>
    <w:div w:id="1747529121">
      <w:bodyDiv w:val="1"/>
      <w:marLeft w:val="0"/>
      <w:marRight w:val="0"/>
      <w:marTop w:val="0"/>
      <w:marBottom w:val="0"/>
      <w:divBdr>
        <w:top w:val="none" w:sz="0" w:space="0" w:color="auto"/>
        <w:left w:val="none" w:sz="0" w:space="0" w:color="auto"/>
        <w:bottom w:val="none" w:sz="0" w:space="0" w:color="auto"/>
        <w:right w:val="none" w:sz="0" w:space="0" w:color="auto"/>
      </w:divBdr>
    </w:div>
    <w:div w:id="1747921200">
      <w:bodyDiv w:val="1"/>
      <w:marLeft w:val="0"/>
      <w:marRight w:val="0"/>
      <w:marTop w:val="0"/>
      <w:marBottom w:val="0"/>
      <w:divBdr>
        <w:top w:val="none" w:sz="0" w:space="0" w:color="auto"/>
        <w:left w:val="none" w:sz="0" w:space="0" w:color="auto"/>
        <w:bottom w:val="none" w:sz="0" w:space="0" w:color="auto"/>
        <w:right w:val="none" w:sz="0" w:space="0" w:color="auto"/>
      </w:divBdr>
    </w:div>
    <w:div w:id="1748067687">
      <w:bodyDiv w:val="1"/>
      <w:marLeft w:val="0"/>
      <w:marRight w:val="0"/>
      <w:marTop w:val="0"/>
      <w:marBottom w:val="0"/>
      <w:divBdr>
        <w:top w:val="none" w:sz="0" w:space="0" w:color="auto"/>
        <w:left w:val="none" w:sz="0" w:space="0" w:color="auto"/>
        <w:bottom w:val="none" w:sz="0" w:space="0" w:color="auto"/>
        <w:right w:val="none" w:sz="0" w:space="0" w:color="auto"/>
      </w:divBdr>
    </w:div>
    <w:div w:id="1748259198">
      <w:bodyDiv w:val="1"/>
      <w:marLeft w:val="0"/>
      <w:marRight w:val="0"/>
      <w:marTop w:val="0"/>
      <w:marBottom w:val="0"/>
      <w:divBdr>
        <w:top w:val="none" w:sz="0" w:space="0" w:color="auto"/>
        <w:left w:val="none" w:sz="0" w:space="0" w:color="auto"/>
        <w:bottom w:val="none" w:sz="0" w:space="0" w:color="auto"/>
        <w:right w:val="none" w:sz="0" w:space="0" w:color="auto"/>
      </w:divBdr>
    </w:div>
    <w:div w:id="1748502158">
      <w:bodyDiv w:val="1"/>
      <w:marLeft w:val="0"/>
      <w:marRight w:val="0"/>
      <w:marTop w:val="0"/>
      <w:marBottom w:val="0"/>
      <w:divBdr>
        <w:top w:val="none" w:sz="0" w:space="0" w:color="auto"/>
        <w:left w:val="none" w:sz="0" w:space="0" w:color="auto"/>
        <w:bottom w:val="none" w:sz="0" w:space="0" w:color="auto"/>
        <w:right w:val="none" w:sz="0" w:space="0" w:color="auto"/>
      </w:divBdr>
    </w:div>
    <w:div w:id="1748571719">
      <w:bodyDiv w:val="1"/>
      <w:marLeft w:val="0"/>
      <w:marRight w:val="0"/>
      <w:marTop w:val="0"/>
      <w:marBottom w:val="0"/>
      <w:divBdr>
        <w:top w:val="none" w:sz="0" w:space="0" w:color="auto"/>
        <w:left w:val="none" w:sz="0" w:space="0" w:color="auto"/>
        <w:bottom w:val="none" w:sz="0" w:space="0" w:color="auto"/>
        <w:right w:val="none" w:sz="0" w:space="0" w:color="auto"/>
      </w:divBdr>
    </w:div>
    <w:div w:id="1749427637">
      <w:bodyDiv w:val="1"/>
      <w:marLeft w:val="0"/>
      <w:marRight w:val="0"/>
      <w:marTop w:val="0"/>
      <w:marBottom w:val="0"/>
      <w:divBdr>
        <w:top w:val="none" w:sz="0" w:space="0" w:color="auto"/>
        <w:left w:val="none" w:sz="0" w:space="0" w:color="auto"/>
        <w:bottom w:val="none" w:sz="0" w:space="0" w:color="auto"/>
        <w:right w:val="none" w:sz="0" w:space="0" w:color="auto"/>
      </w:divBdr>
    </w:div>
    <w:div w:id="1750616067">
      <w:bodyDiv w:val="1"/>
      <w:marLeft w:val="0"/>
      <w:marRight w:val="0"/>
      <w:marTop w:val="0"/>
      <w:marBottom w:val="0"/>
      <w:divBdr>
        <w:top w:val="none" w:sz="0" w:space="0" w:color="auto"/>
        <w:left w:val="none" w:sz="0" w:space="0" w:color="auto"/>
        <w:bottom w:val="none" w:sz="0" w:space="0" w:color="auto"/>
        <w:right w:val="none" w:sz="0" w:space="0" w:color="auto"/>
      </w:divBdr>
    </w:div>
    <w:div w:id="1752123952">
      <w:bodyDiv w:val="1"/>
      <w:marLeft w:val="0"/>
      <w:marRight w:val="0"/>
      <w:marTop w:val="0"/>
      <w:marBottom w:val="0"/>
      <w:divBdr>
        <w:top w:val="none" w:sz="0" w:space="0" w:color="auto"/>
        <w:left w:val="none" w:sz="0" w:space="0" w:color="auto"/>
        <w:bottom w:val="none" w:sz="0" w:space="0" w:color="auto"/>
        <w:right w:val="none" w:sz="0" w:space="0" w:color="auto"/>
      </w:divBdr>
    </w:div>
    <w:div w:id="1752385371">
      <w:bodyDiv w:val="1"/>
      <w:marLeft w:val="0"/>
      <w:marRight w:val="0"/>
      <w:marTop w:val="0"/>
      <w:marBottom w:val="0"/>
      <w:divBdr>
        <w:top w:val="none" w:sz="0" w:space="0" w:color="auto"/>
        <w:left w:val="none" w:sz="0" w:space="0" w:color="auto"/>
        <w:bottom w:val="none" w:sz="0" w:space="0" w:color="auto"/>
        <w:right w:val="none" w:sz="0" w:space="0" w:color="auto"/>
      </w:divBdr>
    </w:div>
    <w:div w:id="1754013859">
      <w:bodyDiv w:val="1"/>
      <w:marLeft w:val="0"/>
      <w:marRight w:val="0"/>
      <w:marTop w:val="0"/>
      <w:marBottom w:val="0"/>
      <w:divBdr>
        <w:top w:val="none" w:sz="0" w:space="0" w:color="auto"/>
        <w:left w:val="none" w:sz="0" w:space="0" w:color="auto"/>
        <w:bottom w:val="none" w:sz="0" w:space="0" w:color="auto"/>
        <w:right w:val="none" w:sz="0" w:space="0" w:color="auto"/>
      </w:divBdr>
    </w:div>
    <w:div w:id="1754859953">
      <w:bodyDiv w:val="1"/>
      <w:marLeft w:val="0"/>
      <w:marRight w:val="0"/>
      <w:marTop w:val="0"/>
      <w:marBottom w:val="0"/>
      <w:divBdr>
        <w:top w:val="none" w:sz="0" w:space="0" w:color="auto"/>
        <w:left w:val="none" w:sz="0" w:space="0" w:color="auto"/>
        <w:bottom w:val="none" w:sz="0" w:space="0" w:color="auto"/>
        <w:right w:val="none" w:sz="0" w:space="0" w:color="auto"/>
      </w:divBdr>
    </w:div>
    <w:div w:id="1756515229">
      <w:bodyDiv w:val="1"/>
      <w:marLeft w:val="0"/>
      <w:marRight w:val="0"/>
      <w:marTop w:val="0"/>
      <w:marBottom w:val="0"/>
      <w:divBdr>
        <w:top w:val="none" w:sz="0" w:space="0" w:color="auto"/>
        <w:left w:val="none" w:sz="0" w:space="0" w:color="auto"/>
        <w:bottom w:val="none" w:sz="0" w:space="0" w:color="auto"/>
        <w:right w:val="none" w:sz="0" w:space="0" w:color="auto"/>
      </w:divBdr>
    </w:div>
    <w:div w:id="1757248054">
      <w:bodyDiv w:val="1"/>
      <w:marLeft w:val="0"/>
      <w:marRight w:val="0"/>
      <w:marTop w:val="0"/>
      <w:marBottom w:val="0"/>
      <w:divBdr>
        <w:top w:val="none" w:sz="0" w:space="0" w:color="auto"/>
        <w:left w:val="none" w:sz="0" w:space="0" w:color="auto"/>
        <w:bottom w:val="none" w:sz="0" w:space="0" w:color="auto"/>
        <w:right w:val="none" w:sz="0" w:space="0" w:color="auto"/>
      </w:divBdr>
    </w:div>
    <w:div w:id="1757750700">
      <w:bodyDiv w:val="1"/>
      <w:marLeft w:val="0"/>
      <w:marRight w:val="0"/>
      <w:marTop w:val="0"/>
      <w:marBottom w:val="0"/>
      <w:divBdr>
        <w:top w:val="none" w:sz="0" w:space="0" w:color="auto"/>
        <w:left w:val="none" w:sz="0" w:space="0" w:color="auto"/>
        <w:bottom w:val="none" w:sz="0" w:space="0" w:color="auto"/>
        <w:right w:val="none" w:sz="0" w:space="0" w:color="auto"/>
      </w:divBdr>
    </w:div>
    <w:div w:id="1759055733">
      <w:bodyDiv w:val="1"/>
      <w:marLeft w:val="0"/>
      <w:marRight w:val="0"/>
      <w:marTop w:val="0"/>
      <w:marBottom w:val="0"/>
      <w:divBdr>
        <w:top w:val="none" w:sz="0" w:space="0" w:color="auto"/>
        <w:left w:val="none" w:sz="0" w:space="0" w:color="auto"/>
        <w:bottom w:val="none" w:sz="0" w:space="0" w:color="auto"/>
        <w:right w:val="none" w:sz="0" w:space="0" w:color="auto"/>
      </w:divBdr>
    </w:div>
    <w:div w:id="1761219938">
      <w:bodyDiv w:val="1"/>
      <w:marLeft w:val="0"/>
      <w:marRight w:val="0"/>
      <w:marTop w:val="0"/>
      <w:marBottom w:val="0"/>
      <w:divBdr>
        <w:top w:val="none" w:sz="0" w:space="0" w:color="auto"/>
        <w:left w:val="none" w:sz="0" w:space="0" w:color="auto"/>
        <w:bottom w:val="none" w:sz="0" w:space="0" w:color="auto"/>
        <w:right w:val="none" w:sz="0" w:space="0" w:color="auto"/>
      </w:divBdr>
    </w:div>
    <w:div w:id="1762674574">
      <w:bodyDiv w:val="1"/>
      <w:marLeft w:val="0"/>
      <w:marRight w:val="0"/>
      <w:marTop w:val="0"/>
      <w:marBottom w:val="0"/>
      <w:divBdr>
        <w:top w:val="none" w:sz="0" w:space="0" w:color="auto"/>
        <w:left w:val="none" w:sz="0" w:space="0" w:color="auto"/>
        <w:bottom w:val="none" w:sz="0" w:space="0" w:color="auto"/>
        <w:right w:val="none" w:sz="0" w:space="0" w:color="auto"/>
      </w:divBdr>
    </w:div>
    <w:div w:id="1764688170">
      <w:bodyDiv w:val="1"/>
      <w:marLeft w:val="0"/>
      <w:marRight w:val="0"/>
      <w:marTop w:val="0"/>
      <w:marBottom w:val="0"/>
      <w:divBdr>
        <w:top w:val="none" w:sz="0" w:space="0" w:color="auto"/>
        <w:left w:val="none" w:sz="0" w:space="0" w:color="auto"/>
        <w:bottom w:val="none" w:sz="0" w:space="0" w:color="auto"/>
        <w:right w:val="none" w:sz="0" w:space="0" w:color="auto"/>
      </w:divBdr>
    </w:div>
    <w:div w:id="1767263475">
      <w:bodyDiv w:val="1"/>
      <w:marLeft w:val="0"/>
      <w:marRight w:val="0"/>
      <w:marTop w:val="0"/>
      <w:marBottom w:val="0"/>
      <w:divBdr>
        <w:top w:val="none" w:sz="0" w:space="0" w:color="auto"/>
        <w:left w:val="none" w:sz="0" w:space="0" w:color="auto"/>
        <w:bottom w:val="none" w:sz="0" w:space="0" w:color="auto"/>
        <w:right w:val="none" w:sz="0" w:space="0" w:color="auto"/>
      </w:divBdr>
    </w:div>
    <w:div w:id="1768042108">
      <w:bodyDiv w:val="1"/>
      <w:marLeft w:val="0"/>
      <w:marRight w:val="0"/>
      <w:marTop w:val="0"/>
      <w:marBottom w:val="0"/>
      <w:divBdr>
        <w:top w:val="none" w:sz="0" w:space="0" w:color="auto"/>
        <w:left w:val="none" w:sz="0" w:space="0" w:color="auto"/>
        <w:bottom w:val="none" w:sz="0" w:space="0" w:color="auto"/>
        <w:right w:val="none" w:sz="0" w:space="0" w:color="auto"/>
      </w:divBdr>
    </w:div>
    <w:div w:id="1768114810">
      <w:bodyDiv w:val="1"/>
      <w:marLeft w:val="0"/>
      <w:marRight w:val="0"/>
      <w:marTop w:val="0"/>
      <w:marBottom w:val="0"/>
      <w:divBdr>
        <w:top w:val="none" w:sz="0" w:space="0" w:color="auto"/>
        <w:left w:val="none" w:sz="0" w:space="0" w:color="auto"/>
        <w:bottom w:val="none" w:sz="0" w:space="0" w:color="auto"/>
        <w:right w:val="none" w:sz="0" w:space="0" w:color="auto"/>
      </w:divBdr>
    </w:div>
    <w:div w:id="1770540472">
      <w:bodyDiv w:val="1"/>
      <w:marLeft w:val="0"/>
      <w:marRight w:val="0"/>
      <w:marTop w:val="0"/>
      <w:marBottom w:val="0"/>
      <w:divBdr>
        <w:top w:val="none" w:sz="0" w:space="0" w:color="auto"/>
        <w:left w:val="none" w:sz="0" w:space="0" w:color="auto"/>
        <w:bottom w:val="none" w:sz="0" w:space="0" w:color="auto"/>
        <w:right w:val="none" w:sz="0" w:space="0" w:color="auto"/>
      </w:divBdr>
    </w:div>
    <w:div w:id="1771268193">
      <w:bodyDiv w:val="1"/>
      <w:marLeft w:val="0"/>
      <w:marRight w:val="0"/>
      <w:marTop w:val="0"/>
      <w:marBottom w:val="0"/>
      <w:divBdr>
        <w:top w:val="none" w:sz="0" w:space="0" w:color="auto"/>
        <w:left w:val="none" w:sz="0" w:space="0" w:color="auto"/>
        <w:bottom w:val="none" w:sz="0" w:space="0" w:color="auto"/>
        <w:right w:val="none" w:sz="0" w:space="0" w:color="auto"/>
      </w:divBdr>
    </w:div>
    <w:div w:id="1771661741">
      <w:bodyDiv w:val="1"/>
      <w:marLeft w:val="0"/>
      <w:marRight w:val="0"/>
      <w:marTop w:val="0"/>
      <w:marBottom w:val="0"/>
      <w:divBdr>
        <w:top w:val="none" w:sz="0" w:space="0" w:color="auto"/>
        <w:left w:val="none" w:sz="0" w:space="0" w:color="auto"/>
        <w:bottom w:val="none" w:sz="0" w:space="0" w:color="auto"/>
        <w:right w:val="none" w:sz="0" w:space="0" w:color="auto"/>
      </w:divBdr>
    </w:div>
    <w:div w:id="1771899362">
      <w:bodyDiv w:val="1"/>
      <w:marLeft w:val="0"/>
      <w:marRight w:val="0"/>
      <w:marTop w:val="0"/>
      <w:marBottom w:val="0"/>
      <w:divBdr>
        <w:top w:val="none" w:sz="0" w:space="0" w:color="auto"/>
        <w:left w:val="none" w:sz="0" w:space="0" w:color="auto"/>
        <w:bottom w:val="none" w:sz="0" w:space="0" w:color="auto"/>
        <w:right w:val="none" w:sz="0" w:space="0" w:color="auto"/>
      </w:divBdr>
    </w:div>
    <w:div w:id="1773041905">
      <w:bodyDiv w:val="1"/>
      <w:marLeft w:val="0"/>
      <w:marRight w:val="0"/>
      <w:marTop w:val="0"/>
      <w:marBottom w:val="0"/>
      <w:divBdr>
        <w:top w:val="none" w:sz="0" w:space="0" w:color="auto"/>
        <w:left w:val="none" w:sz="0" w:space="0" w:color="auto"/>
        <w:bottom w:val="none" w:sz="0" w:space="0" w:color="auto"/>
        <w:right w:val="none" w:sz="0" w:space="0" w:color="auto"/>
      </w:divBdr>
    </w:div>
    <w:div w:id="1773431270">
      <w:bodyDiv w:val="1"/>
      <w:marLeft w:val="0"/>
      <w:marRight w:val="0"/>
      <w:marTop w:val="0"/>
      <w:marBottom w:val="0"/>
      <w:divBdr>
        <w:top w:val="none" w:sz="0" w:space="0" w:color="auto"/>
        <w:left w:val="none" w:sz="0" w:space="0" w:color="auto"/>
        <w:bottom w:val="none" w:sz="0" w:space="0" w:color="auto"/>
        <w:right w:val="none" w:sz="0" w:space="0" w:color="auto"/>
      </w:divBdr>
    </w:div>
    <w:div w:id="1775468183">
      <w:bodyDiv w:val="1"/>
      <w:marLeft w:val="0"/>
      <w:marRight w:val="0"/>
      <w:marTop w:val="0"/>
      <w:marBottom w:val="0"/>
      <w:divBdr>
        <w:top w:val="none" w:sz="0" w:space="0" w:color="auto"/>
        <w:left w:val="none" w:sz="0" w:space="0" w:color="auto"/>
        <w:bottom w:val="none" w:sz="0" w:space="0" w:color="auto"/>
        <w:right w:val="none" w:sz="0" w:space="0" w:color="auto"/>
      </w:divBdr>
    </w:div>
    <w:div w:id="1776241551">
      <w:bodyDiv w:val="1"/>
      <w:marLeft w:val="0"/>
      <w:marRight w:val="0"/>
      <w:marTop w:val="0"/>
      <w:marBottom w:val="0"/>
      <w:divBdr>
        <w:top w:val="none" w:sz="0" w:space="0" w:color="auto"/>
        <w:left w:val="none" w:sz="0" w:space="0" w:color="auto"/>
        <w:bottom w:val="none" w:sz="0" w:space="0" w:color="auto"/>
        <w:right w:val="none" w:sz="0" w:space="0" w:color="auto"/>
      </w:divBdr>
    </w:div>
    <w:div w:id="1777017944">
      <w:bodyDiv w:val="1"/>
      <w:marLeft w:val="0"/>
      <w:marRight w:val="0"/>
      <w:marTop w:val="0"/>
      <w:marBottom w:val="0"/>
      <w:divBdr>
        <w:top w:val="none" w:sz="0" w:space="0" w:color="auto"/>
        <w:left w:val="none" w:sz="0" w:space="0" w:color="auto"/>
        <w:bottom w:val="none" w:sz="0" w:space="0" w:color="auto"/>
        <w:right w:val="none" w:sz="0" w:space="0" w:color="auto"/>
      </w:divBdr>
    </w:div>
    <w:div w:id="1777170711">
      <w:bodyDiv w:val="1"/>
      <w:marLeft w:val="0"/>
      <w:marRight w:val="0"/>
      <w:marTop w:val="0"/>
      <w:marBottom w:val="0"/>
      <w:divBdr>
        <w:top w:val="none" w:sz="0" w:space="0" w:color="auto"/>
        <w:left w:val="none" w:sz="0" w:space="0" w:color="auto"/>
        <w:bottom w:val="none" w:sz="0" w:space="0" w:color="auto"/>
        <w:right w:val="none" w:sz="0" w:space="0" w:color="auto"/>
      </w:divBdr>
    </w:div>
    <w:div w:id="1779107643">
      <w:bodyDiv w:val="1"/>
      <w:marLeft w:val="0"/>
      <w:marRight w:val="0"/>
      <w:marTop w:val="0"/>
      <w:marBottom w:val="0"/>
      <w:divBdr>
        <w:top w:val="none" w:sz="0" w:space="0" w:color="auto"/>
        <w:left w:val="none" w:sz="0" w:space="0" w:color="auto"/>
        <w:bottom w:val="none" w:sz="0" w:space="0" w:color="auto"/>
        <w:right w:val="none" w:sz="0" w:space="0" w:color="auto"/>
      </w:divBdr>
    </w:div>
    <w:div w:id="1779835696">
      <w:bodyDiv w:val="1"/>
      <w:marLeft w:val="0"/>
      <w:marRight w:val="0"/>
      <w:marTop w:val="0"/>
      <w:marBottom w:val="0"/>
      <w:divBdr>
        <w:top w:val="none" w:sz="0" w:space="0" w:color="auto"/>
        <w:left w:val="none" w:sz="0" w:space="0" w:color="auto"/>
        <w:bottom w:val="none" w:sz="0" w:space="0" w:color="auto"/>
        <w:right w:val="none" w:sz="0" w:space="0" w:color="auto"/>
      </w:divBdr>
    </w:div>
    <w:div w:id="1780760963">
      <w:bodyDiv w:val="1"/>
      <w:marLeft w:val="0"/>
      <w:marRight w:val="0"/>
      <w:marTop w:val="0"/>
      <w:marBottom w:val="0"/>
      <w:divBdr>
        <w:top w:val="none" w:sz="0" w:space="0" w:color="auto"/>
        <w:left w:val="none" w:sz="0" w:space="0" w:color="auto"/>
        <w:bottom w:val="none" w:sz="0" w:space="0" w:color="auto"/>
        <w:right w:val="none" w:sz="0" w:space="0" w:color="auto"/>
      </w:divBdr>
    </w:div>
    <w:div w:id="1780906357">
      <w:bodyDiv w:val="1"/>
      <w:marLeft w:val="0"/>
      <w:marRight w:val="0"/>
      <w:marTop w:val="0"/>
      <w:marBottom w:val="0"/>
      <w:divBdr>
        <w:top w:val="none" w:sz="0" w:space="0" w:color="auto"/>
        <w:left w:val="none" w:sz="0" w:space="0" w:color="auto"/>
        <w:bottom w:val="none" w:sz="0" w:space="0" w:color="auto"/>
        <w:right w:val="none" w:sz="0" w:space="0" w:color="auto"/>
      </w:divBdr>
    </w:div>
    <w:div w:id="1782722192">
      <w:bodyDiv w:val="1"/>
      <w:marLeft w:val="0"/>
      <w:marRight w:val="0"/>
      <w:marTop w:val="0"/>
      <w:marBottom w:val="0"/>
      <w:divBdr>
        <w:top w:val="none" w:sz="0" w:space="0" w:color="auto"/>
        <w:left w:val="none" w:sz="0" w:space="0" w:color="auto"/>
        <w:bottom w:val="none" w:sz="0" w:space="0" w:color="auto"/>
        <w:right w:val="none" w:sz="0" w:space="0" w:color="auto"/>
      </w:divBdr>
    </w:div>
    <w:div w:id="1782915325">
      <w:bodyDiv w:val="1"/>
      <w:marLeft w:val="0"/>
      <w:marRight w:val="0"/>
      <w:marTop w:val="0"/>
      <w:marBottom w:val="0"/>
      <w:divBdr>
        <w:top w:val="none" w:sz="0" w:space="0" w:color="auto"/>
        <w:left w:val="none" w:sz="0" w:space="0" w:color="auto"/>
        <w:bottom w:val="none" w:sz="0" w:space="0" w:color="auto"/>
        <w:right w:val="none" w:sz="0" w:space="0" w:color="auto"/>
      </w:divBdr>
    </w:div>
    <w:div w:id="1784425226">
      <w:bodyDiv w:val="1"/>
      <w:marLeft w:val="0"/>
      <w:marRight w:val="0"/>
      <w:marTop w:val="0"/>
      <w:marBottom w:val="0"/>
      <w:divBdr>
        <w:top w:val="none" w:sz="0" w:space="0" w:color="auto"/>
        <w:left w:val="none" w:sz="0" w:space="0" w:color="auto"/>
        <w:bottom w:val="none" w:sz="0" w:space="0" w:color="auto"/>
        <w:right w:val="none" w:sz="0" w:space="0" w:color="auto"/>
      </w:divBdr>
    </w:div>
    <w:div w:id="1784761037">
      <w:bodyDiv w:val="1"/>
      <w:marLeft w:val="0"/>
      <w:marRight w:val="0"/>
      <w:marTop w:val="0"/>
      <w:marBottom w:val="0"/>
      <w:divBdr>
        <w:top w:val="none" w:sz="0" w:space="0" w:color="auto"/>
        <w:left w:val="none" w:sz="0" w:space="0" w:color="auto"/>
        <w:bottom w:val="none" w:sz="0" w:space="0" w:color="auto"/>
        <w:right w:val="none" w:sz="0" w:space="0" w:color="auto"/>
      </w:divBdr>
    </w:div>
    <w:div w:id="1785538021">
      <w:bodyDiv w:val="1"/>
      <w:marLeft w:val="0"/>
      <w:marRight w:val="0"/>
      <w:marTop w:val="0"/>
      <w:marBottom w:val="0"/>
      <w:divBdr>
        <w:top w:val="none" w:sz="0" w:space="0" w:color="auto"/>
        <w:left w:val="none" w:sz="0" w:space="0" w:color="auto"/>
        <w:bottom w:val="none" w:sz="0" w:space="0" w:color="auto"/>
        <w:right w:val="none" w:sz="0" w:space="0" w:color="auto"/>
      </w:divBdr>
    </w:div>
    <w:div w:id="1786000641">
      <w:bodyDiv w:val="1"/>
      <w:marLeft w:val="0"/>
      <w:marRight w:val="0"/>
      <w:marTop w:val="0"/>
      <w:marBottom w:val="0"/>
      <w:divBdr>
        <w:top w:val="none" w:sz="0" w:space="0" w:color="auto"/>
        <w:left w:val="none" w:sz="0" w:space="0" w:color="auto"/>
        <w:bottom w:val="none" w:sz="0" w:space="0" w:color="auto"/>
        <w:right w:val="none" w:sz="0" w:space="0" w:color="auto"/>
      </w:divBdr>
    </w:div>
    <w:div w:id="1786844025">
      <w:bodyDiv w:val="1"/>
      <w:marLeft w:val="0"/>
      <w:marRight w:val="0"/>
      <w:marTop w:val="0"/>
      <w:marBottom w:val="0"/>
      <w:divBdr>
        <w:top w:val="none" w:sz="0" w:space="0" w:color="auto"/>
        <w:left w:val="none" w:sz="0" w:space="0" w:color="auto"/>
        <w:bottom w:val="none" w:sz="0" w:space="0" w:color="auto"/>
        <w:right w:val="none" w:sz="0" w:space="0" w:color="auto"/>
      </w:divBdr>
    </w:div>
    <w:div w:id="1787238211">
      <w:bodyDiv w:val="1"/>
      <w:marLeft w:val="0"/>
      <w:marRight w:val="0"/>
      <w:marTop w:val="0"/>
      <w:marBottom w:val="0"/>
      <w:divBdr>
        <w:top w:val="none" w:sz="0" w:space="0" w:color="auto"/>
        <w:left w:val="none" w:sz="0" w:space="0" w:color="auto"/>
        <w:bottom w:val="none" w:sz="0" w:space="0" w:color="auto"/>
        <w:right w:val="none" w:sz="0" w:space="0" w:color="auto"/>
      </w:divBdr>
    </w:div>
    <w:div w:id="1789395928">
      <w:bodyDiv w:val="1"/>
      <w:marLeft w:val="0"/>
      <w:marRight w:val="0"/>
      <w:marTop w:val="0"/>
      <w:marBottom w:val="0"/>
      <w:divBdr>
        <w:top w:val="none" w:sz="0" w:space="0" w:color="auto"/>
        <w:left w:val="none" w:sz="0" w:space="0" w:color="auto"/>
        <w:bottom w:val="none" w:sz="0" w:space="0" w:color="auto"/>
        <w:right w:val="none" w:sz="0" w:space="0" w:color="auto"/>
      </w:divBdr>
    </w:div>
    <w:div w:id="1790398140">
      <w:bodyDiv w:val="1"/>
      <w:marLeft w:val="0"/>
      <w:marRight w:val="0"/>
      <w:marTop w:val="0"/>
      <w:marBottom w:val="0"/>
      <w:divBdr>
        <w:top w:val="none" w:sz="0" w:space="0" w:color="auto"/>
        <w:left w:val="none" w:sz="0" w:space="0" w:color="auto"/>
        <w:bottom w:val="none" w:sz="0" w:space="0" w:color="auto"/>
        <w:right w:val="none" w:sz="0" w:space="0" w:color="auto"/>
      </w:divBdr>
    </w:div>
    <w:div w:id="1790777236">
      <w:bodyDiv w:val="1"/>
      <w:marLeft w:val="0"/>
      <w:marRight w:val="0"/>
      <w:marTop w:val="0"/>
      <w:marBottom w:val="0"/>
      <w:divBdr>
        <w:top w:val="none" w:sz="0" w:space="0" w:color="auto"/>
        <w:left w:val="none" w:sz="0" w:space="0" w:color="auto"/>
        <w:bottom w:val="none" w:sz="0" w:space="0" w:color="auto"/>
        <w:right w:val="none" w:sz="0" w:space="0" w:color="auto"/>
      </w:divBdr>
    </w:div>
    <w:div w:id="1791391330">
      <w:bodyDiv w:val="1"/>
      <w:marLeft w:val="0"/>
      <w:marRight w:val="0"/>
      <w:marTop w:val="0"/>
      <w:marBottom w:val="0"/>
      <w:divBdr>
        <w:top w:val="none" w:sz="0" w:space="0" w:color="auto"/>
        <w:left w:val="none" w:sz="0" w:space="0" w:color="auto"/>
        <w:bottom w:val="none" w:sz="0" w:space="0" w:color="auto"/>
        <w:right w:val="none" w:sz="0" w:space="0" w:color="auto"/>
      </w:divBdr>
    </w:div>
    <w:div w:id="1792671939">
      <w:bodyDiv w:val="1"/>
      <w:marLeft w:val="0"/>
      <w:marRight w:val="0"/>
      <w:marTop w:val="0"/>
      <w:marBottom w:val="0"/>
      <w:divBdr>
        <w:top w:val="none" w:sz="0" w:space="0" w:color="auto"/>
        <w:left w:val="none" w:sz="0" w:space="0" w:color="auto"/>
        <w:bottom w:val="none" w:sz="0" w:space="0" w:color="auto"/>
        <w:right w:val="none" w:sz="0" w:space="0" w:color="auto"/>
      </w:divBdr>
    </w:div>
    <w:div w:id="1793596498">
      <w:bodyDiv w:val="1"/>
      <w:marLeft w:val="0"/>
      <w:marRight w:val="0"/>
      <w:marTop w:val="0"/>
      <w:marBottom w:val="0"/>
      <w:divBdr>
        <w:top w:val="none" w:sz="0" w:space="0" w:color="auto"/>
        <w:left w:val="none" w:sz="0" w:space="0" w:color="auto"/>
        <w:bottom w:val="none" w:sz="0" w:space="0" w:color="auto"/>
        <w:right w:val="none" w:sz="0" w:space="0" w:color="auto"/>
      </w:divBdr>
    </w:div>
    <w:div w:id="1794516364">
      <w:bodyDiv w:val="1"/>
      <w:marLeft w:val="0"/>
      <w:marRight w:val="0"/>
      <w:marTop w:val="0"/>
      <w:marBottom w:val="0"/>
      <w:divBdr>
        <w:top w:val="none" w:sz="0" w:space="0" w:color="auto"/>
        <w:left w:val="none" w:sz="0" w:space="0" w:color="auto"/>
        <w:bottom w:val="none" w:sz="0" w:space="0" w:color="auto"/>
        <w:right w:val="none" w:sz="0" w:space="0" w:color="auto"/>
      </w:divBdr>
    </w:div>
    <w:div w:id="1795053698">
      <w:bodyDiv w:val="1"/>
      <w:marLeft w:val="0"/>
      <w:marRight w:val="0"/>
      <w:marTop w:val="0"/>
      <w:marBottom w:val="0"/>
      <w:divBdr>
        <w:top w:val="none" w:sz="0" w:space="0" w:color="auto"/>
        <w:left w:val="none" w:sz="0" w:space="0" w:color="auto"/>
        <w:bottom w:val="none" w:sz="0" w:space="0" w:color="auto"/>
        <w:right w:val="none" w:sz="0" w:space="0" w:color="auto"/>
      </w:divBdr>
    </w:div>
    <w:div w:id="1795170924">
      <w:bodyDiv w:val="1"/>
      <w:marLeft w:val="0"/>
      <w:marRight w:val="0"/>
      <w:marTop w:val="0"/>
      <w:marBottom w:val="0"/>
      <w:divBdr>
        <w:top w:val="none" w:sz="0" w:space="0" w:color="auto"/>
        <w:left w:val="none" w:sz="0" w:space="0" w:color="auto"/>
        <w:bottom w:val="none" w:sz="0" w:space="0" w:color="auto"/>
        <w:right w:val="none" w:sz="0" w:space="0" w:color="auto"/>
      </w:divBdr>
    </w:div>
    <w:div w:id="1796094301">
      <w:bodyDiv w:val="1"/>
      <w:marLeft w:val="0"/>
      <w:marRight w:val="0"/>
      <w:marTop w:val="0"/>
      <w:marBottom w:val="0"/>
      <w:divBdr>
        <w:top w:val="none" w:sz="0" w:space="0" w:color="auto"/>
        <w:left w:val="none" w:sz="0" w:space="0" w:color="auto"/>
        <w:bottom w:val="none" w:sz="0" w:space="0" w:color="auto"/>
        <w:right w:val="none" w:sz="0" w:space="0" w:color="auto"/>
      </w:divBdr>
    </w:div>
    <w:div w:id="1798405735">
      <w:bodyDiv w:val="1"/>
      <w:marLeft w:val="0"/>
      <w:marRight w:val="0"/>
      <w:marTop w:val="0"/>
      <w:marBottom w:val="0"/>
      <w:divBdr>
        <w:top w:val="none" w:sz="0" w:space="0" w:color="auto"/>
        <w:left w:val="none" w:sz="0" w:space="0" w:color="auto"/>
        <w:bottom w:val="none" w:sz="0" w:space="0" w:color="auto"/>
        <w:right w:val="none" w:sz="0" w:space="0" w:color="auto"/>
      </w:divBdr>
    </w:div>
    <w:div w:id="1799102794">
      <w:bodyDiv w:val="1"/>
      <w:marLeft w:val="0"/>
      <w:marRight w:val="0"/>
      <w:marTop w:val="0"/>
      <w:marBottom w:val="0"/>
      <w:divBdr>
        <w:top w:val="none" w:sz="0" w:space="0" w:color="auto"/>
        <w:left w:val="none" w:sz="0" w:space="0" w:color="auto"/>
        <w:bottom w:val="none" w:sz="0" w:space="0" w:color="auto"/>
        <w:right w:val="none" w:sz="0" w:space="0" w:color="auto"/>
      </w:divBdr>
    </w:div>
    <w:div w:id="1799831934">
      <w:bodyDiv w:val="1"/>
      <w:marLeft w:val="0"/>
      <w:marRight w:val="0"/>
      <w:marTop w:val="0"/>
      <w:marBottom w:val="0"/>
      <w:divBdr>
        <w:top w:val="none" w:sz="0" w:space="0" w:color="auto"/>
        <w:left w:val="none" w:sz="0" w:space="0" w:color="auto"/>
        <w:bottom w:val="none" w:sz="0" w:space="0" w:color="auto"/>
        <w:right w:val="none" w:sz="0" w:space="0" w:color="auto"/>
      </w:divBdr>
    </w:div>
    <w:div w:id="1801876919">
      <w:bodyDiv w:val="1"/>
      <w:marLeft w:val="0"/>
      <w:marRight w:val="0"/>
      <w:marTop w:val="0"/>
      <w:marBottom w:val="0"/>
      <w:divBdr>
        <w:top w:val="none" w:sz="0" w:space="0" w:color="auto"/>
        <w:left w:val="none" w:sz="0" w:space="0" w:color="auto"/>
        <w:bottom w:val="none" w:sz="0" w:space="0" w:color="auto"/>
        <w:right w:val="none" w:sz="0" w:space="0" w:color="auto"/>
      </w:divBdr>
    </w:div>
    <w:div w:id="1802115984">
      <w:bodyDiv w:val="1"/>
      <w:marLeft w:val="0"/>
      <w:marRight w:val="0"/>
      <w:marTop w:val="0"/>
      <w:marBottom w:val="0"/>
      <w:divBdr>
        <w:top w:val="none" w:sz="0" w:space="0" w:color="auto"/>
        <w:left w:val="none" w:sz="0" w:space="0" w:color="auto"/>
        <w:bottom w:val="none" w:sz="0" w:space="0" w:color="auto"/>
        <w:right w:val="none" w:sz="0" w:space="0" w:color="auto"/>
      </w:divBdr>
    </w:div>
    <w:div w:id="1802261668">
      <w:bodyDiv w:val="1"/>
      <w:marLeft w:val="0"/>
      <w:marRight w:val="0"/>
      <w:marTop w:val="0"/>
      <w:marBottom w:val="0"/>
      <w:divBdr>
        <w:top w:val="none" w:sz="0" w:space="0" w:color="auto"/>
        <w:left w:val="none" w:sz="0" w:space="0" w:color="auto"/>
        <w:bottom w:val="none" w:sz="0" w:space="0" w:color="auto"/>
        <w:right w:val="none" w:sz="0" w:space="0" w:color="auto"/>
      </w:divBdr>
    </w:div>
    <w:div w:id="1802767190">
      <w:bodyDiv w:val="1"/>
      <w:marLeft w:val="0"/>
      <w:marRight w:val="0"/>
      <w:marTop w:val="0"/>
      <w:marBottom w:val="0"/>
      <w:divBdr>
        <w:top w:val="none" w:sz="0" w:space="0" w:color="auto"/>
        <w:left w:val="none" w:sz="0" w:space="0" w:color="auto"/>
        <w:bottom w:val="none" w:sz="0" w:space="0" w:color="auto"/>
        <w:right w:val="none" w:sz="0" w:space="0" w:color="auto"/>
      </w:divBdr>
    </w:div>
    <w:div w:id="1802845429">
      <w:bodyDiv w:val="1"/>
      <w:marLeft w:val="0"/>
      <w:marRight w:val="0"/>
      <w:marTop w:val="0"/>
      <w:marBottom w:val="0"/>
      <w:divBdr>
        <w:top w:val="none" w:sz="0" w:space="0" w:color="auto"/>
        <w:left w:val="none" w:sz="0" w:space="0" w:color="auto"/>
        <w:bottom w:val="none" w:sz="0" w:space="0" w:color="auto"/>
        <w:right w:val="none" w:sz="0" w:space="0" w:color="auto"/>
      </w:divBdr>
    </w:div>
    <w:div w:id="1803302222">
      <w:bodyDiv w:val="1"/>
      <w:marLeft w:val="0"/>
      <w:marRight w:val="0"/>
      <w:marTop w:val="0"/>
      <w:marBottom w:val="0"/>
      <w:divBdr>
        <w:top w:val="none" w:sz="0" w:space="0" w:color="auto"/>
        <w:left w:val="none" w:sz="0" w:space="0" w:color="auto"/>
        <w:bottom w:val="none" w:sz="0" w:space="0" w:color="auto"/>
        <w:right w:val="none" w:sz="0" w:space="0" w:color="auto"/>
      </w:divBdr>
    </w:div>
    <w:div w:id="1806770502">
      <w:bodyDiv w:val="1"/>
      <w:marLeft w:val="0"/>
      <w:marRight w:val="0"/>
      <w:marTop w:val="0"/>
      <w:marBottom w:val="0"/>
      <w:divBdr>
        <w:top w:val="none" w:sz="0" w:space="0" w:color="auto"/>
        <w:left w:val="none" w:sz="0" w:space="0" w:color="auto"/>
        <w:bottom w:val="none" w:sz="0" w:space="0" w:color="auto"/>
        <w:right w:val="none" w:sz="0" w:space="0" w:color="auto"/>
      </w:divBdr>
    </w:div>
    <w:div w:id="1808669895">
      <w:bodyDiv w:val="1"/>
      <w:marLeft w:val="0"/>
      <w:marRight w:val="0"/>
      <w:marTop w:val="0"/>
      <w:marBottom w:val="0"/>
      <w:divBdr>
        <w:top w:val="none" w:sz="0" w:space="0" w:color="auto"/>
        <w:left w:val="none" w:sz="0" w:space="0" w:color="auto"/>
        <w:bottom w:val="none" w:sz="0" w:space="0" w:color="auto"/>
        <w:right w:val="none" w:sz="0" w:space="0" w:color="auto"/>
      </w:divBdr>
    </w:div>
    <w:div w:id="1809084082">
      <w:bodyDiv w:val="1"/>
      <w:marLeft w:val="0"/>
      <w:marRight w:val="0"/>
      <w:marTop w:val="0"/>
      <w:marBottom w:val="0"/>
      <w:divBdr>
        <w:top w:val="none" w:sz="0" w:space="0" w:color="auto"/>
        <w:left w:val="none" w:sz="0" w:space="0" w:color="auto"/>
        <w:bottom w:val="none" w:sz="0" w:space="0" w:color="auto"/>
        <w:right w:val="none" w:sz="0" w:space="0" w:color="auto"/>
      </w:divBdr>
    </w:div>
    <w:div w:id="1809401135">
      <w:bodyDiv w:val="1"/>
      <w:marLeft w:val="0"/>
      <w:marRight w:val="0"/>
      <w:marTop w:val="0"/>
      <w:marBottom w:val="0"/>
      <w:divBdr>
        <w:top w:val="none" w:sz="0" w:space="0" w:color="auto"/>
        <w:left w:val="none" w:sz="0" w:space="0" w:color="auto"/>
        <w:bottom w:val="none" w:sz="0" w:space="0" w:color="auto"/>
        <w:right w:val="none" w:sz="0" w:space="0" w:color="auto"/>
      </w:divBdr>
    </w:div>
    <w:div w:id="1810171474">
      <w:bodyDiv w:val="1"/>
      <w:marLeft w:val="0"/>
      <w:marRight w:val="0"/>
      <w:marTop w:val="0"/>
      <w:marBottom w:val="0"/>
      <w:divBdr>
        <w:top w:val="none" w:sz="0" w:space="0" w:color="auto"/>
        <w:left w:val="none" w:sz="0" w:space="0" w:color="auto"/>
        <w:bottom w:val="none" w:sz="0" w:space="0" w:color="auto"/>
        <w:right w:val="none" w:sz="0" w:space="0" w:color="auto"/>
      </w:divBdr>
    </w:div>
    <w:div w:id="1810318472">
      <w:bodyDiv w:val="1"/>
      <w:marLeft w:val="0"/>
      <w:marRight w:val="0"/>
      <w:marTop w:val="0"/>
      <w:marBottom w:val="0"/>
      <w:divBdr>
        <w:top w:val="none" w:sz="0" w:space="0" w:color="auto"/>
        <w:left w:val="none" w:sz="0" w:space="0" w:color="auto"/>
        <w:bottom w:val="none" w:sz="0" w:space="0" w:color="auto"/>
        <w:right w:val="none" w:sz="0" w:space="0" w:color="auto"/>
      </w:divBdr>
    </w:div>
    <w:div w:id="1810323333">
      <w:bodyDiv w:val="1"/>
      <w:marLeft w:val="0"/>
      <w:marRight w:val="0"/>
      <w:marTop w:val="0"/>
      <w:marBottom w:val="0"/>
      <w:divBdr>
        <w:top w:val="none" w:sz="0" w:space="0" w:color="auto"/>
        <w:left w:val="none" w:sz="0" w:space="0" w:color="auto"/>
        <w:bottom w:val="none" w:sz="0" w:space="0" w:color="auto"/>
        <w:right w:val="none" w:sz="0" w:space="0" w:color="auto"/>
      </w:divBdr>
    </w:div>
    <w:div w:id="1811089332">
      <w:bodyDiv w:val="1"/>
      <w:marLeft w:val="0"/>
      <w:marRight w:val="0"/>
      <w:marTop w:val="0"/>
      <w:marBottom w:val="0"/>
      <w:divBdr>
        <w:top w:val="none" w:sz="0" w:space="0" w:color="auto"/>
        <w:left w:val="none" w:sz="0" w:space="0" w:color="auto"/>
        <w:bottom w:val="none" w:sz="0" w:space="0" w:color="auto"/>
        <w:right w:val="none" w:sz="0" w:space="0" w:color="auto"/>
      </w:divBdr>
    </w:div>
    <w:div w:id="1811361918">
      <w:bodyDiv w:val="1"/>
      <w:marLeft w:val="0"/>
      <w:marRight w:val="0"/>
      <w:marTop w:val="0"/>
      <w:marBottom w:val="0"/>
      <w:divBdr>
        <w:top w:val="none" w:sz="0" w:space="0" w:color="auto"/>
        <w:left w:val="none" w:sz="0" w:space="0" w:color="auto"/>
        <w:bottom w:val="none" w:sz="0" w:space="0" w:color="auto"/>
        <w:right w:val="none" w:sz="0" w:space="0" w:color="auto"/>
      </w:divBdr>
    </w:div>
    <w:div w:id="1812093162">
      <w:bodyDiv w:val="1"/>
      <w:marLeft w:val="0"/>
      <w:marRight w:val="0"/>
      <w:marTop w:val="0"/>
      <w:marBottom w:val="0"/>
      <w:divBdr>
        <w:top w:val="none" w:sz="0" w:space="0" w:color="auto"/>
        <w:left w:val="none" w:sz="0" w:space="0" w:color="auto"/>
        <w:bottom w:val="none" w:sz="0" w:space="0" w:color="auto"/>
        <w:right w:val="none" w:sz="0" w:space="0" w:color="auto"/>
      </w:divBdr>
    </w:div>
    <w:div w:id="1812283347">
      <w:bodyDiv w:val="1"/>
      <w:marLeft w:val="0"/>
      <w:marRight w:val="0"/>
      <w:marTop w:val="0"/>
      <w:marBottom w:val="0"/>
      <w:divBdr>
        <w:top w:val="none" w:sz="0" w:space="0" w:color="auto"/>
        <w:left w:val="none" w:sz="0" w:space="0" w:color="auto"/>
        <w:bottom w:val="none" w:sz="0" w:space="0" w:color="auto"/>
        <w:right w:val="none" w:sz="0" w:space="0" w:color="auto"/>
      </w:divBdr>
    </w:div>
    <w:div w:id="1813905930">
      <w:bodyDiv w:val="1"/>
      <w:marLeft w:val="0"/>
      <w:marRight w:val="0"/>
      <w:marTop w:val="0"/>
      <w:marBottom w:val="0"/>
      <w:divBdr>
        <w:top w:val="none" w:sz="0" w:space="0" w:color="auto"/>
        <w:left w:val="none" w:sz="0" w:space="0" w:color="auto"/>
        <w:bottom w:val="none" w:sz="0" w:space="0" w:color="auto"/>
        <w:right w:val="none" w:sz="0" w:space="0" w:color="auto"/>
      </w:divBdr>
    </w:div>
    <w:div w:id="1814444700">
      <w:bodyDiv w:val="1"/>
      <w:marLeft w:val="0"/>
      <w:marRight w:val="0"/>
      <w:marTop w:val="0"/>
      <w:marBottom w:val="0"/>
      <w:divBdr>
        <w:top w:val="none" w:sz="0" w:space="0" w:color="auto"/>
        <w:left w:val="none" w:sz="0" w:space="0" w:color="auto"/>
        <w:bottom w:val="none" w:sz="0" w:space="0" w:color="auto"/>
        <w:right w:val="none" w:sz="0" w:space="0" w:color="auto"/>
      </w:divBdr>
    </w:div>
    <w:div w:id="1814830329">
      <w:bodyDiv w:val="1"/>
      <w:marLeft w:val="0"/>
      <w:marRight w:val="0"/>
      <w:marTop w:val="0"/>
      <w:marBottom w:val="0"/>
      <w:divBdr>
        <w:top w:val="none" w:sz="0" w:space="0" w:color="auto"/>
        <w:left w:val="none" w:sz="0" w:space="0" w:color="auto"/>
        <w:bottom w:val="none" w:sz="0" w:space="0" w:color="auto"/>
        <w:right w:val="none" w:sz="0" w:space="0" w:color="auto"/>
      </w:divBdr>
    </w:div>
    <w:div w:id="1816295732">
      <w:bodyDiv w:val="1"/>
      <w:marLeft w:val="0"/>
      <w:marRight w:val="0"/>
      <w:marTop w:val="0"/>
      <w:marBottom w:val="0"/>
      <w:divBdr>
        <w:top w:val="none" w:sz="0" w:space="0" w:color="auto"/>
        <w:left w:val="none" w:sz="0" w:space="0" w:color="auto"/>
        <w:bottom w:val="none" w:sz="0" w:space="0" w:color="auto"/>
        <w:right w:val="none" w:sz="0" w:space="0" w:color="auto"/>
      </w:divBdr>
    </w:div>
    <w:div w:id="1819880361">
      <w:bodyDiv w:val="1"/>
      <w:marLeft w:val="0"/>
      <w:marRight w:val="0"/>
      <w:marTop w:val="0"/>
      <w:marBottom w:val="0"/>
      <w:divBdr>
        <w:top w:val="none" w:sz="0" w:space="0" w:color="auto"/>
        <w:left w:val="none" w:sz="0" w:space="0" w:color="auto"/>
        <w:bottom w:val="none" w:sz="0" w:space="0" w:color="auto"/>
        <w:right w:val="none" w:sz="0" w:space="0" w:color="auto"/>
      </w:divBdr>
    </w:div>
    <w:div w:id="1820220144">
      <w:bodyDiv w:val="1"/>
      <w:marLeft w:val="0"/>
      <w:marRight w:val="0"/>
      <w:marTop w:val="0"/>
      <w:marBottom w:val="0"/>
      <w:divBdr>
        <w:top w:val="none" w:sz="0" w:space="0" w:color="auto"/>
        <w:left w:val="none" w:sz="0" w:space="0" w:color="auto"/>
        <w:bottom w:val="none" w:sz="0" w:space="0" w:color="auto"/>
        <w:right w:val="none" w:sz="0" w:space="0" w:color="auto"/>
      </w:divBdr>
    </w:div>
    <w:div w:id="1820267441">
      <w:bodyDiv w:val="1"/>
      <w:marLeft w:val="0"/>
      <w:marRight w:val="0"/>
      <w:marTop w:val="0"/>
      <w:marBottom w:val="0"/>
      <w:divBdr>
        <w:top w:val="none" w:sz="0" w:space="0" w:color="auto"/>
        <w:left w:val="none" w:sz="0" w:space="0" w:color="auto"/>
        <w:bottom w:val="none" w:sz="0" w:space="0" w:color="auto"/>
        <w:right w:val="none" w:sz="0" w:space="0" w:color="auto"/>
      </w:divBdr>
    </w:div>
    <w:div w:id="1820994567">
      <w:bodyDiv w:val="1"/>
      <w:marLeft w:val="0"/>
      <w:marRight w:val="0"/>
      <w:marTop w:val="0"/>
      <w:marBottom w:val="0"/>
      <w:divBdr>
        <w:top w:val="none" w:sz="0" w:space="0" w:color="auto"/>
        <w:left w:val="none" w:sz="0" w:space="0" w:color="auto"/>
        <w:bottom w:val="none" w:sz="0" w:space="0" w:color="auto"/>
        <w:right w:val="none" w:sz="0" w:space="0" w:color="auto"/>
      </w:divBdr>
    </w:div>
    <w:div w:id="1820999821">
      <w:bodyDiv w:val="1"/>
      <w:marLeft w:val="0"/>
      <w:marRight w:val="0"/>
      <w:marTop w:val="0"/>
      <w:marBottom w:val="0"/>
      <w:divBdr>
        <w:top w:val="none" w:sz="0" w:space="0" w:color="auto"/>
        <w:left w:val="none" w:sz="0" w:space="0" w:color="auto"/>
        <w:bottom w:val="none" w:sz="0" w:space="0" w:color="auto"/>
        <w:right w:val="none" w:sz="0" w:space="0" w:color="auto"/>
      </w:divBdr>
    </w:div>
    <w:div w:id="1821531757">
      <w:bodyDiv w:val="1"/>
      <w:marLeft w:val="0"/>
      <w:marRight w:val="0"/>
      <w:marTop w:val="0"/>
      <w:marBottom w:val="0"/>
      <w:divBdr>
        <w:top w:val="none" w:sz="0" w:space="0" w:color="auto"/>
        <w:left w:val="none" w:sz="0" w:space="0" w:color="auto"/>
        <w:bottom w:val="none" w:sz="0" w:space="0" w:color="auto"/>
        <w:right w:val="none" w:sz="0" w:space="0" w:color="auto"/>
      </w:divBdr>
    </w:div>
    <w:div w:id="1825318451">
      <w:bodyDiv w:val="1"/>
      <w:marLeft w:val="0"/>
      <w:marRight w:val="0"/>
      <w:marTop w:val="0"/>
      <w:marBottom w:val="0"/>
      <w:divBdr>
        <w:top w:val="none" w:sz="0" w:space="0" w:color="auto"/>
        <w:left w:val="none" w:sz="0" w:space="0" w:color="auto"/>
        <w:bottom w:val="none" w:sz="0" w:space="0" w:color="auto"/>
        <w:right w:val="none" w:sz="0" w:space="0" w:color="auto"/>
      </w:divBdr>
    </w:div>
    <w:div w:id="1826432613">
      <w:bodyDiv w:val="1"/>
      <w:marLeft w:val="0"/>
      <w:marRight w:val="0"/>
      <w:marTop w:val="0"/>
      <w:marBottom w:val="0"/>
      <w:divBdr>
        <w:top w:val="none" w:sz="0" w:space="0" w:color="auto"/>
        <w:left w:val="none" w:sz="0" w:space="0" w:color="auto"/>
        <w:bottom w:val="none" w:sz="0" w:space="0" w:color="auto"/>
        <w:right w:val="none" w:sz="0" w:space="0" w:color="auto"/>
      </w:divBdr>
    </w:div>
    <w:div w:id="1826774104">
      <w:bodyDiv w:val="1"/>
      <w:marLeft w:val="0"/>
      <w:marRight w:val="0"/>
      <w:marTop w:val="0"/>
      <w:marBottom w:val="0"/>
      <w:divBdr>
        <w:top w:val="none" w:sz="0" w:space="0" w:color="auto"/>
        <w:left w:val="none" w:sz="0" w:space="0" w:color="auto"/>
        <w:bottom w:val="none" w:sz="0" w:space="0" w:color="auto"/>
        <w:right w:val="none" w:sz="0" w:space="0" w:color="auto"/>
      </w:divBdr>
    </w:div>
    <w:div w:id="1827895082">
      <w:bodyDiv w:val="1"/>
      <w:marLeft w:val="0"/>
      <w:marRight w:val="0"/>
      <w:marTop w:val="0"/>
      <w:marBottom w:val="0"/>
      <w:divBdr>
        <w:top w:val="none" w:sz="0" w:space="0" w:color="auto"/>
        <w:left w:val="none" w:sz="0" w:space="0" w:color="auto"/>
        <w:bottom w:val="none" w:sz="0" w:space="0" w:color="auto"/>
        <w:right w:val="none" w:sz="0" w:space="0" w:color="auto"/>
      </w:divBdr>
    </w:div>
    <w:div w:id="1828130698">
      <w:bodyDiv w:val="1"/>
      <w:marLeft w:val="0"/>
      <w:marRight w:val="0"/>
      <w:marTop w:val="0"/>
      <w:marBottom w:val="0"/>
      <w:divBdr>
        <w:top w:val="none" w:sz="0" w:space="0" w:color="auto"/>
        <w:left w:val="none" w:sz="0" w:space="0" w:color="auto"/>
        <w:bottom w:val="none" w:sz="0" w:space="0" w:color="auto"/>
        <w:right w:val="none" w:sz="0" w:space="0" w:color="auto"/>
      </w:divBdr>
    </w:div>
    <w:div w:id="1829127691">
      <w:bodyDiv w:val="1"/>
      <w:marLeft w:val="0"/>
      <w:marRight w:val="0"/>
      <w:marTop w:val="0"/>
      <w:marBottom w:val="0"/>
      <w:divBdr>
        <w:top w:val="none" w:sz="0" w:space="0" w:color="auto"/>
        <w:left w:val="none" w:sz="0" w:space="0" w:color="auto"/>
        <w:bottom w:val="none" w:sz="0" w:space="0" w:color="auto"/>
        <w:right w:val="none" w:sz="0" w:space="0" w:color="auto"/>
      </w:divBdr>
    </w:div>
    <w:div w:id="1829857464">
      <w:bodyDiv w:val="1"/>
      <w:marLeft w:val="0"/>
      <w:marRight w:val="0"/>
      <w:marTop w:val="0"/>
      <w:marBottom w:val="0"/>
      <w:divBdr>
        <w:top w:val="none" w:sz="0" w:space="0" w:color="auto"/>
        <w:left w:val="none" w:sz="0" w:space="0" w:color="auto"/>
        <w:bottom w:val="none" w:sz="0" w:space="0" w:color="auto"/>
        <w:right w:val="none" w:sz="0" w:space="0" w:color="auto"/>
      </w:divBdr>
    </w:div>
    <w:div w:id="1830168374">
      <w:bodyDiv w:val="1"/>
      <w:marLeft w:val="0"/>
      <w:marRight w:val="0"/>
      <w:marTop w:val="0"/>
      <w:marBottom w:val="0"/>
      <w:divBdr>
        <w:top w:val="none" w:sz="0" w:space="0" w:color="auto"/>
        <w:left w:val="none" w:sz="0" w:space="0" w:color="auto"/>
        <w:bottom w:val="none" w:sz="0" w:space="0" w:color="auto"/>
        <w:right w:val="none" w:sz="0" w:space="0" w:color="auto"/>
      </w:divBdr>
    </w:div>
    <w:div w:id="1831478743">
      <w:bodyDiv w:val="1"/>
      <w:marLeft w:val="0"/>
      <w:marRight w:val="0"/>
      <w:marTop w:val="0"/>
      <w:marBottom w:val="0"/>
      <w:divBdr>
        <w:top w:val="none" w:sz="0" w:space="0" w:color="auto"/>
        <w:left w:val="none" w:sz="0" w:space="0" w:color="auto"/>
        <w:bottom w:val="none" w:sz="0" w:space="0" w:color="auto"/>
        <w:right w:val="none" w:sz="0" w:space="0" w:color="auto"/>
      </w:divBdr>
    </w:div>
    <w:div w:id="1833715818">
      <w:bodyDiv w:val="1"/>
      <w:marLeft w:val="0"/>
      <w:marRight w:val="0"/>
      <w:marTop w:val="0"/>
      <w:marBottom w:val="0"/>
      <w:divBdr>
        <w:top w:val="none" w:sz="0" w:space="0" w:color="auto"/>
        <w:left w:val="none" w:sz="0" w:space="0" w:color="auto"/>
        <w:bottom w:val="none" w:sz="0" w:space="0" w:color="auto"/>
        <w:right w:val="none" w:sz="0" w:space="0" w:color="auto"/>
      </w:divBdr>
    </w:div>
    <w:div w:id="1834486423">
      <w:bodyDiv w:val="1"/>
      <w:marLeft w:val="0"/>
      <w:marRight w:val="0"/>
      <w:marTop w:val="0"/>
      <w:marBottom w:val="0"/>
      <w:divBdr>
        <w:top w:val="none" w:sz="0" w:space="0" w:color="auto"/>
        <w:left w:val="none" w:sz="0" w:space="0" w:color="auto"/>
        <w:bottom w:val="none" w:sz="0" w:space="0" w:color="auto"/>
        <w:right w:val="none" w:sz="0" w:space="0" w:color="auto"/>
      </w:divBdr>
    </w:div>
    <w:div w:id="1835029612">
      <w:bodyDiv w:val="1"/>
      <w:marLeft w:val="0"/>
      <w:marRight w:val="0"/>
      <w:marTop w:val="0"/>
      <w:marBottom w:val="0"/>
      <w:divBdr>
        <w:top w:val="none" w:sz="0" w:space="0" w:color="auto"/>
        <w:left w:val="none" w:sz="0" w:space="0" w:color="auto"/>
        <w:bottom w:val="none" w:sz="0" w:space="0" w:color="auto"/>
        <w:right w:val="none" w:sz="0" w:space="0" w:color="auto"/>
      </w:divBdr>
    </w:div>
    <w:div w:id="1835681474">
      <w:bodyDiv w:val="1"/>
      <w:marLeft w:val="0"/>
      <w:marRight w:val="0"/>
      <w:marTop w:val="0"/>
      <w:marBottom w:val="0"/>
      <w:divBdr>
        <w:top w:val="none" w:sz="0" w:space="0" w:color="auto"/>
        <w:left w:val="none" w:sz="0" w:space="0" w:color="auto"/>
        <w:bottom w:val="none" w:sz="0" w:space="0" w:color="auto"/>
        <w:right w:val="none" w:sz="0" w:space="0" w:color="auto"/>
      </w:divBdr>
    </w:div>
    <w:div w:id="1835871687">
      <w:bodyDiv w:val="1"/>
      <w:marLeft w:val="0"/>
      <w:marRight w:val="0"/>
      <w:marTop w:val="0"/>
      <w:marBottom w:val="0"/>
      <w:divBdr>
        <w:top w:val="none" w:sz="0" w:space="0" w:color="auto"/>
        <w:left w:val="none" w:sz="0" w:space="0" w:color="auto"/>
        <w:bottom w:val="none" w:sz="0" w:space="0" w:color="auto"/>
        <w:right w:val="none" w:sz="0" w:space="0" w:color="auto"/>
      </w:divBdr>
    </w:div>
    <w:div w:id="1837764753">
      <w:bodyDiv w:val="1"/>
      <w:marLeft w:val="0"/>
      <w:marRight w:val="0"/>
      <w:marTop w:val="0"/>
      <w:marBottom w:val="0"/>
      <w:divBdr>
        <w:top w:val="none" w:sz="0" w:space="0" w:color="auto"/>
        <w:left w:val="none" w:sz="0" w:space="0" w:color="auto"/>
        <w:bottom w:val="none" w:sz="0" w:space="0" w:color="auto"/>
        <w:right w:val="none" w:sz="0" w:space="0" w:color="auto"/>
      </w:divBdr>
    </w:div>
    <w:div w:id="1838692374">
      <w:bodyDiv w:val="1"/>
      <w:marLeft w:val="0"/>
      <w:marRight w:val="0"/>
      <w:marTop w:val="0"/>
      <w:marBottom w:val="0"/>
      <w:divBdr>
        <w:top w:val="none" w:sz="0" w:space="0" w:color="auto"/>
        <w:left w:val="none" w:sz="0" w:space="0" w:color="auto"/>
        <w:bottom w:val="none" w:sz="0" w:space="0" w:color="auto"/>
        <w:right w:val="none" w:sz="0" w:space="0" w:color="auto"/>
      </w:divBdr>
    </w:div>
    <w:div w:id="1839611236">
      <w:bodyDiv w:val="1"/>
      <w:marLeft w:val="0"/>
      <w:marRight w:val="0"/>
      <w:marTop w:val="0"/>
      <w:marBottom w:val="0"/>
      <w:divBdr>
        <w:top w:val="none" w:sz="0" w:space="0" w:color="auto"/>
        <w:left w:val="none" w:sz="0" w:space="0" w:color="auto"/>
        <w:bottom w:val="none" w:sz="0" w:space="0" w:color="auto"/>
        <w:right w:val="none" w:sz="0" w:space="0" w:color="auto"/>
      </w:divBdr>
    </w:div>
    <w:div w:id="1842502176">
      <w:bodyDiv w:val="1"/>
      <w:marLeft w:val="0"/>
      <w:marRight w:val="0"/>
      <w:marTop w:val="0"/>
      <w:marBottom w:val="0"/>
      <w:divBdr>
        <w:top w:val="none" w:sz="0" w:space="0" w:color="auto"/>
        <w:left w:val="none" w:sz="0" w:space="0" w:color="auto"/>
        <w:bottom w:val="none" w:sz="0" w:space="0" w:color="auto"/>
        <w:right w:val="none" w:sz="0" w:space="0" w:color="auto"/>
      </w:divBdr>
    </w:div>
    <w:div w:id="1843813014">
      <w:bodyDiv w:val="1"/>
      <w:marLeft w:val="0"/>
      <w:marRight w:val="0"/>
      <w:marTop w:val="0"/>
      <w:marBottom w:val="0"/>
      <w:divBdr>
        <w:top w:val="none" w:sz="0" w:space="0" w:color="auto"/>
        <w:left w:val="none" w:sz="0" w:space="0" w:color="auto"/>
        <w:bottom w:val="none" w:sz="0" w:space="0" w:color="auto"/>
        <w:right w:val="none" w:sz="0" w:space="0" w:color="auto"/>
      </w:divBdr>
    </w:div>
    <w:div w:id="1844398840">
      <w:bodyDiv w:val="1"/>
      <w:marLeft w:val="0"/>
      <w:marRight w:val="0"/>
      <w:marTop w:val="0"/>
      <w:marBottom w:val="0"/>
      <w:divBdr>
        <w:top w:val="none" w:sz="0" w:space="0" w:color="auto"/>
        <w:left w:val="none" w:sz="0" w:space="0" w:color="auto"/>
        <w:bottom w:val="none" w:sz="0" w:space="0" w:color="auto"/>
        <w:right w:val="none" w:sz="0" w:space="0" w:color="auto"/>
      </w:divBdr>
    </w:div>
    <w:div w:id="1844783168">
      <w:bodyDiv w:val="1"/>
      <w:marLeft w:val="0"/>
      <w:marRight w:val="0"/>
      <w:marTop w:val="0"/>
      <w:marBottom w:val="0"/>
      <w:divBdr>
        <w:top w:val="none" w:sz="0" w:space="0" w:color="auto"/>
        <w:left w:val="none" w:sz="0" w:space="0" w:color="auto"/>
        <w:bottom w:val="none" w:sz="0" w:space="0" w:color="auto"/>
        <w:right w:val="none" w:sz="0" w:space="0" w:color="auto"/>
      </w:divBdr>
    </w:div>
    <w:div w:id="1846675796">
      <w:bodyDiv w:val="1"/>
      <w:marLeft w:val="0"/>
      <w:marRight w:val="0"/>
      <w:marTop w:val="0"/>
      <w:marBottom w:val="0"/>
      <w:divBdr>
        <w:top w:val="none" w:sz="0" w:space="0" w:color="auto"/>
        <w:left w:val="none" w:sz="0" w:space="0" w:color="auto"/>
        <w:bottom w:val="none" w:sz="0" w:space="0" w:color="auto"/>
        <w:right w:val="none" w:sz="0" w:space="0" w:color="auto"/>
      </w:divBdr>
    </w:div>
    <w:div w:id="1847863581">
      <w:bodyDiv w:val="1"/>
      <w:marLeft w:val="0"/>
      <w:marRight w:val="0"/>
      <w:marTop w:val="0"/>
      <w:marBottom w:val="0"/>
      <w:divBdr>
        <w:top w:val="none" w:sz="0" w:space="0" w:color="auto"/>
        <w:left w:val="none" w:sz="0" w:space="0" w:color="auto"/>
        <w:bottom w:val="none" w:sz="0" w:space="0" w:color="auto"/>
        <w:right w:val="none" w:sz="0" w:space="0" w:color="auto"/>
      </w:divBdr>
    </w:div>
    <w:div w:id="1848204666">
      <w:bodyDiv w:val="1"/>
      <w:marLeft w:val="0"/>
      <w:marRight w:val="0"/>
      <w:marTop w:val="0"/>
      <w:marBottom w:val="0"/>
      <w:divBdr>
        <w:top w:val="none" w:sz="0" w:space="0" w:color="auto"/>
        <w:left w:val="none" w:sz="0" w:space="0" w:color="auto"/>
        <w:bottom w:val="none" w:sz="0" w:space="0" w:color="auto"/>
        <w:right w:val="none" w:sz="0" w:space="0" w:color="auto"/>
      </w:divBdr>
    </w:div>
    <w:div w:id="1851555120">
      <w:bodyDiv w:val="1"/>
      <w:marLeft w:val="0"/>
      <w:marRight w:val="0"/>
      <w:marTop w:val="0"/>
      <w:marBottom w:val="0"/>
      <w:divBdr>
        <w:top w:val="none" w:sz="0" w:space="0" w:color="auto"/>
        <w:left w:val="none" w:sz="0" w:space="0" w:color="auto"/>
        <w:bottom w:val="none" w:sz="0" w:space="0" w:color="auto"/>
        <w:right w:val="none" w:sz="0" w:space="0" w:color="auto"/>
      </w:divBdr>
    </w:div>
    <w:div w:id="1853758740">
      <w:bodyDiv w:val="1"/>
      <w:marLeft w:val="0"/>
      <w:marRight w:val="0"/>
      <w:marTop w:val="0"/>
      <w:marBottom w:val="0"/>
      <w:divBdr>
        <w:top w:val="none" w:sz="0" w:space="0" w:color="auto"/>
        <w:left w:val="none" w:sz="0" w:space="0" w:color="auto"/>
        <w:bottom w:val="none" w:sz="0" w:space="0" w:color="auto"/>
        <w:right w:val="none" w:sz="0" w:space="0" w:color="auto"/>
      </w:divBdr>
    </w:div>
    <w:div w:id="1855612068">
      <w:bodyDiv w:val="1"/>
      <w:marLeft w:val="0"/>
      <w:marRight w:val="0"/>
      <w:marTop w:val="0"/>
      <w:marBottom w:val="0"/>
      <w:divBdr>
        <w:top w:val="none" w:sz="0" w:space="0" w:color="auto"/>
        <w:left w:val="none" w:sz="0" w:space="0" w:color="auto"/>
        <w:bottom w:val="none" w:sz="0" w:space="0" w:color="auto"/>
        <w:right w:val="none" w:sz="0" w:space="0" w:color="auto"/>
      </w:divBdr>
    </w:div>
    <w:div w:id="1856652832">
      <w:bodyDiv w:val="1"/>
      <w:marLeft w:val="0"/>
      <w:marRight w:val="0"/>
      <w:marTop w:val="0"/>
      <w:marBottom w:val="0"/>
      <w:divBdr>
        <w:top w:val="none" w:sz="0" w:space="0" w:color="auto"/>
        <w:left w:val="none" w:sz="0" w:space="0" w:color="auto"/>
        <w:bottom w:val="none" w:sz="0" w:space="0" w:color="auto"/>
        <w:right w:val="none" w:sz="0" w:space="0" w:color="auto"/>
      </w:divBdr>
    </w:div>
    <w:div w:id="1856797148">
      <w:bodyDiv w:val="1"/>
      <w:marLeft w:val="0"/>
      <w:marRight w:val="0"/>
      <w:marTop w:val="0"/>
      <w:marBottom w:val="0"/>
      <w:divBdr>
        <w:top w:val="none" w:sz="0" w:space="0" w:color="auto"/>
        <w:left w:val="none" w:sz="0" w:space="0" w:color="auto"/>
        <w:bottom w:val="none" w:sz="0" w:space="0" w:color="auto"/>
        <w:right w:val="none" w:sz="0" w:space="0" w:color="auto"/>
      </w:divBdr>
    </w:div>
    <w:div w:id="1857648434">
      <w:bodyDiv w:val="1"/>
      <w:marLeft w:val="0"/>
      <w:marRight w:val="0"/>
      <w:marTop w:val="0"/>
      <w:marBottom w:val="0"/>
      <w:divBdr>
        <w:top w:val="none" w:sz="0" w:space="0" w:color="auto"/>
        <w:left w:val="none" w:sz="0" w:space="0" w:color="auto"/>
        <w:bottom w:val="none" w:sz="0" w:space="0" w:color="auto"/>
        <w:right w:val="none" w:sz="0" w:space="0" w:color="auto"/>
      </w:divBdr>
    </w:div>
    <w:div w:id="1858734527">
      <w:bodyDiv w:val="1"/>
      <w:marLeft w:val="0"/>
      <w:marRight w:val="0"/>
      <w:marTop w:val="0"/>
      <w:marBottom w:val="0"/>
      <w:divBdr>
        <w:top w:val="none" w:sz="0" w:space="0" w:color="auto"/>
        <w:left w:val="none" w:sz="0" w:space="0" w:color="auto"/>
        <w:bottom w:val="none" w:sz="0" w:space="0" w:color="auto"/>
        <w:right w:val="none" w:sz="0" w:space="0" w:color="auto"/>
      </w:divBdr>
    </w:div>
    <w:div w:id="1858960310">
      <w:bodyDiv w:val="1"/>
      <w:marLeft w:val="0"/>
      <w:marRight w:val="0"/>
      <w:marTop w:val="0"/>
      <w:marBottom w:val="0"/>
      <w:divBdr>
        <w:top w:val="none" w:sz="0" w:space="0" w:color="auto"/>
        <w:left w:val="none" w:sz="0" w:space="0" w:color="auto"/>
        <w:bottom w:val="none" w:sz="0" w:space="0" w:color="auto"/>
        <w:right w:val="none" w:sz="0" w:space="0" w:color="auto"/>
      </w:divBdr>
    </w:div>
    <w:div w:id="1860199313">
      <w:bodyDiv w:val="1"/>
      <w:marLeft w:val="0"/>
      <w:marRight w:val="0"/>
      <w:marTop w:val="0"/>
      <w:marBottom w:val="0"/>
      <w:divBdr>
        <w:top w:val="none" w:sz="0" w:space="0" w:color="auto"/>
        <w:left w:val="none" w:sz="0" w:space="0" w:color="auto"/>
        <w:bottom w:val="none" w:sz="0" w:space="0" w:color="auto"/>
        <w:right w:val="none" w:sz="0" w:space="0" w:color="auto"/>
      </w:divBdr>
    </w:div>
    <w:div w:id="1861047881">
      <w:bodyDiv w:val="1"/>
      <w:marLeft w:val="0"/>
      <w:marRight w:val="0"/>
      <w:marTop w:val="0"/>
      <w:marBottom w:val="0"/>
      <w:divBdr>
        <w:top w:val="none" w:sz="0" w:space="0" w:color="auto"/>
        <w:left w:val="none" w:sz="0" w:space="0" w:color="auto"/>
        <w:bottom w:val="none" w:sz="0" w:space="0" w:color="auto"/>
        <w:right w:val="none" w:sz="0" w:space="0" w:color="auto"/>
      </w:divBdr>
    </w:div>
    <w:div w:id="1861317257">
      <w:bodyDiv w:val="1"/>
      <w:marLeft w:val="0"/>
      <w:marRight w:val="0"/>
      <w:marTop w:val="0"/>
      <w:marBottom w:val="0"/>
      <w:divBdr>
        <w:top w:val="none" w:sz="0" w:space="0" w:color="auto"/>
        <w:left w:val="none" w:sz="0" w:space="0" w:color="auto"/>
        <w:bottom w:val="none" w:sz="0" w:space="0" w:color="auto"/>
        <w:right w:val="none" w:sz="0" w:space="0" w:color="auto"/>
      </w:divBdr>
    </w:div>
    <w:div w:id="1862282068">
      <w:bodyDiv w:val="1"/>
      <w:marLeft w:val="0"/>
      <w:marRight w:val="0"/>
      <w:marTop w:val="0"/>
      <w:marBottom w:val="0"/>
      <w:divBdr>
        <w:top w:val="none" w:sz="0" w:space="0" w:color="auto"/>
        <w:left w:val="none" w:sz="0" w:space="0" w:color="auto"/>
        <w:bottom w:val="none" w:sz="0" w:space="0" w:color="auto"/>
        <w:right w:val="none" w:sz="0" w:space="0" w:color="auto"/>
      </w:divBdr>
    </w:div>
    <w:div w:id="1865484587">
      <w:bodyDiv w:val="1"/>
      <w:marLeft w:val="0"/>
      <w:marRight w:val="0"/>
      <w:marTop w:val="0"/>
      <w:marBottom w:val="0"/>
      <w:divBdr>
        <w:top w:val="none" w:sz="0" w:space="0" w:color="auto"/>
        <w:left w:val="none" w:sz="0" w:space="0" w:color="auto"/>
        <w:bottom w:val="none" w:sz="0" w:space="0" w:color="auto"/>
        <w:right w:val="none" w:sz="0" w:space="0" w:color="auto"/>
      </w:divBdr>
    </w:div>
    <w:div w:id="1866943330">
      <w:bodyDiv w:val="1"/>
      <w:marLeft w:val="0"/>
      <w:marRight w:val="0"/>
      <w:marTop w:val="0"/>
      <w:marBottom w:val="0"/>
      <w:divBdr>
        <w:top w:val="none" w:sz="0" w:space="0" w:color="auto"/>
        <w:left w:val="none" w:sz="0" w:space="0" w:color="auto"/>
        <w:bottom w:val="none" w:sz="0" w:space="0" w:color="auto"/>
        <w:right w:val="none" w:sz="0" w:space="0" w:color="auto"/>
      </w:divBdr>
    </w:div>
    <w:div w:id="1867599397">
      <w:bodyDiv w:val="1"/>
      <w:marLeft w:val="0"/>
      <w:marRight w:val="0"/>
      <w:marTop w:val="0"/>
      <w:marBottom w:val="0"/>
      <w:divBdr>
        <w:top w:val="none" w:sz="0" w:space="0" w:color="auto"/>
        <w:left w:val="none" w:sz="0" w:space="0" w:color="auto"/>
        <w:bottom w:val="none" w:sz="0" w:space="0" w:color="auto"/>
        <w:right w:val="none" w:sz="0" w:space="0" w:color="auto"/>
      </w:divBdr>
    </w:div>
    <w:div w:id="1868443323">
      <w:bodyDiv w:val="1"/>
      <w:marLeft w:val="0"/>
      <w:marRight w:val="0"/>
      <w:marTop w:val="0"/>
      <w:marBottom w:val="0"/>
      <w:divBdr>
        <w:top w:val="none" w:sz="0" w:space="0" w:color="auto"/>
        <w:left w:val="none" w:sz="0" w:space="0" w:color="auto"/>
        <w:bottom w:val="none" w:sz="0" w:space="0" w:color="auto"/>
        <w:right w:val="none" w:sz="0" w:space="0" w:color="auto"/>
      </w:divBdr>
    </w:div>
    <w:div w:id="1868525262">
      <w:bodyDiv w:val="1"/>
      <w:marLeft w:val="0"/>
      <w:marRight w:val="0"/>
      <w:marTop w:val="0"/>
      <w:marBottom w:val="0"/>
      <w:divBdr>
        <w:top w:val="none" w:sz="0" w:space="0" w:color="auto"/>
        <w:left w:val="none" w:sz="0" w:space="0" w:color="auto"/>
        <w:bottom w:val="none" w:sz="0" w:space="0" w:color="auto"/>
        <w:right w:val="none" w:sz="0" w:space="0" w:color="auto"/>
      </w:divBdr>
    </w:div>
    <w:div w:id="1868786637">
      <w:bodyDiv w:val="1"/>
      <w:marLeft w:val="0"/>
      <w:marRight w:val="0"/>
      <w:marTop w:val="0"/>
      <w:marBottom w:val="0"/>
      <w:divBdr>
        <w:top w:val="none" w:sz="0" w:space="0" w:color="auto"/>
        <w:left w:val="none" w:sz="0" w:space="0" w:color="auto"/>
        <w:bottom w:val="none" w:sz="0" w:space="0" w:color="auto"/>
        <w:right w:val="none" w:sz="0" w:space="0" w:color="auto"/>
      </w:divBdr>
    </w:div>
    <w:div w:id="1868828687">
      <w:bodyDiv w:val="1"/>
      <w:marLeft w:val="0"/>
      <w:marRight w:val="0"/>
      <w:marTop w:val="0"/>
      <w:marBottom w:val="0"/>
      <w:divBdr>
        <w:top w:val="none" w:sz="0" w:space="0" w:color="auto"/>
        <w:left w:val="none" w:sz="0" w:space="0" w:color="auto"/>
        <w:bottom w:val="none" w:sz="0" w:space="0" w:color="auto"/>
        <w:right w:val="none" w:sz="0" w:space="0" w:color="auto"/>
      </w:divBdr>
    </w:div>
    <w:div w:id="1869639940">
      <w:bodyDiv w:val="1"/>
      <w:marLeft w:val="0"/>
      <w:marRight w:val="0"/>
      <w:marTop w:val="0"/>
      <w:marBottom w:val="0"/>
      <w:divBdr>
        <w:top w:val="none" w:sz="0" w:space="0" w:color="auto"/>
        <w:left w:val="none" w:sz="0" w:space="0" w:color="auto"/>
        <w:bottom w:val="none" w:sz="0" w:space="0" w:color="auto"/>
        <w:right w:val="none" w:sz="0" w:space="0" w:color="auto"/>
      </w:divBdr>
    </w:div>
    <w:div w:id="1869904128">
      <w:bodyDiv w:val="1"/>
      <w:marLeft w:val="0"/>
      <w:marRight w:val="0"/>
      <w:marTop w:val="0"/>
      <w:marBottom w:val="0"/>
      <w:divBdr>
        <w:top w:val="none" w:sz="0" w:space="0" w:color="auto"/>
        <w:left w:val="none" w:sz="0" w:space="0" w:color="auto"/>
        <w:bottom w:val="none" w:sz="0" w:space="0" w:color="auto"/>
        <w:right w:val="none" w:sz="0" w:space="0" w:color="auto"/>
      </w:divBdr>
    </w:div>
    <w:div w:id="1870334788">
      <w:bodyDiv w:val="1"/>
      <w:marLeft w:val="0"/>
      <w:marRight w:val="0"/>
      <w:marTop w:val="0"/>
      <w:marBottom w:val="0"/>
      <w:divBdr>
        <w:top w:val="none" w:sz="0" w:space="0" w:color="auto"/>
        <w:left w:val="none" w:sz="0" w:space="0" w:color="auto"/>
        <w:bottom w:val="none" w:sz="0" w:space="0" w:color="auto"/>
        <w:right w:val="none" w:sz="0" w:space="0" w:color="auto"/>
      </w:divBdr>
    </w:div>
    <w:div w:id="1876236060">
      <w:bodyDiv w:val="1"/>
      <w:marLeft w:val="0"/>
      <w:marRight w:val="0"/>
      <w:marTop w:val="0"/>
      <w:marBottom w:val="0"/>
      <w:divBdr>
        <w:top w:val="none" w:sz="0" w:space="0" w:color="auto"/>
        <w:left w:val="none" w:sz="0" w:space="0" w:color="auto"/>
        <w:bottom w:val="none" w:sz="0" w:space="0" w:color="auto"/>
        <w:right w:val="none" w:sz="0" w:space="0" w:color="auto"/>
      </w:divBdr>
    </w:div>
    <w:div w:id="1877959856">
      <w:bodyDiv w:val="1"/>
      <w:marLeft w:val="0"/>
      <w:marRight w:val="0"/>
      <w:marTop w:val="0"/>
      <w:marBottom w:val="0"/>
      <w:divBdr>
        <w:top w:val="none" w:sz="0" w:space="0" w:color="auto"/>
        <w:left w:val="none" w:sz="0" w:space="0" w:color="auto"/>
        <w:bottom w:val="none" w:sz="0" w:space="0" w:color="auto"/>
        <w:right w:val="none" w:sz="0" w:space="0" w:color="auto"/>
      </w:divBdr>
    </w:div>
    <w:div w:id="1878928499">
      <w:bodyDiv w:val="1"/>
      <w:marLeft w:val="0"/>
      <w:marRight w:val="0"/>
      <w:marTop w:val="0"/>
      <w:marBottom w:val="0"/>
      <w:divBdr>
        <w:top w:val="none" w:sz="0" w:space="0" w:color="auto"/>
        <w:left w:val="none" w:sz="0" w:space="0" w:color="auto"/>
        <w:bottom w:val="none" w:sz="0" w:space="0" w:color="auto"/>
        <w:right w:val="none" w:sz="0" w:space="0" w:color="auto"/>
      </w:divBdr>
    </w:div>
    <w:div w:id="1882089196">
      <w:bodyDiv w:val="1"/>
      <w:marLeft w:val="0"/>
      <w:marRight w:val="0"/>
      <w:marTop w:val="0"/>
      <w:marBottom w:val="0"/>
      <w:divBdr>
        <w:top w:val="none" w:sz="0" w:space="0" w:color="auto"/>
        <w:left w:val="none" w:sz="0" w:space="0" w:color="auto"/>
        <w:bottom w:val="none" w:sz="0" w:space="0" w:color="auto"/>
        <w:right w:val="none" w:sz="0" w:space="0" w:color="auto"/>
      </w:divBdr>
    </w:div>
    <w:div w:id="1883713375">
      <w:bodyDiv w:val="1"/>
      <w:marLeft w:val="0"/>
      <w:marRight w:val="0"/>
      <w:marTop w:val="0"/>
      <w:marBottom w:val="0"/>
      <w:divBdr>
        <w:top w:val="none" w:sz="0" w:space="0" w:color="auto"/>
        <w:left w:val="none" w:sz="0" w:space="0" w:color="auto"/>
        <w:bottom w:val="none" w:sz="0" w:space="0" w:color="auto"/>
        <w:right w:val="none" w:sz="0" w:space="0" w:color="auto"/>
      </w:divBdr>
    </w:div>
    <w:div w:id="1884243068">
      <w:bodyDiv w:val="1"/>
      <w:marLeft w:val="0"/>
      <w:marRight w:val="0"/>
      <w:marTop w:val="0"/>
      <w:marBottom w:val="0"/>
      <w:divBdr>
        <w:top w:val="none" w:sz="0" w:space="0" w:color="auto"/>
        <w:left w:val="none" w:sz="0" w:space="0" w:color="auto"/>
        <w:bottom w:val="none" w:sz="0" w:space="0" w:color="auto"/>
        <w:right w:val="none" w:sz="0" w:space="0" w:color="auto"/>
      </w:divBdr>
    </w:div>
    <w:div w:id="1884436201">
      <w:bodyDiv w:val="1"/>
      <w:marLeft w:val="0"/>
      <w:marRight w:val="0"/>
      <w:marTop w:val="0"/>
      <w:marBottom w:val="0"/>
      <w:divBdr>
        <w:top w:val="none" w:sz="0" w:space="0" w:color="auto"/>
        <w:left w:val="none" w:sz="0" w:space="0" w:color="auto"/>
        <w:bottom w:val="none" w:sz="0" w:space="0" w:color="auto"/>
        <w:right w:val="none" w:sz="0" w:space="0" w:color="auto"/>
      </w:divBdr>
    </w:div>
    <w:div w:id="1885016983">
      <w:bodyDiv w:val="1"/>
      <w:marLeft w:val="0"/>
      <w:marRight w:val="0"/>
      <w:marTop w:val="0"/>
      <w:marBottom w:val="0"/>
      <w:divBdr>
        <w:top w:val="none" w:sz="0" w:space="0" w:color="auto"/>
        <w:left w:val="none" w:sz="0" w:space="0" w:color="auto"/>
        <w:bottom w:val="none" w:sz="0" w:space="0" w:color="auto"/>
        <w:right w:val="none" w:sz="0" w:space="0" w:color="auto"/>
      </w:divBdr>
    </w:div>
    <w:div w:id="1885560307">
      <w:bodyDiv w:val="1"/>
      <w:marLeft w:val="0"/>
      <w:marRight w:val="0"/>
      <w:marTop w:val="0"/>
      <w:marBottom w:val="0"/>
      <w:divBdr>
        <w:top w:val="none" w:sz="0" w:space="0" w:color="auto"/>
        <w:left w:val="none" w:sz="0" w:space="0" w:color="auto"/>
        <w:bottom w:val="none" w:sz="0" w:space="0" w:color="auto"/>
        <w:right w:val="none" w:sz="0" w:space="0" w:color="auto"/>
      </w:divBdr>
    </w:div>
    <w:div w:id="1886024834">
      <w:bodyDiv w:val="1"/>
      <w:marLeft w:val="0"/>
      <w:marRight w:val="0"/>
      <w:marTop w:val="0"/>
      <w:marBottom w:val="0"/>
      <w:divBdr>
        <w:top w:val="none" w:sz="0" w:space="0" w:color="auto"/>
        <w:left w:val="none" w:sz="0" w:space="0" w:color="auto"/>
        <w:bottom w:val="none" w:sz="0" w:space="0" w:color="auto"/>
        <w:right w:val="none" w:sz="0" w:space="0" w:color="auto"/>
      </w:divBdr>
    </w:div>
    <w:div w:id="1887401217">
      <w:bodyDiv w:val="1"/>
      <w:marLeft w:val="0"/>
      <w:marRight w:val="0"/>
      <w:marTop w:val="0"/>
      <w:marBottom w:val="0"/>
      <w:divBdr>
        <w:top w:val="none" w:sz="0" w:space="0" w:color="auto"/>
        <w:left w:val="none" w:sz="0" w:space="0" w:color="auto"/>
        <w:bottom w:val="none" w:sz="0" w:space="0" w:color="auto"/>
        <w:right w:val="none" w:sz="0" w:space="0" w:color="auto"/>
      </w:divBdr>
    </w:div>
    <w:div w:id="1887915196">
      <w:bodyDiv w:val="1"/>
      <w:marLeft w:val="0"/>
      <w:marRight w:val="0"/>
      <w:marTop w:val="0"/>
      <w:marBottom w:val="0"/>
      <w:divBdr>
        <w:top w:val="none" w:sz="0" w:space="0" w:color="auto"/>
        <w:left w:val="none" w:sz="0" w:space="0" w:color="auto"/>
        <w:bottom w:val="none" w:sz="0" w:space="0" w:color="auto"/>
        <w:right w:val="none" w:sz="0" w:space="0" w:color="auto"/>
      </w:divBdr>
    </w:div>
    <w:div w:id="1889030174">
      <w:bodyDiv w:val="1"/>
      <w:marLeft w:val="0"/>
      <w:marRight w:val="0"/>
      <w:marTop w:val="0"/>
      <w:marBottom w:val="0"/>
      <w:divBdr>
        <w:top w:val="none" w:sz="0" w:space="0" w:color="auto"/>
        <w:left w:val="none" w:sz="0" w:space="0" w:color="auto"/>
        <w:bottom w:val="none" w:sz="0" w:space="0" w:color="auto"/>
        <w:right w:val="none" w:sz="0" w:space="0" w:color="auto"/>
      </w:divBdr>
    </w:div>
    <w:div w:id="1889612570">
      <w:bodyDiv w:val="1"/>
      <w:marLeft w:val="0"/>
      <w:marRight w:val="0"/>
      <w:marTop w:val="0"/>
      <w:marBottom w:val="0"/>
      <w:divBdr>
        <w:top w:val="none" w:sz="0" w:space="0" w:color="auto"/>
        <w:left w:val="none" w:sz="0" w:space="0" w:color="auto"/>
        <w:bottom w:val="none" w:sz="0" w:space="0" w:color="auto"/>
        <w:right w:val="none" w:sz="0" w:space="0" w:color="auto"/>
      </w:divBdr>
    </w:div>
    <w:div w:id="1890263637">
      <w:bodyDiv w:val="1"/>
      <w:marLeft w:val="0"/>
      <w:marRight w:val="0"/>
      <w:marTop w:val="0"/>
      <w:marBottom w:val="0"/>
      <w:divBdr>
        <w:top w:val="none" w:sz="0" w:space="0" w:color="auto"/>
        <w:left w:val="none" w:sz="0" w:space="0" w:color="auto"/>
        <w:bottom w:val="none" w:sz="0" w:space="0" w:color="auto"/>
        <w:right w:val="none" w:sz="0" w:space="0" w:color="auto"/>
      </w:divBdr>
    </w:div>
    <w:div w:id="1891306641">
      <w:bodyDiv w:val="1"/>
      <w:marLeft w:val="0"/>
      <w:marRight w:val="0"/>
      <w:marTop w:val="0"/>
      <w:marBottom w:val="0"/>
      <w:divBdr>
        <w:top w:val="none" w:sz="0" w:space="0" w:color="auto"/>
        <w:left w:val="none" w:sz="0" w:space="0" w:color="auto"/>
        <w:bottom w:val="none" w:sz="0" w:space="0" w:color="auto"/>
        <w:right w:val="none" w:sz="0" w:space="0" w:color="auto"/>
      </w:divBdr>
    </w:div>
    <w:div w:id="1891530076">
      <w:bodyDiv w:val="1"/>
      <w:marLeft w:val="0"/>
      <w:marRight w:val="0"/>
      <w:marTop w:val="0"/>
      <w:marBottom w:val="0"/>
      <w:divBdr>
        <w:top w:val="none" w:sz="0" w:space="0" w:color="auto"/>
        <w:left w:val="none" w:sz="0" w:space="0" w:color="auto"/>
        <w:bottom w:val="none" w:sz="0" w:space="0" w:color="auto"/>
        <w:right w:val="none" w:sz="0" w:space="0" w:color="auto"/>
      </w:divBdr>
    </w:div>
    <w:div w:id="1891991285">
      <w:bodyDiv w:val="1"/>
      <w:marLeft w:val="0"/>
      <w:marRight w:val="0"/>
      <w:marTop w:val="0"/>
      <w:marBottom w:val="0"/>
      <w:divBdr>
        <w:top w:val="none" w:sz="0" w:space="0" w:color="auto"/>
        <w:left w:val="none" w:sz="0" w:space="0" w:color="auto"/>
        <w:bottom w:val="none" w:sz="0" w:space="0" w:color="auto"/>
        <w:right w:val="none" w:sz="0" w:space="0" w:color="auto"/>
      </w:divBdr>
    </w:div>
    <w:div w:id="1892110954">
      <w:bodyDiv w:val="1"/>
      <w:marLeft w:val="0"/>
      <w:marRight w:val="0"/>
      <w:marTop w:val="0"/>
      <w:marBottom w:val="0"/>
      <w:divBdr>
        <w:top w:val="none" w:sz="0" w:space="0" w:color="auto"/>
        <w:left w:val="none" w:sz="0" w:space="0" w:color="auto"/>
        <w:bottom w:val="none" w:sz="0" w:space="0" w:color="auto"/>
        <w:right w:val="none" w:sz="0" w:space="0" w:color="auto"/>
      </w:divBdr>
    </w:div>
    <w:div w:id="1892502349">
      <w:bodyDiv w:val="1"/>
      <w:marLeft w:val="0"/>
      <w:marRight w:val="0"/>
      <w:marTop w:val="0"/>
      <w:marBottom w:val="0"/>
      <w:divBdr>
        <w:top w:val="none" w:sz="0" w:space="0" w:color="auto"/>
        <w:left w:val="none" w:sz="0" w:space="0" w:color="auto"/>
        <w:bottom w:val="none" w:sz="0" w:space="0" w:color="auto"/>
        <w:right w:val="none" w:sz="0" w:space="0" w:color="auto"/>
      </w:divBdr>
    </w:div>
    <w:div w:id="1893033910">
      <w:bodyDiv w:val="1"/>
      <w:marLeft w:val="0"/>
      <w:marRight w:val="0"/>
      <w:marTop w:val="0"/>
      <w:marBottom w:val="0"/>
      <w:divBdr>
        <w:top w:val="none" w:sz="0" w:space="0" w:color="auto"/>
        <w:left w:val="none" w:sz="0" w:space="0" w:color="auto"/>
        <w:bottom w:val="none" w:sz="0" w:space="0" w:color="auto"/>
        <w:right w:val="none" w:sz="0" w:space="0" w:color="auto"/>
      </w:divBdr>
    </w:div>
    <w:div w:id="1895845354">
      <w:bodyDiv w:val="1"/>
      <w:marLeft w:val="0"/>
      <w:marRight w:val="0"/>
      <w:marTop w:val="0"/>
      <w:marBottom w:val="0"/>
      <w:divBdr>
        <w:top w:val="none" w:sz="0" w:space="0" w:color="auto"/>
        <w:left w:val="none" w:sz="0" w:space="0" w:color="auto"/>
        <w:bottom w:val="none" w:sz="0" w:space="0" w:color="auto"/>
        <w:right w:val="none" w:sz="0" w:space="0" w:color="auto"/>
      </w:divBdr>
    </w:div>
    <w:div w:id="1896695766">
      <w:bodyDiv w:val="1"/>
      <w:marLeft w:val="0"/>
      <w:marRight w:val="0"/>
      <w:marTop w:val="0"/>
      <w:marBottom w:val="0"/>
      <w:divBdr>
        <w:top w:val="none" w:sz="0" w:space="0" w:color="auto"/>
        <w:left w:val="none" w:sz="0" w:space="0" w:color="auto"/>
        <w:bottom w:val="none" w:sz="0" w:space="0" w:color="auto"/>
        <w:right w:val="none" w:sz="0" w:space="0" w:color="auto"/>
      </w:divBdr>
    </w:div>
    <w:div w:id="1898584995">
      <w:bodyDiv w:val="1"/>
      <w:marLeft w:val="0"/>
      <w:marRight w:val="0"/>
      <w:marTop w:val="0"/>
      <w:marBottom w:val="0"/>
      <w:divBdr>
        <w:top w:val="none" w:sz="0" w:space="0" w:color="auto"/>
        <w:left w:val="none" w:sz="0" w:space="0" w:color="auto"/>
        <w:bottom w:val="none" w:sz="0" w:space="0" w:color="auto"/>
        <w:right w:val="none" w:sz="0" w:space="0" w:color="auto"/>
      </w:divBdr>
    </w:div>
    <w:div w:id="1899780725">
      <w:bodyDiv w:val="1"/>
      <w:marLeft w:val="0"/>
      <w:marRight w:val="0"/>
      <w:marTop w:val="0"/>
      <w:marBottom w:val="0"/>
      <w:divBdr>
        <w:top w:val="none" w:sz="0" w:space="0" w:color="auto"/>
        <w:left w:val="none" w:sz="0" w:space="0" w:color="auto"/>
        <w:bottom w:val="none" w:sz="0" w:space="0" w:color="auto"/>
        <w:right w:val="none" w:sz="0" w:space="0" w:color="auto"/>
      </w:divBdr>
    </w:div>
    <w:div w:id="1900096535">
      <w:bodyDiv w:val="1"/>
      <w:marLeft w:val="0"/>
      <w:marRight w:val="0"/>
      <w:marTop w:val="0"/>
      <w:marBottom w:val="0"/>
      <w:divBdr>
        <w:top w:val="none" w:sz="0" w:space="0" w:color="auto"/>
        <w:left w:val="none" w:sz="0" w:space="0" w:color="auto"/>
        <w:bottom w:val="none" w:sz="0" w:space="0" w:color="auto"/>
        <w:right w:val="none" w:sz="0" w:space="0" w:color="auto"/>
      </w:divBdr>
    </w:div>
    <w:div w:id="1900364692">
      <w:bodyDiv w:val="1"/>
      <w:marLeft w:val="0"/>
      <w:marRight w:val="0"/>
      <w:marTop w:val="0"/>
      <w:marBottom w:val="0"/>
      <w:divBdr>
        <w:top w:val="none" w:sz="0" w:space="0" w:color="auto"/>
        <w:left w:val="none" w:sz="0" w:space="0" w:color="auto"/>
        <w:bottom w:val="none" w:sz="0" w:space="0" w:color="auto"/>
        <w:right w:val="none" w:sz="0" w:space="0" w:color="auto"/>
      </w:divBdr>
    </w:div>
    <w:div w:id="1902400060">
      <w:bodyDiv w:val="1"/>
      <w:marLeft w:val="0"/>
      <w:marRight w:val="0"/>
      <w:marTop w:val="0"/>
      <w:marBottom w:val="0"/>
      <w:divBdr>
        <w:top w:val="none" w:sz="0" w:space="0" w:color="auto"/>
        <w:left w:val="none" w:sz="0" w:space="0" w:color="auto"/>
        <w:bottom w:val="none" w:sz="0" w:space="0" w:color="auto"/>
        <w:right w:val="none" w:sz="0" w:space="0" w:color="auto"/>
      </w:divBdr>
    </w:div>
    <w:div w:id="1902708471">
      <w:bodyDiv w:val="1"/>
      <w:marLeft w:val="0"/>
      <w:marRight w:val="0"/>
      <w:marTop w:val="0"/>
      <w:marBottom w:val="0"/>
      <w:divBdr>
        <w:top w:val="none" w:sz="0" w:space="0" w:color="auto"/>
        <w:left w:val="none" w:sz="0" w:space="0" w:color="auto"/>
        <w:bottom w:val="none" w:sz="0" w:space="0" w:color="auto"/>
        <w:right w:val="none" w:sz="0" w:space="0" w:color="auto"/>
      </w:divBdr>
    </w:div>
    <w:div w:id="1902711355">
      <w:bodyDiv w:val="1"/>
      <w:marLeft w:val="0"/>
      <w:marRight w:val="0"/>
      <w:marTop w:val="0"/>
      <w:marBottom w:val="0"/>
      <w:divBdr>
        <w:top w:val="none" w:sz="0" w:space="0" w:color="auto"/>
        <w:left w:val="none" w:sz="0" w:space="0" w:color="auto"/>
        <w:bottom w:val="none" w:sz="0" w:space="0" w:color="auto"/>
        <w:right w:val="none" w:sz="0" w:space="0" w:color="auto"/>
      </w:divBdr>
    </w:div>
    <w:div w:id="1904752294">
      <w:bodyDiv w:val="1"/>
      <w:marLeft w:val="0"/>
      <w:marRight w:val="0"/>
      <w:marTop w:val="0"/>
      <w:marBottom w:val="0"/>
      <w:divBdr>
        <w:top w:val="none" w:sz="0" w:space="0" w:color="auto"/>
        <w:left w:val="none" w:sz="0" w:space="0" w:color="auto"/>
        <w:bottom w:val="none" w:sz="0" w:space="0" w:color="auto"/>
        <w:right w:val="none" w:sz="0" w:space="0" w:color="auto"/>
      </w:divBdr>
    </w:div>
    <w:div w:id="1907103424">
      <w:bodyDiv w:val="1"/>
      <w:marLeft w:val="0"/>
      <w:marRight w:val="0"/>
      <w:marTop w:val="0"/>
      <w:marBottom w:val="0"/>
      <w:divBdr>
        <w:top w:val="none" w:sz="0" w:space="0" w:color="auto"/>
        <w:left w:val="none" w:sz="0" w:space="0" w:color="auto"/>
        <w:bottom w:val="none" w:sz="0" w:space="0" w:color="auto"/>
        <w:right w:val="none" w:sz="0" w:space="0" w:color="auto"/>
      </w:divBdr>
    </w:div>
    <w:div w:id="1911500501">
      <w:bodyDiv w:val="1"/>
      <w:marLeft w:val="0"/>
      <w:marRight w:val="0"/>
      <w:marTop w:val="0"/>
      <w:marBottom w:val="0"/>
      <w:divBdr>
        <w:top w:val="none" w:sz="0" w:space="0" w:color="auto"/>
        <w:left w:val="none" w:sz="0" w:space="0" w:color="auto"/>
        <w:bottom w:val="none" w:sz="0" w:space="0" w:color="auto"/>
        <w:right w:val="none" w:sz="0" w:space="0" w:color="auto"/>
      </w:divBdr>
    </w:div>
    <w:div w:id="1912962202">
      <w:bodyDiv w:val="1"/>
      <w:marLeft w:val="0"/>
      <w:marRight w:val="0"/>
      <w:marTop w:val="0"/>
      <w:marBottom w:val="0"/>
      <w:divBdr>
        <w:top w:val="none" w:sz="0" w:space="0" w:color="auto"/>
        <w:left w:val="none" w:sz="0" w:space="0" w:color="auto"/>
        <w:bottom w:val="none" w:sz="0" w:space="0" w:color="auto"/>
        <w:right w:val="none" w:sz="0" w:space="0" w:color="auto"/>
      </w:divBdr>
    </w:div>
    <w:div w:id="1913614309">
      <w:bodyDiv w:val="1"/>
      <w:marLeft w:val="0"/>
      <w:marRight w:val="0"/>
      <w:marTop w:val="0"/>
      <w:marBottom w:val="0"/>
      <w:divBdr>
        <w:top w:val="none" w:sz="0" w:space="0" w:color="auto"/>
        <w:left w:val="none" w:sz="0" w:space="0" w:color="auto"/>
        <w:bottom w:val="none" w:sz="0" w:space="0" w:color="auto"/>
        <w:right w:val="none" w:sz="0" w:space="0" w:color="auto"/>
      </w:divBdr>
    </w:div>
    <w:div w:id="1914778749">
      <w:bodyDiv w:val="1"/>
      <w:marLeft w:val="0"/>
      <w:marRight w:val="0"/>
      <w:marTop w:val="0"/>
      <w:marBottom w:val="0"/>
      <w:divBdr>
        <w:top w:val="none" w:sz="0" w:space="0" w:color="auto"/>
        <w:left w:val="none" w:sz="0" w:space="0" w:color="auto"/>
        <w:bottom w:val="none" w:sz="0" w:space="0" w:color="auto"/>
        <w:right w:val="none" w:sz="0" w:space="0" w:color="auto"/>
      </w:divBdr>
    </w:div>
    <w:div w:id="1915778632">
      <w:bodyDiv w:val="1"/>
      <w:marLeft w:val="0"/>
      <w:marRight w:val="0"/>
      <w:marTop w:val="0"/>
      <w:marBottom w:val="0"/>
      <w:divBdr>
        <w:top w:val="none" w:sz="0" w:space="0" w:color="auto"/>
        <w:left w:val="none" w:sz="0" w:space="0" w:color="auto"/>
        <w:bottom w:val="none" w:sz="0" w:space="0" w:color="auto"/>
        <w:right w:val="none" w:sz="0" w:space="0" w:color="auto"/>
      </w:divBdr>
    </w:div>
    <w:div w:id="1916282716">
      <w:bodyDiv w:val="1"/>
      <w:marLeft w:val="0"/>
      <w:marRight w:val="0"/>
      <w:marTop w:val="0"/>
      <w:marBottom w:val="0"/>
      <w:divBdr>
        <w:top w:val="none" w:sz="0" w:space="0" w:color="auto"/>
        <w:left w:val="none" w:sz="0" w:space="0" w:color="auto"/>
        <w:bottom w:val="none" w:sz="0" w:space="0" w:color="auto"/>
        <w:right w:val="none" w:sz="0" w:space="0" w:color="auto"/>
      </w:divBdr>
    </w:div>
    <w:div w:id="1919360687">
      <w:bodyDiv w:val="1"/>
      <w:marLeft w:val="0"/>
      <w:marRight w:val="0"/>
      <w:marTop w:val="0"/>
      <w:marBottom w:val="0"/>
      <w:divBdr>
        <w:top w:val="none" w:sz="0" w:space="0" w:color="auto"/>
        <w:left w:val="none" w:sz="0" w:space="0" w:color="auto"/>
        <w:bottom w:val="none" w:sz="0" w:space="0" w:color="auto"/>
        <w:right w:val="none" w:sz="0" w:space="0" w:color="auto"/>
      </w:divBdr>
    </w:div>
    <w:div w:id="1920406403">
      <w:bodyDiv w:val="1"/>
      <w:marLeft w:val="0"/>
      <w:marRight w:val="0"/>
      <w:marTop w:val="0"/>
      <w:marBottom w:val="0"/>
      <w:divBdr>
        <w:top w:val="none" w:sz="0" w:space="0" w:color="auto"/>
        <w:left w:val="none" w:sz="0" w:space="0" w:color="auto"/>
        <w:bottom w:val="none" w:sz="0" w:space="0" w:color="auto"/>
        <w:right w:val="none" w:sz="0" w:space="0" w:color="auto"/>
      </w:divBdr>
    </w:div>
    <w:div w:id="1921216325">
      <w:bodyDiv w:val="1"/>
      <w:marLeft w:val="0"/>
      <w:marRight w:val="0"/>
      <w:marTop w:val="0"/>
      <w:marBottom w:val="0"/>
      <w:divBdr>
        <w:top w:val="none" w:sz="0" w:space="0" w:color="auto"/>
        <w:left w:val="none" w:sz="0" w:space="0" w:color="auto"/>
        <w:bottom w:val="none" w:sz="0" w:space="0" w:color="auto"/>
        <w:right w:val="none" w:sz="0" w:space="0" w:color="auto"/>
      </w:divBdr>
    </w:div>
    <w:div w:id="1925145832">
      <w:bodyDiv w:val="1"/>
      <w:marLeft w:val="0"/>
      <w:marRight w:val="0"/>
      <w:marTop w:val="0"/>
      <w:marBottom w:val="0"/>
      <w:divBdr>
        <w:top w:val="none" w:sz="0" w:space="0" w:color="auto"/>
        <w:left w:val="none" w:sz="0" w:space="0" w:color="auto"/>
        <w:bottom w:val="none" w:sz="0" w:space="0" w:color="auto"/>
        <w:right w:val="none" w:sz="0" w:space="0" w:color="auto"/>
      </w:divBdr>
    </w:div>
    <w:div w:id="1926069233">
      <w:bodyDiv w:val="1"/>
      <w:marLeft w:val="0"/>
      <w:marRight w:val="0"/>
      <w:marTop w:val="0"/>
      <w:marBottom w:val="0"/>
      <w:divBdr>
        <w:top w:val="none" w:sz="0" w:space="0" w:color="auto"/>
        <w:left w:val="none" w:sz="0" w:space="0" w:color="auto"/>
        <w:bottom w:val="none" w:sz="0" w:space="0" w:color="auto"/>
        <w:right w:val="none" w:sz="0" w:space="0" w:color="auto"/>
      </w:divBdr>
    </w:div>
    <w:div w:id="1927417521">
      <w:bodyDiv w:val="1"/>
      <w:marLeft w:val="0"/>
      <w:marRight w:val="0"/>
      <w:marTop w:val="0"/>
      <w:marBottom w:val="0"/>
      <w:divBdr>
        <w:top w:val="none" w:sz="0" w:space="0" w:color="auto"/>
        <w:left w:val="none" w:sz="0" w:space="0" w:color="auto"/>
        <w:bottom w:val="none" w:sz="0" w:space="0" w:color="auto"/>
        <w:right w:val="none" w:sz="0" w:space="0" w:color="auto"/>
      </w:divBdr>
    </w:div>
    <w:div w:id="1927498613">
      <w:bodyDiv w:val="1"/>
      <w:marLeft w:val="0"/>
      <w:marRight w:val="0"/>
      <w:marTop w:val="0"/>
      <w:marBottom w:val="0"/>
      <w:divBdr>
        <w:top w:val="none" w:sz="0" w:space="0" w:color="auto"/>
        <w:left w:val="none" w:sz="0" w:space="0" w:color="auto"/>
        <w:bottom w:val="none" w:sz="0" w:space="0" w:color="auto"/>
        <w:right w:val="none" w:sz="0" w:space="0" w:color="auto"/>
      </w:divBdr>
    </w:div>
    <w:div w:id="1927761531">
      <w:bodyDiv w:val="1"/>
      <w:marLeft w:val="0"/>
      <w:marRight w:val="0"/>
      <w:marTop w:val="0"/>
      <w:marBottom w:val="0"/>
      <w:divBdr>
        <w:top w:val="none" w:sz="0" w:space="0" w:color="auto"/>
        <w:left w:val="none" w:sz="0" w:space="0" w:color="auto"/>
        <w:bottom w:val="none" w:sz="0" w:space="0" w:color="auto"/>
        <w:right w:val="none" w:sz="0" w:space="0" w:color="auto"/>
      </w:divBdr>
    </w:div>
    <w:div w:id="1929189649">
      <w:bodyDiv w:val="1"/>
      <w:marLeft w:val="0"/>
      <w:marRight w:val="0"/>
      <w:marTop w:val="0"/>
      <w:marBottom w:val="0"/>
      <w:divBdr>
        <w:top w:val="none" w:sz="0" w:space="0" w:color="auto"/>
        <w:left w:val="none" w:sz="0" w:space="0" w:color="auto"/>
        <w:bottom w:val="none" w:sz="0" w:space="0" w:color="auto"/>
        <w:right w:val="none" w:sz="0" w:space="0" w:color="auto"/>
      </w:divBdr>
    </w:div>
    <w:div w:id="1930238126">
      <w:bodyDiv w:val="1"/>
      <w:marLeft w:val="0"/>
      <w:marRight w:val="0"/>
      <w:marTop w:val="0"/>
      <w:marBottom w:val="0"/>
      <w:divBdr>
        <w:top w:val="none" w:sz="0" w:space="0" w:color="auto"/>
        <w:left w:val="none" w:sz="0" w:space="0" w:color="auto"/>
        <w:bottom w:val="none" w:sz="0" w:space="0" w:color="auto"/>
        <w:right w:val="none" w:sz="0" w:space="0" w:color="auto"/>
      </w:divBdr>
    </w:div>
    <w:div w:id="1931236753">
      <w:bodyDiv w:val="1"/>
      <w:marLeft w:val="0"/>
      <w:marRight w:val="0"/>
      <w:marTop w:val="0"/>
      <w:marBottom w:val="0"/>
      <w:divBdr>
        <w:top w:val="none" w:sz="0" w:space="0" w:color="auto"/>
        <w:left w:val="none" w:sz="0" w:space="0" w:color="auto"/>
        <w:bottom w:val="none" w:sz="0" w:space="0" w:color="auto"/>
        <w:right w:val="none" w:sz="0" w:space="0" w:color="auto"/>
      </w:divBdr>
    </w:div>
    <w:div w:id="1932853962">
      <w:bodyDiv w:val="1"/>
      <w:marLeft w:val="0"/>
      <w:marRight w:val="0"/>
      <w:marTop w:val="0"/>
      <w:marBottom w:val="0"/>
      <w:divBdr>
        <w:top w:val="none" w:sz="0" w:space="0" w:color="auto"/>
        <w:left w:val="none" w:sz="0" w:space="0" w:color="auto"/>
        <w:bottom w:val="none" w:sz="0" w:space="0" w:color="auto"/>
        <w:right w:val="none" w:sz="0" w:space="0" w:color="auto"/>
      </w:divBdr>
    </w:div>
    <w:div w:id="1934166741">
      <w:bodyDiv w:val="1"/>
      <w:marLeft w:val="0"/>
      <w:marRight w:val="0"/>
      <w:marTop w:val="0"/>
      <w:marBottom w:val="0"/>
      <w:divBdr>
        <w:top w:val="none" w:sz="0" w:space="0" w:color="auto"/>
        <w:left w:val="none" w:sz="0" w:space="0" w:color="auto"/>
        <w:bottom w:val="none" w:sz="0" w:space="0" w:color="auto"/>
        <w:right w:val="none" w:sz="0" w:space="0" w:color="auto"/>
      </w:divBdr>
    </w:div>
    <w:div w:id="1935742930">
      <w:bodyDiv w:val="1"/>
      <w:marLeft w:val="0"/>
      <w:marRight w:val="0"/>
      <w:marTop w:val="0"/>
      <w:marBottom w:val="0"/>
      <w:divBdr>
        <w:top w:val="none" w:sz="0" w:space="0" w:color="auto"/>
        <w:left w:val="none" w:sz="0" w:space="0" w:color="auto"/>
        <w:bottom w:val="none" w:sz="0" w:space="0" w:color="auto"/>
        <w:right w:val="none" w:sz="0" w:space="0" w:color="auto"/>
      </w:divBdr>
    </w:div>
    <w:div w:id="1936210291">
      <w:bodyDiv w:val="1"/>
      <w:marLeft w:val="0"/>
      <w:marRight w:val="0"/>
      <w:marTop w:val="0"/>
      <w:marBottom w:val="0"/>
      <w:divBdr>
        <w:top w:val="none" w:sz="0" w:space="0" w:color="auto"/>
        <w:left w:val="none" w:sz="0" w:space="0" w:color="auto"/>
        <w:bottom w:val="none" w:sz="0" w:space="0" w:color="auto"/>
        <w:right w:val="none" w:sz="0" w:space="0" w:color="auto"/>
      </w:divBdr>
    </w:div>
    <w:div w:id="1937518535">
      <w:bodyDiv w:val="1"/>
      <w:marLeft w:val="0"/>
      <w:marRight w:val="0"/>
      <w:marTop w:val="0"/>
      <w:marBottom w:val="0"/>
      <w:divBdr>
        <w:top w:val="none" w:sz="0" w:space="0" w:color="auto"/>
        <w:left w:val="none" w:sz="0" w:space="0" w:color="auto"/>
        <w:bottom w:val="none" w:sz="0" w:space="0" w:color="auto"/>
        <w:right w:val="none" w:sz="0" w:space="0" w:color="auto"/>
      </w:divBdr>
    </w:div>
    <w:div w:id="1938052995">
      <w:bodyDiv w:val="1"/>
      <w:marLeft w:val="0"/>
      <w:marRight w:val="0"/>
      <w:marTop w:val="0"/>
      <w:marBottom w:val="0"/>
      <w:divBdr>
        <w:top w:val="none" w:sz="0" w:space="0" w:color="auto"/>
        <w:left w:val="none" w:sz="0" w:space="0" w:color="auto"/>
        <w:bottom w:val="none" w:sz="0" w:space="0" w:color="auto"/>
        <w:right w:val="none" w:sz="0" w:space="0" w:color="auto"/>
      </w:divBdr>
    </w:div>
    <w:div w:id="1939629938">
      <w:bodyDiv w:val="1"/>
      <w:marLeft w:val="0"/>
      <w:marRight w:val="0"/>
      <w:marTop w:val="0"/>
      <w:marBottom w:val="0"/>
      <w:divBdr>
        <w:top w:val="none" w:sz="0" w:space="0" w:color="auto"/>
        <w:left w:val="none" w:sz="0" w:space="0" w:color="auto"/>
        <w:bottom w:val="none" w:sz="0" w:space="0" w:color="auto"/>
        <w:right w:val="none" w:sz="0" w:space="0" w:color="auto"/>
      </w:divBdr>
    </w:div>
    <w:div w:id="1940721517">
      <w:bodyDiv w:val="1"/>
      <w:marLeft w:val="0"/>
      <w:marRight w:val="0"/>
      <w:marTop w:val="0"/>
      <w:marBottom w:val="0"/>
      <w:divBdr>
        <w:top w:val="none" w:sz="0" w:space="0" w:color="auto"/>
        <w:left w:val="none" w:sz="0" w:space="0" w:color="auto"/>
        <w:bottom w:val="none" w:sz="0" w:space="0" w:color="auto"/>
        <w:right w:val="none" w:sz="0" w:space="0" w:color="auto"/>
      </w:divBdr>
    </w:div>
    <w:div w:id="1944262457">
      <w:bodyDiv w:val="1"/>
      <w:marLeft w:val="0"/>
      <w:marRight w:val="0"/>
      <w:marTop w:val="0"/>
      <w:marBottom w:val="0"/>
      <w:divBdr>
        <w:top w:val="none" w:sz="0" w:space="0" w:color="auto"/>
        <w:left w:val="none" w:sz="0" w:space="0" w:color="auto"/>
        <w:bottom w:val="none" w:sz="0" w:space="0" w:color="auto"/>
        <w:right w:val="none" w:sz="0" w:space="0" w:color="auto"/>
      </w:divBdr>
    </w:div>
    <w:div w:id="1944410095">
      <w:bodyDiv w:val="1"/>
      <w:marLeft w:val="0"/>
      <w:marRight w:val="0"/>
      <w:marTop w:val="0"/>
      <w:marBottom w:val="0"/>
      <w:divBdr>
        <w:top w:val="none" w:sz="0" w:space="0" w:color="auto"/>
        <w:left w:val="none" w:sz="0" w:space="0" w:color="auto"/>
        <w:bottom w:val="none" w:sz="0" w:space="0" w:color="auto"/>
        <w:right w:val="none" w:sz="0" w:space="0" w:color="auto"/>
      </w:divBdr>
    </w:div>
    <w:div w:id="1944603221">
      <w:bodyDiv w:val="1"/>
      <w:marLeft w:val="0"/>
      <w:marRight w:val="0"/>
      <w:marTop w:val="0"/>
      <w:marBottom w:val="0"/>
      <w:divBdr>
        <w:top w:val="none" w:sz="0" w:space="0" w:color="auto"/>
        <w:left w:val="none" w:sz="0" w:space="0" w:color="auto"/>
        <w:bottom w:val="none" w:sz="0" w:space="0" w:color="auto"/>
        <w:right w:val="none" w:sz="0" w:space="0" w:color="auto"/>
      </w:divBdr>
    </w:div>
    <w:div w:id="1944848038">
      <w:bodyDiv w:val="1"/>
      <w:marLeft w:val="0"/>
      <w:marRight w:val="0"/>
      <w:marTop w:val="0"/>
      <w:marBottom w:val="0"/>
      <w:divBdr>
        <w:top w:val="none" w:sz="0" w:space="0" w:color="auto"/>
        <w:left w:val="none" w:sz="0" w:space="0" w:color="auto"/>
        <w:bottom w:val="none" w:sz="0" w:space="0" w:color="auto"/>
        <w:right w:val="none" w:sz="0" w:space="0" w:color="auto"/>
      </w:divBdr>
    </w:div>
    <w:div w:id="1944921607">
      <w:bodyDiv w:val="1"/>
      <w:marLeft w:val="0"/>
      <w:marRight w:val="0"/>
      <w:marTop w:val="0"/>
      <w:marBottom w:val="0"/>
      <w:divBdr>
        <w:top w:val="none" w:sz="0" w:space="0" w:color="auto"/>
        <w:left w:val="none" w:sz="0" w:space="0" w:color="auto"/>
        <w:bottom w:val="none" w:sz="0" w:space="0" w:color="auto"/>
        <w:right w:val="none" w:sz="0" w:space="0" w:color="auto"/>
      </w:divBdr>
    </w:div>
    <w:div w:id="1946573058">
      <w:bodyDiv w:val="1"/>
      <w:marLeft w:val="0"/>
      <w:marRight w:val="0"/>
      <w:marTop w:val="0"/>
      <w:marBottom w:val="0"/>
      <w:divBdr>
        <w:top w:val="none" w:sz="0" w:space="0" w:color="auto"/>
        <w:left w:val="none" w:sz="0" w:space="0" w:color="auto"/>
        <w:bottom w:val="none" w:sz="0" w:space="0" w:color="auto"/>
        <w:right w:val="none" w:sz="0" w:space="0" w:color="auto"/>
      </w:divBdr>
    </w:div>
    <w:div w:id="1947156681">
      <w:bodyDiv w:val="1"/>
      <w:marLeft w:val="0"/>
      <w:marRight w:val="0"/>
      <w:marTop w:val="0"/>
      <w:marBottom w:val="0"/>
      <w:divBdr>
        <w:top w:val="none" w:sz="0" w:space="0" w:color="auto"/>
        <w:left w:val="none" w:sz="0" w:space="0" w:color="auto"/>
        <w:bottom w:val="none" w:sz="0" w:space="0" w:color="auto"/>
        <w:right w:val="none" w:sz="0" w:space="0" w:color="auto"/>
      </w:divBdr>
    </w:div>
    <w:div w:id="1948346120">
      <w:bodyDiv w:val="1"/>
      <w:marLeft w:val="0"/>
      <w:marRight w:val="0"/>
      <w:marTop w:val="0"/>
      <w:marBottom w:val="0"/>
      <w:divBdr>
        <w:top w:val="none" w:sz="0" w:space="0" w:color="auto"/>
        <w:left w:val="none" w:sz="0" w:space="0" w:color="auto"/>
        <w:bottom w:val="none" w:sz="0" w:space="0" w:color="auto"/>
        <w:right w:val="none" w:sz="0" w:space="0" w:color="auto"/>
      </w:divBdr>
    </w:div>
    <w:div w:id="1949460622">
      <w:bodyDiv w:val="1"/>
      <w:marLeft w:val="0"/>
      <w:marRight w:val="0"/>
      <w:marTop w:val="0"/>
      <w:marBottom w:val="0"/>
      <w:divBdr>
        <w:top w:val="none" w:sz="0" w:space="0" w:color="auto"/>
        <w:left w:val="none" w:sz="0" w:space="0" w:color="auto"/>
        <w:bottom w:val="none" w:sz="0" w:space="0" w:color="auto"/>
        <w:right w:val="none" w:sz="0" w:space="0" w:color="auto"/>
      </w:divBdr>
    </w:div>
    <w:div w:id="1949698757">
      <w:bodyDiv w:val="1"/>
      <w:marLeft w:val="0"/>
      <w:marRight w:val="0"/>
      <w:marTop w:val="0"/>
      <w:marBottom w:val="0"/>
      <w:divBdr>
        <w:top w:val="none" w:sz="0" w:space="0" w:color="auto"/>
        <w:left w:val="none" w:sz="0" w:space="0" w:color="auto"/>
        <w:bottom w:val="none" w:sz="0" w:space="0" w:color="auto"/>
        <w:right w:val="none" w:sz="0" w:space="0" w:color="auto"/>
      </w:divBdr>
    </w:div>
    <w:div w:id="1951278938">
      <w:bodyDiv w:val="1"/>
      <w:marLeft w:val="0"/>
      <w:marRight w:val="0"/>
      <w:marTop w:val="0"/>
      <w:marBottom w:val="0"/>
      <w:divBdr>
        <w:top w:val="none" w:sz="0" w:space="0" w:color="auto"/>
        <w:left w:val="none" w:sz="0" w:space="0" w:color="auto"/>
        <w:bottom w:val="none" w:sz="0" w:space="0" w:color="auto"/>
        <w:right w:val="none" w:sz="0" w:space="0" w:color="auto"/>
      </w:divBdr>
    </w:div>
    <w:div w:id="1953322446">
      <w:bodyDiv w:val="1"/>
      <w:marLeft w:val="0"/>
      <w:marRight w:val="0"/>
      <w:marTop w:val="0"/>
      <w:marBottom w:val="0"/>
      <w:divBdr>
        <w:top w:val="none" w:sz="0" w:space="0" w:color="auto"/>
        <w:left w:val="none" w:sz="0" w:space="0" w:color="auto"/>
        <w:bottom w:val="none" w:sz="0" w:space="0" w:color="auto"/>
        <w:right w:val="none" w:sz="0" w:space="0" w:color="auto"/>
      </w:divBdr>
    </w:div>
    <w:div w:id="1953702471">
      <w:bodyDiv w:val="1"/>
      <w:marLeft w:val="0"/>
      <w:marRight w:val="0"/>
      <w:marTop w:val="0"/>
      <w:marBottom w:val="0"/>
      <w:divBdr>
        <w:top w:val="none" w:sz="0" w:space="0" w:color="auto"/>
        <w:left w:val="none" w:sz="0" w:space="0" w:color="auto"/>
        <w:bottom w:val="none" w:sz="0" w:space="0" w:color="auto"/>
        <w:right w:val="none" w:sz="0" w:space="0" w:color="auto"/>
      </w:divBdr>
    </w:div>
    <w:div w:id="1953707160">
      <w:bodyDiv w:val="1"/>
      <w:marLeft w:val="0"/>
      <w:marRight w:val="0"/>
      <w:marTop w:val="0"/>
      <w:marBottom w:val="0"/>
      <w:divBdr>
        <w:top w:val="none" w:sz="0" w:space="0" w:color="auto"/>
        <w:left w:val="none" w:sz="0" w:space="0" w:color="auto"/>
        <w:bottom w:val="none" w:sz="0" w:space="0" w:color="auto"/>
        <w:right w:val="none" w:sz="0" w:space="0" w:color="auto"/>
      </w:divBdr>
    </w:div>
    <w:div w:id="1954633036">
      <w:bodyDiv w:val="1"/>
      <w:marLeft w:val="0"/>
      <w:marRight w:val="0"/>
      <w:marTop w:val="0"/>
      <w:marBottom w:val="0"/>
      <w:divBdr>
        <w:top w:val="none" w:sz="0" w:space="0" w:color="auto"/>
        <w:left w:val="none" w:sz="0" w:space="0" w:color="auto"/>
        <w:bottom w:val="none" w:sz="0" w:space="0" w:color="auto"/>
        <w:right w:val="none" w:sz="0" w:space="0" w:color="auto"/>
      </w:divBdr>
    </w:div>
    <w:div w:id="1955599381">
      <w:bodyDiv w:val="1"/>
      <w:marLeft w:val="0"/>
      <w:marRight w:val="0"/>
      <w:marTop w:val="0"/>
      <w:marBottom w:val="0"/>
      <w:divBdr>
        <w:top w:val="none" w:sz="0" w:space="0" w:color="auto"/>
        <w:left w:val="none" w:sz="0" w:space="0" w:color="auto"/>
        <w:bottom w:val="none" w:sz="0" w:space="0" w:color="auto"/>
        <w:right w:val="none" w:sz="0" w:space="0" w:color="auto"/>
      </w:divBdr>
    </w:div>
    <w:div w:id="1956011840">
      <w:bodyDiv w:val="1"/>
      <w:marLeft w:val="0"/>
      <w:marRight w:val="0"/>
      <w:marTop w:val="0"/>
      <w:marBottom w:val="0"/>
      <w:divBdr>
        <w:top w:val="none" w:sz="0" w:space="0" w:color="auto"/>
        <w:left w:val="none" w:sz="0" w:space="0" w:color="auto"/>
        <w:bottom w:val="none" w:sz="0" w:space="0" w:color="auto"/>
        <w:right w:val="none" w:sz="0" w:space="0" w:color="auto"/>
      </w:divBdr>
    </w:div>
    <w:div w:id="1956523379">
      <w:bodyDiv w:val="1"/>
      <w:marLeft w:val="0"/>
      <w:marRight w:val="0"/>
      <w:marTop w:val="0"/>
      <w:marBottom w:val="0"/>
      <w:divBdr>
        <w:top w:val="none" w:sz="0" w:space="0" w:color="auto"/>
        <w:left w:val="none" w:sz="0" w:space="0" w:color="auto"/>
        <w:bottom w:val="none" w:sz="0" w:space="0" w:color="auto"/>
        <w:right w:val="none" w:sz="0" w:space="0" w:color="auto"/>
      </w:divBdr>
    </w:div>
    <w:div w:id="1956595528">
      <w:bodyDiv w:val="1"/>
      <w:marLeft w:val="0"/>
      <w:marRight w:val="0"/>
      <w:marTop w:val="0"/>
      <w:marBottom w:val="0"/>
      <w:divBdr>
        <w:top w:val="none" w:sz="0" w:space="0" w:color="auto"/>
        <w:left w:val="none" w:sz="0" w:space="0" w:color="auto"/>
        <w:bottom w:val="none" w:sz="0" w:space="0" w:color="auto"/>
        <w:right w:val="none" w:sz="0" w:space="0" w:color="auto"/>
      </w:divBdr>
    </w:div>
    <w:div w:id="1957448882">
      <w:bodyDiv w:val="1"/>
      <w:marLeft w:val="0"/>
      <w:marRight w:val="0"/>
      <w:marTop w:val="0"/>
      <w:marBottom w:val="0"/>
      <w:divBdr>
        <w:top w:val="none" w:sz="0" w:space="0" w:color="auto"/>
        <w:left w:val="none" w:sz="0" w:space="0" w:color="auto"/>
        <w:bottom w:val="none" w:sz="0" w:space="0" w:color="auto"/>
        <w:right w:val="none" w:sz="0" w:space="0" w:color="auto"/>
      </w:divBdr>
    </w:div>
    <w:div w:id="1958757997">
      <w:bodyDiv w:val="1"/>
      <w:marLeft w:val="0"/>
      <w:marRight w:val="0"/>
      <w:marTop w:val="0"/>
      <w:marBottom w:val="0"/>
      <w:divBdr>
        <w:top w:val="none" w:sz="0" w:space="0" w:color="auto"/>
        <w:left w:val="none" w:sz="0" w:space="0" w:color="auto"/>
        <w:bottom w:val="none" w:sz="0" w:space="0" w:color="auto"/>
        <w:right w:val="none" w:sz="0" w:space="0" w:color="auto"/>
      </w:divBdr>
    </w:div>
    <w:div w:id="1958827307">
      <w:bodyDiv w:val="1"/>
      <w:marLeft w:val="0"/>
      <w:marRight w:val="0"/>
      <w:marTop w:val="0"/>
      <w:marBottom w:val="0"/>
      <w:divBdr>
        <w:top w:val="none" w:sz="0" w:space="0" w:color="auto"/>
        <w:left w:val="none" w:sz="0" w:space="0" w:color="auto"/>
        <w:bottom w:val="none" w:sz="0" w:space="0" w:color="auto"/>
        <w:right w:val="none" w:sz="0" w:space="0" w:color="auto"/>
      </w:divBdr>
    </w:div>
    <w:div w:id="1960450506">
      <w:bodyDiv w:val="1"/>
      <w:marLeft w:val="0"/>
      <w:marRight w:val="0"/>
      <w:marTop w:val="0"/>
      <w:marBottom w:val="0"/>
      <w:divBdr>
        <w:top w:val="none" w:sz="0" w:space="0" w:color="auto"/>
        <w:left w:val="none" w:sz="0" w:space="0" w:color="auto"/>
        <w:bottom w:val="none" w:sz="0" w:space="0" w:color="auto"/>
        <w:right w:val="none" w:sz="0" w:space="0" w:color="auto"/>
      </w:divBdr>
    </w:div>
    <w:div w:id="1962299255">
      <w:bodyDiv w:val="1"/>
      <w:marLeft w:val="0"/>
      <w:marRight w:val="0"/>
      <w:marTop w:val="0"/>
      <w:marBottom w:val="0"/>
      <w:divBdr>
        <w:top w:val="none" w:sz="0" w:space="0" w:color="auto"/>
        <w:left w:val="none" w:sz="0" w:space="0" w:color="auto"/>
        <w:bottom w:val="none" w:sz="0" w:space="0" w:color="auto"/>
        <w:right w:val="none" w:sz="0" w:space="0" w:color="auto"/>
      </w:divBdr>
    </w:div>
    <w:div w:id="1963535417">
      <w:bodyDiv w:val="1"/>
      <w:marLeft w:val="0"/>
      <w:marRight w:val="0"/>
      <w:marTop w:val="0"/>
      <w:marBottom w:val="0"/>
      <w:divBdr>
        <w:top w:val="none" w:sz="0" w:space="0" w:color="auto"/>
        <w:left w:val="none" w:sz="0" w:space="0" w:color="auto"/>
        <w:bottom w:val="none" w:sz="0" w:space="0" w:color="auto"/>
        <w:right w:val="none" w:sz="0" w:space="0" w:color="auto"/>
      </w:divBdr>
    </w:div>
    <w:div w:id="1963656691">
      <w:bodyDiv w:val="1"/>
      <w:marLeft w:val="0"/>
      <w:marRight w:val="0"/>
      <w:marTop w:val="0"/>
      <w:marBottom w:val="0"/>
      <w:divBdr>
        <w:top w:val="none" w:sz="0" w:space="0" w:color="auto"/>
        <w:left w:val="none" w:sz="0" w:space="0" w:color="auto"/>
        <w:bottom w:val="none" w:sz="0" w:space="0" w:color="auto"/>
        <w:right w:val="none" w:sz="0" w:space="0" w:color="auto"/>
      </w:divBdr>
    </w:div>
    <w:div w:id="1965310064">
      <w:bodyDiv w:val="1"/>
      <w:marLeft w:val="0"/>
      <w:marRight w:val="0"/>
      <w:marTop w:val="0"/>
      <w:marBottom w:val="0"/>
      <w:divBdr>
        <w:top w:val="none" w:sz="0" w:space="0" w:color="auto"/>
        <w:left w:val="none" w:sz="0" w:space="0" w:color="auto"/>
        <w:bottom w:val="none" w:sz="0" w:space="0" w:color="auto"/>
        <w:right w:val="none" w:sz="0" w:space="0" w:color="auto"/>
      </w:divBdr>
    </w:div>
    <w:div w:id="1965765890">
      <w:bodyDiv w:val="1"/>
      <w:marLeft w:val="0"/>
      <w:marRight w:val="0"/>
      <w:marTop w:val="0"/>
      <w:marBottom w:val="0"/>
      <w:divBdr>
        <w:top w:val="none" w:sz="0" w:space="0" w:color="auto"/>
        <w:left w:val="none" w:sz="0" w:space="0" w:color="auto"/>
        <w:bottom w:val="none" w:sz="0" w:space="0" w:color="auto"/>
        <w:right w:val="none" w:sz="0" w:space="0" w:color="auto"/>
      </w:divBdr>
    </w:div>
    <w:div w:id="1966428412">
      <w:bodyDiv w:val="1"/>
      <w:marLeft w:val="0"/>
      <w:marRight w:val="0"/>
      <w:marTop w:val="0"/>
      <w:marBottom w:val="0"/>
      <w:divBdr>
        <w:top w:val="none" w:sz="0" w:space="0" w:color="auto"/>
        <w:left w:val="none" w:sz="0" w:space="0" w:color="auto"/>
        <w:bottom w:val="none" w:sz="0" w:space="0" w:color="auto"/>
        <w:right w:val="none" w:sz="0" w:space="0" w:color="auto"/>
      </w:divBdr>
    </w:div>
    <w:div w:id="1967353207">
      <w:bodyDiv w:val="1"/>
      <w:marLeft w:val="0"/>
      <w:marRight w:val="0"/>
      <w:marTop w:val="0"/>
      <w:marBottom w:val="0"/>
      <w:divBdr>
        <w:top w:val="none" w:sz="0" w:space="0" w:color="auto"/>
        <w:left w:val="none" w:sz="0" w:space="0" w:color="auto"/>
        <w:bottom w:val="none" w:sz="0" w:space="0" w:color="auto"/>
        <w:right w:val="none" w:sz="0" w:space="0" w:color="auto"/>
      </w:divBdr>
    </w:div>
    <w:div w:id="1967393710">
      <w:bodyDiv w:val="1"/>
      <w:marLeft w:val="0"/>
      <w:marRight w:val="0"/>
      <w:marTop w:val="0"/>
      <w:marBottom w:val="0"/>
      <w:divBdr>
        <w:top w:val="none" w:sz="0" w:space="0" w:color="auto"/>
        <w:left w:val="none" w:sz="0" w:space="0" w:color="auto"/>
        <w:bottom w:val="none" w:sz="0" w:space="0" w:color="auto"/>
        <w:right w:val="none" w:sz="0" w:space="0" w:color="auto"/>
      </w:divBdr>
    </w:div>
    <w:div w:id="1969820267">
      <w:bodyDiv w:val="1"/>
      <w:marLeft w:val="0"/>
      <w:marRight w:val="0"/>
      <w:marTop w:val="0"/>
      <w:marBottom w:val="0"/>
      <w:divBdr>
        <w:top w:val="none" w:sz="0" w:space="0" w:color="auto"/>
        <w:left w:val="none" w:sz="0" w:space="0" w:color="auto"/>
        <w:bottom w:val="none" w:sz="0" w:space="0" w:color="auto"/>
        <w:right w:val="none" w:sz="0" w:space="0" w:color="auto"/>
      </w:divBdr>
    </w:div>
    <w:div w:id="1970503352">
      <w:bodyDiv w:val="1"/>
      <w:marLeft w:val="0"/>
      <w:marRight w:val="0"/>
      <w:marTop w:val="0"/>
      <w:marBottom w:val="0"/>
      <w:divBdr>
        <w:top w:val="none" w:sz="0" w:space="0" w:color="auto"/>
        <w:left w:val="none" w:sz="0" w:space="0" w:color="auto"/>
        <w:bottom w:val="none" w:sz="0" w:space="0" w:color="auto"/>
        <w:right w:val="none" w:sz="0" w:space="0" w:color="auto"/>
      </w:divBdr>
    </w:div>
    <w:div w:id="1971134595">
      <w:bodyDiv w:val="1"/>
      <w:marLeft w:val="0"/>
      <w:marRight w:val="0"/>
      <w:marTop w:val="0"/>
      <w:marBottom w:val="0"/>
      <w:divBdr>
        <w:top w:val="none" w:sz="0" w:space="0" w:color="auto"/>
        <w:left w:val="none" w:sz="0" w:space="0" w:color="auto"/>
        <w:bottom w:val="none" w:sz="0" w:space="0" w:color="auto"/>
        <w:right w:val="none" w:sz="0" w:space="0" w:color="auto"/>
      </w:divBdr>
    </w:div>
    <w:div w:id="1972780130">
      <w:bodyDiv w:val="1"/>
      <w:marLeft w:val="0"/>
      <w:marRight w:val="0"/>
      <w:marTop w:val="0"/>
      <w:marBottom w:val="0"/>
      <w:divBdr>
        <w:top w:val="none" w:sz="0" w:space="0" w:color="auto"/>
        <w:left w:val="none" w:sz="0" w:space="0" w:color="auto"/>
        <w:bottom w:val="none" w:sz="0" w:space="0" w:color="auto"/>
        <w:right w:val="none" w:sz="0" w:space="0" w:color="auto"/>
      </w:divBdr>
    </w:div>
    <w:div w:id="1974366119">
      <w:bodyDiv w:val="1"/>
      <w:marLeft w:val="0"/>
      <w:marRight w:val="0"/>
      <w:marTop w:val="0"/>
      <w:marBottom w:val="0"/>
      <w:divBdr>
        <w:top w:val="none" w:sz="0" w:space="0" w:color="auto"/>
        <w:left w:val="none" w:sz="0" w:space="0" w:color="auto"/>
        <w:bottom w:val="none" w:sz="0" w:space="0" w:color="auto"/>
        <w:right w:val="none" w:sz="0" w:space="0" w:color="auto"/>
      </w:divBdr>
    </w:div>
    <w:div w:id="1975014416">
      <w:bodyDiv w:val="1"/>
      <w:marLeft w:val="0"/>
      <w:marRight w:val="0"/>
      <w:marTop w:val="0"/>
      <w:marBottom w:val="0"/>
      <w:divBdr>
        <w:top w:val="none" w:sz="0" w:space="0" w:color="auto"/>
        <w:left w:val="none" w:sz="0" w:space="0" w:color="auto"/>
        <w:bottom w:val="none" w:sz="0" w:space="0" w:color="auto"/>
        <w:right w:val="none" w:sz="0" w:space="0" w:color="auto"/>
      </w:divBdr>
    </w:div>
    <w:div w:id="1975451865">
      <w:bodyDiv w:val="1"/>
      <w:marLeft w:val="0"/>
      <w:marRight w:val="0"/>
      <w:marTop w:val="0"/>
      <w:marBottom w:val="0"/>
      <w:divBdr>
        <w:top w:val="none" w:sz="0" w:space="0" w:color="auto"/>
        <w:left w:val="none" w:sz="0" w:space="0" w:color="auto"/>
        <w:bottom w:val="none" w:sz="0" w:space="0" w:color="auto"/>
        <w:right w:val="none" w:sz="0" w:space="0" w:color="auto"/>
      </w:divBdr>
    </w:div>
    <w:div w:id="1976568658">
      <w:bodyDiv w:val="1"/>
      <w:marLeft w:val="0"/>
      <w:marRight w:val="0"/>
      <w:marTop w:val="0"/>
      <w:marBottom w:val="0"/>
      <w:divBdr>
        <w:top w:val="none" w:sz="0" w:space="0" w:color="auto"/>
        <w:left w:val="none" w:sz="0" w:space="0" w:color="auto"/>
        <w:bottom w:val="none" w:sz="0" w:space="0" w:color="auto"/>
        <w:right w:val="none" w:sz="0" w:space="0" w:color="auto"/>
      </w:divBdr>
    </w:div>
    <w:div w:id="1976713266">
      <w:bodyDiv w:val="1"/>
      <w:marLeft w:val="0"/>
      <w:marRight w:val="0"/>
      <w:marTop w:val="0"/>
      <w:marBottom w:val="0"/>
      <w:divBdr>
        <w:top w:val="none" w:sz="0" w:space="0" w:color="auto"/>
        <w:left w:val="none" w:sz="0" w:space="0" w:color="auto"/>
        <w:bottom w:val="none" w:sz="0" w:space="0" w:color="auto"/>
        <w:right w:val="none" w:sz="0" w:space="0" w:color="auto"/>
      </w:divBdr>
    </w:div>
    <w:div w:id="1980454547">
      <w:bodyDiv w:val="1"/>
      <w:marLeft w:val="0"/>
      <w:marRight w:val="0"/>
      <w:marTop w:val="0"/>
      <w:marBottom w:val="0"/>
      <w:divBdr>
        <w:top w:val="none" w:sz="0" w:space="0" w:color="auto"/>
        <w:left w:val="none" w:sz="0" w:space="0" w:color="auto"/>
        <w:bottom w:val="none" w:sz="0" w:space="0" w:color="auto"/>
        <w:right w:val="none" w:sz="0" w:space="0" w:color="auto"/>
      </w:divBdr>
    </w:div>
    <w:div w:id="1980987537">
      <w:bodyDiv w:val="1"/>
      <w:marLeft w:val="0"/>
      <w:marRight w:val="0"/>
      <w:marTop w:val="0"/>
      <w:marBottom w:val="0"/>
      <w:divBdr>
        <w:top w:val="none" w:sz="0" w:space="0" w:color="auto"/>
        <w:left w:val="none" w:sz="0" w:space="0" w:color="auto"/>
        <w:bottom w:val="none" w:sz="0" w:space="0" w:color="auto"/>
        <w:right w:val="none" w:sz="0" w:space="0" w:color="auto"/>
      </w:divBdr>
    </w:div>
    <w:div w:id="1982340620">
      <w:bodyDiv w:val="1"/>
      <w:marLeft w:val="0"/>
      <w:marRight w:val="0"/>
      <w:marTop w:val="0"/>
      <w:marBottom w:val="0"/>
      <w:divBdr>
        <w:top w:val="none" w:sz="0" w:space="0" w:color="auto"/>
        <w:left w:val="none" w:sz="0" w:space="0" w:color="auto"/>
        <w:bottom w:val="none" w:sz="0" w:space="0" w:color="auto"/>
        <w:right w:val="none" w:sz="0" w:space="0" w:color="auto"/>
      </w:divBdr>
    </w:div>
    <w:div w:id="1983341485">
      <w:bodyDiv w:val="1"/>
      <w:marLeft w:val="0"/>
      <w:marRight w:val="0"/>
      <w:marTop w:val="0"/>
      <w:marBottom w:val="0"/>
      <w:divBdr>
        <w:top w:val="none" w:sz="0" w:space="0" w:color="auto"/>
        <w:left w:val="none" w:sz="0" w:space="0" w:color="auto"/>
        <w:bottom w:val="none" w:sz="0" w:space="0" w:color="auto"/>
        <w:right w:val="none" w:sz="0" w:space="0" w:color="auto"/>
      </w:divBdr>
    </w:div>
    <w:div w:id="1987395729">
      <w:bodyDiv w:val="1"/>
      <w:marLeft w:val="0"/>
      <w:marRight w:val="0"/>
      <w:marTop w:val="0"/>
      <w:marBottom w:val="0"/>
      <w:divBdr>
        <w:top w:val="none" w:sz="0" w:space="0" w:color="auto"/>
        <w:left w:val="none" w:sz="0" w:space="0" w:color="auto"/>
        <w:bottom w:val="none" w:sz="0" w:space="0" w:color="auto"/>
        <w:right w:val="none" w:sz="0" w:space="0" w:color="auto"/>
      </w:divBdr>
    </w:div>
    <w:div w:id="1987541594">
      <w:bodyDiv w:val="1"/>
      <w:marLeft w:val="0"/>
      <w:marRight w:val="0"/>
      <w:marTop w:val="0"/>
      <w:marBottom w:val="0"/>
      <w:divBdr>
        <w:top w:val="none" w:sz="0" w:space="0" w:color="auto"/>
        <w:left w:val="none" w:sz="0" w:space="0" w:color="auto"/>
        <w:bottom w:val="none" w:sz="0" w:space="0" w:color="auto"/>
        <w:right w:val="none" w:sz="0" w:space="0" w:color="auto"/>
      </w:divBdr>
    </w:div>
    <w:div w:id="1987854043">
      <w:bodyDiv w:val="1"/>
      <w:marLeft w:val="0"/>
      <w:marRight w:val="0"/>
      <w:marTop w:val="0"/>
      <w:marBottom w:val="0"/>
      <w:divBdr>
        <w:top w:val="none" w:sz="0" w:space="0" w:color="auto"/>
        <w:left w:val="none" w:sz="0" w:space="0" w:color="auto"/>
        <w:bottom w:val="none" w:sz="0" w:space="0" w:color="auto"/>
        <w:right w:val="none" w:sz="0" w:space="0" w:color="auto"/>
      </w:divBdr>
    </w:div>
    <w:div w:id="1989355904">
      <w:bodyDiv w:val="1"/>
      <w:marLeft w:val="0"/>
      <w:marRight w:val="0"/>
      <w:marTop w:val="0"/>
      <w:marBottom w:val="0"/>
      <w:divBdr>
        <w:top w:val="none" w:sz="0" w:space="0" w:color="auto"/>
        <w:left w:val="none" w:sz="0" w:space="0" w:color="auto"/>
        <w:bottom w:val="none" w:sz="0" w:space="0" w:color="auto"/>
        <w:right w:val="none" w:sz="0" w:space="0" w:color="auto"/>
      </w:divBdr>
    </w:div>
    <w:div w:id="1989674678">
      <w:bodyDiv w:val="1"/>
      <w:marLeft w:val="0"/>
      <w:marRight w:val="0"/>
      <w:marTop w:val="0"/>
      <w:marBottom w:val="0"/>
      <w:divBdr>
        <w:top w:val="none" w:sz="0" w:space="0" w:color="auto"/>
        <w:left w:val="none" w:sz="0" w:space="0" w:color="auto"/>
        <w:bottom w:val="none" w:sz="0" w:space="0" w:color="auto"/>
        <w:right w:val="none" w:sz="0" w:space="0" w:color="auto"/>
      </w:divBdr>
    </w:div>
    <w:div w:id="1990136248">
      <w:bodyDiv w:val="1"/>
      <w:marLeft w:val="0"/>
      <w:marRight w:val="0"/>
      <w:marTop w:val="0"/>
      <w:marBottom w:val="0"/>
      <w:divBdr>
        <w:top w:val="none" w:sz="0" w:space="0" w:color="auto"/>
        <w:left w:val="none" w:sz="0" w:space="0" w:color="auto"/>
        <w:bottom w:val="none" w:sz="0" w:space="0" w:color="auto"/>
        <w:right w:val="none" w:sz="0" w:space="0" w:color="auto"/>
      </w:divBdr>
    </w:div>
    <w:div w:id="1991207352">
      <w:bodyDiv w:val="1"/>
      <w:marLeft w:val="0"/>
      <w:marRight w:val="0"/>
      <w:marTop w:val="0"/>
      <w:marBottom w:val="0"/>
      <w:divBdr>
        <w:top w:val="none" w:sz="0" w:space="0" w:color="auto"/>
        <w:left w:val="none" w:sz="0" w:space="0" w:color="auto"/>
        <w:bottom w:val="none" w:sz="0" w:space="0" w:color="auto"/>
        <w:right w:val="none" w:sz="0" w:space="0" w:color="auto"/>
      </w:divBdr>
    </w:div>
    <w:div w:id="1991593464">
      <w:bodyDiv w:val="1"/>
      <w:marLeft w:val="0"/>
      <w:marRight w:val="0"/>
      <w:marTop w:val="0"/>
      <w:marBottom w:val="0"/>
      <w:divBdr>
        <w:top w:val="none" w:sz="0" w:space="0" w:color="auto"/>
        <w:left w:val="none" w:sz="0" w:space="0" w:color="auto"/>
        <w:bottom w:val="none" w:sz="0" w:space="0" w:color="auto"/>
        <w:right w:val="none" w:sz="0" w:space="0" w:color="auto"/>
      </w:divBdr>
    </w:div>
    <w:div w:id="1991641148">
      <w:bodyDiv w:val="1"/>
      <w:marLeft w:val="0"/>
      <w:marRight w:val="0"/>
      <w:marTop w:val="0"/>
      <w:marBottom w:val="0"/>
      <w:divBdr>
        <w:top w:val="none" w:sz="0" w:space="0" w:color="auto"/>
        <w:left w:val="none" w:sz="0" w:space="0" w:color="auto"/>
        <w:bottom w:val="none" w:sz="0" w:space="0" w:color="auto"/>
        <w:right w:val="none" w:sz="0" w:space="0" w:color="auto"/>
      </w:divBdr>
    </w:div>
    <w:div w:id="1991975797">
      <w:bodyDiv w:val="1"/>
      <w:marLeft w:val="0"/>
      <w:marRight w:val="0"/>
      <w:marTop w:val="0"/>
      <w:marBottom w:val="0"/>
      <w:divBdr>
        <w:top w:val="none" w:sz="0" w:space="0" w:color="auto"/>
        <w:left w:val="none" w:sz="0" w:space="0" w:color="auto"/>
        <w:bottom w:val="none" w:sz="0" w:space="0" w:color="auto"/>
        <w:right w:val="none" w:sz="0" w:space="0" w:color="auto"/>
      </w:divBdr>
    </w:div>
    <w:div w:id="1994868855">
      <w:bodyDiv w:val="1"/>
      <w:marLeft w:val="0"/>
      <w:marRight w:val="0"/>
      <w:marTop w:val="0"/>
      <w:marBottom w:val="0"/>
      <w:divBdr>
        <w:top w:val="none" w:sz="0" w:space="0" w:color="auto"/>
        <w:left w:val="none" w:sz="0" w:space="0" w:color="auto"/>
        <w:bottom w:val="none" w:sz="0" w:space="0" w:color="auto"/>
        <w:right w:val="none" w:sz="0" w:space="0" w:color="auto"/>
      </w:divBdr>
    </w:div>
    <w:div w:id="1994945824">
      <w:bodyDiv w:val="1"/>
      <w:marLeft w:val="0"/>
      <w:marRight w:val="0"/>
      <w:marTop w:val="0"/>
      <w:marBottom w:val="0"/>
      <w:divBdr>
        <w:top w:val="none" w:sz="0" w:space="0" w:color="auto"/>
        <w:left w:val="none" w:sz="0" w:space="0" w:color="auto"/>
        <w:bottom w:val="none" w:sz="0" w:space="0" w:color="auto"/>
        <w:right w:val="none" w:sz="0" w:space="0" w:color="auto"/>
      </w:divBdr>
    </w:div>
    <w:div w:id="1996227778">
      <w:bodyDiv w:val="1"/>
      <w:marLeft w:val="0"/>
      <w:marRight w:val="0"/>
      <w:marTop w:val="0"/>
      <w:marBottom w:val="0"/>
      <w:divBdr>
        <w:top w:val="none" w:sz="0" w:space="0" w:color="auto"/>
        <w:left w:val="none" w:sz="0" w:space="0" w:color="auto"/>
        <w:bottom w:val="none" w:sz="0" w:space="0" w:color="auto"/>
        <w:right w:val="none" w:sz="0" w:space="0" w:color="auto"/>
      </w:divBdr>
    </w:div>
    <w:div w:id="1996646823">
      <w:bodyDiv w:val="1"/>
      <w:marLeft w:val="0"/>
      <w:marRight w:val="0"/>
      <w:marTop w:val="0"/>
      <w:marBottom w:val="0"/>
      <w:divBdr>
        <w:top w:val="none" w:sz="0" w:space="0" w:color="auto"/>
        <w:left w:val="none" w:sz="0" w:space="0" w:color="auto"/>
        <w:bottom w:val="none" w:sz="0" w:space="0" w:color="auto"/>
        <w:right w:val="none" w:sz="0" w:space="0" w:color="auto"/>
      </w:divBdr>
    </w:div>
    <w:div w:id="1999189558">
      <w:bodyDiv w:val="1"/>
      <w:marLeft w:val="0"/>
      <w:marRight w:val="0"/>
      <w:marTop w:val="0"/>
      <w:marBottom w:val="0"/>
      <w:divBdr>
        <w:top w:val="none" w:sz="0" w:space="0" w:color="auto"/>
        <w:left w:val="none" w:sz="0" w:space="0" w:color="auto"/>
        <w:bottom w:val="none" w:sz="0" w:space="0" w:color="auto"/>
        <w:right w:val="none" w:sz="0" w:space="0" w:color="auto"/>
      </w:divBdr>
    </w:div>
    <w:div w:id="1999334389">
      <w:bodyDiv w:val="1"/>
      <w:marLeft w:val="0"/>
      <w:marRight w:val="0"/>
      <w:marTop w:val="0"/>
      <w:marBottom w:val="0"/>
      <w:divBdr>
        <w:top w:val="none" w:sz="0" w:space="0" w:color="auto"/>
        <w:left w:val="none" w:sz="0" w:space="0" w:color="auto"/>
        <w:bottom w:val="none" w:sz="0" w:space="0" w:color="auto"/>
        <w:right w:val="none" w:sz="0" w:space="0" w:color="auto"/>
      </w:divBdr>
    </w:div>
    <w:div w:id="2001158798">
      <w:bodyDiv w:val="1"/>
      <w:marLeft w:val="0"/>
      <w:marRight w:val="0"/>
      <w:marTop w:val="0"/>
      <w:marBottom w:val="0"/>
      <w:divBdr>
        <w:top w:val="none" w:sz="0" w:space="0" w:color="auto"/>
        <w:left w:val="none" w:sz="0" w:space="0" w:color="auto"/>
        <w:bottom w:val="none" w:sz="0" w:space="0" w:color="auto"/>
        <w:right w:val="none" w:sz="0" w:space="0" w:color="auto"/>
      </w:divBdr>
    </w:div>
    <w:div w:id="2001273655">
      <w:bodyDiv w:val="1"/>
      <w:marLeft w:val="0"/>
      <w:marRight w:val="0"/>
      <w:marTop w:val="0"/>
      <w:marBottom w:val="0"/>
      <w:divBdr>
        <w:top w:val="none" w:sz="0" w:space="0" w:color="auto"/>
        <w:left w:val="none" w:sz="0" w:space="0" w:color="auto"/>
        <w:bottom w:val="none" w:sz="0" w:space="0" w:color="auto"/>
        <w:right w:val="none" w:sz="0" w:space="0" w:color="auto"/>
      </w:divBdr>
    </w:div>
    <w:div w:id="2002418520">
      <w:bodyDiv w:val="1"/>
      <w:marLeft w:val="0"/>
      <w:marRight w:val="0"/>
      <w:marTop w:val="0"/>
      <w:marBottom w:val="0"/>
      <w:divBdr>
        <w:top w:val="none" w:sz="0" w:space="0" w:color="auto"/>
        <w:left w:val="none" w:sz="0" w:space="0" w:color="auto"/>
        <w:bottom w:val="none" w:sz="0" w:space="0" w:color="auto"/>
        <w:right w:val="none" w:sz="0" w:space="0" w:color="auto"/>
      </w:divBdr>
    </w:div>
    <w:div w:id="2002535266">
      <w:bodyDiv w:val="1"/>
      <w:marLeft w:val="0"/>
      <w:marRight w:val="0"/>
      <w:marTop w:val="0"/>
      <w:marBottom w:val="0"/>
      <w:divBdr>
        <w:top w:val="none" w:sz="0" w:space="0" w:color="auto"/>
        <w:left w:val="none" w:sz="0" w:space="0" w:color="auto"/>
        <w:bottom w:val="none" w:sz="0" w:space="0" w:color="auto"/>
        <w:right w:val="none" w:sz="0" w:space="0" w:color="auto"/>
      </w:divBdr>
    </w:div>
    <w:div w:id="2003894741">
      <w:bodyDiv w:val="1"/>
      <w:marLeft w:val="0"/>
      <w:marRight w:val="0"/>
      <w:marTop w:val="0"/>
      <w:marBottom w:val="0"/>
      <w:divBdr>
        <w:top w:val="none" w:sz="0" w:space="0" w:color="auto"/>
        <w:left w:val="none" w:sz="0" w:space="0" w:color="auto"/>
        <w:bottom w:val="none" w:sz="0" w:space="0" w:color="auto"/>
        <w:right w:val="none" w:sz="0" w:space="0" w:color="auto"/>
      </w:divBdr>
    </w:div>
    <w:div w:id="2004048610">
      <w:bodyDiv w:val="1"/>
      <w:marLeft w:val="0"/>
      <w:marRight w:val="0"/>
      <w:marTop w:val="0"/>
      <w:marBottom w:val="0"/>
      <w:divBdr>
        <w:top w:val="none" w:sz="0" w:space="0" w:color="auto"/>
        <w:left w:val="none" w:sz="0" w:space="0" w:color="auto"/>
        <w:bottom w:val="none" w:sz="0" w:space="0" w:color="auto"/>
        <w:right w:val="none" w:sz="0" w:space="0" w:color="auto"/>
      </w:divBdr>
    </w:div>
    <w:div w:id="2004160069">
      <w:bodyDiv w:val="1"/>
      <w:marLeft w:val="0"/>
      <w:marRight w:val="0"/>
      <w:marTop w:val="0"/>
      <w:marBottom w:val="0"/>
      <w:divBdr>
        <w:top w:val="none" w:sz="0" w:space="0" w:color="auto"/>
        <w:left w:val="none" w:sz="0" w:space="0" w:color="auto"/>
        <w:bottom w:val="none" w:sz="0" w:space="0" w:color="auto"/>
        <w:right w:val="none" w:sz="0" w:space="0" w:color="auto"/>
      </w:divBdr>
    </w:div>
    <w:div w:id="2004354674">
      <w:bodyDiv w:val="1"/>
      <w:marLeft w:val="0"/>
      <w:marRight w:val="0"/>
      <w:marTop w:val="0"/>
      <w:marBottom w:val="0"/>
      <w:divBdr>
        <w:top w:val="none" w:sz="0" w:space="0" w:color="auto"/>
        <w:left w:val="none" w:sz="0" w:space="0" w:color="auto"/>
        <w:bottom w:val="none" w:sz="0" w:space="0" w:color="auto"/>
        <w:right w:val="none" w:sz="0" w:space="0" w:color="auto"/>
      </w:divBdr>
    </w:div>
    <w:div w:id="2004428604">
      <w:bodyDiv w:val="1"/>
      <w:marLeft w:val="0"/>
      <w:marRight w:val="0"/>
      <w:marTop w:val="0"/>
      <w:marBottom w:val="0"/>
      <w:divBdr>
        <w:top w:val="none" w:sz="0" w:space="0" w:color="auto"/>
        <w:left w:val="none" w:sz="0" w:space="0" w:color="auto"/>
        <w:bottom w:val="none" w:sz="0" w:space="0" w:color="auto"/>
        <w:right w:val="none" w:sz="0" w:space="0" w:color="auto"/>
      </w:divBdr>
    </w:div>
    <w:div w:id="2005015079">
      <w:bodyDiv w:val="1"/>
      <w:marLeft w:val="0"/>
      <w:marRight w:val="0"/>
      <w:marTop w:val="0"/>
      <w:marBottom w:val="0"/>
      <w:divBdr>
        <w:top w:val="none" w:sz="0" w:space="0" w:color="auto"/>
        <w:left w:val="none" w:sz="0" w:space="0" w:color="auto"/>
        <w:bottom w:val="none" w:sz="0" w:space="0" w:color="auto"/>
        <w:right w:val="none" w:sz="0" w:space="0" w:color="auto"/>
      </w:divBdr>
    </w:div>
    <w:div w:id="2008702752">
      <w:bodyDiv w:val="1"/>
      <w:marLeft w:val="0"/>
      <w:marRight w:val="0"/>
      <w:marTop w:val="0"/>
      <w:marBottom w:val="0"/>
      <w:divBdr>
        <w:top w:val="none" w:sz="0" w:space="0" w:color="auto"/>
        <w:left w:val="none" w:sz="0" w:space="0" w:color="auto"/>
        <w:bottom w:val="none" w:sz="0" w:space="0" w:color="auto"/>
        <w:right w:val="none" w:sz="0" w:space="0" w:color="auto"/>
      </w:divBdr>
    </w:div>
    <w:div w:id="2008821886">
      <w:bodyDiv w:val="1"/>
      <w:marLeft w:val="0"/>
      <w:marRight w:val="0"/>
      <w:marTop w:val="0"/>
      <w:marBottom w:val="0"/>
      <w:divBdr>
        <w:top w:val="none" w:sz="0" w:space="0" w:color="auto"/>
        <w:left w:val="none" w:sz="0" w:space="0" w:color="auto"/>
        <w:bottom w:val="none" w:sz="0" w:space="0" w:color="auto"/>
        <w:right w:val="none" w:sz="0" w:space="0" w:color="auto"/>
      </w:divBdr>
    </w:div>
    <w:div w:id="2009088892">
      <w:bodyDiv w:val="1"/>
      <w:marLeft w:val="0"/>
      <w:marRight w:val="0"/>
      <w:marTop w:val="0"/>
      <w:marBottom w:val="0"/>
      <w:divBdr>
        <w:top w:val="none" w:sz="0" w:space="0" w:color="auto"/>
        <w:left w:val="none" w:sz="0" w:space="0" w:color="auto"/>
        <w:bottom w:val="none" w:sz="0" w:space="0" w:color="auto"/>
        <w:right w:val="none" w:sz="0" w:space="0" w:color="auto"/>
      </w:divBdr>
    </w:div>
    <w:div w:id="2009288003">
      <w:bodyDiv w:val="1"/>
      <w:marLeft w:val="0"/>
      <w:marRight w:val="0"/>
      <w:marTop w:val="0"/>
      <w:marBottom w:val="0"/>
      <w:divBdr>
        <w:top w:val="none" w:sz="0" w:space="0" w:color="auto"/>
        <w:left w:val="none" w:sz="0" w:space="0" w:color="auto"/>
        <w:bottom w:val="none" w:sz="0" w:space="0" w:color="auto"/>
        <w:right w:val="none" w:sz="0" w:space="0" w:color="auto"/>
      </w:divBdr>
    </w:div>
    <w:div w:id="2010906980">
      <w:bodyDiv w:val="1"/>
      <w:marLeft w:val="0"/>
      <w:marRight w:val="0"/>
      <w:marTop w:val="0"/>
      <w:marBottom w:val="0"/>
      <w:divBdr>
        <w:top w:val="none" w:sz="0" w:space="0" w:color="auto"/>
        <w:left w:val="none" w:sz="0" w:space="0" w:color="auto"/>
        <w:bottom w:val="none" w:sz="0" w:space="0" w:color="auto"/>
        <w:right w:val="none" w:sz="0" w:space="0" w:color="auto"/>
      </w:divBdr>
    </w:div>
    <w:div w:id="2013098032">
      <w:bodyDiv w:val="1"/>
      <w:marLeft w:val="0"/>
      <w:marRight w:val="0"/>
      <w:marTop w:val="0"/>
      <w:marBottom w:val="0"/>
      <w:divBdr>
        <w:top w:val="none" w:sz="0" w:space="0" w:color="auto"/>
        <w:left w:val="none" w:sz="0" w:space="0" w:color="auto"/>
        <w:bottom w:val="none" w:sz="0" w:space="0" w:color="auto"/>
        <w:right w:val="none" w:sz="0" w:space="0" w:color="auto"/>
      </w:divBdr>
    </w:div>
    <w:div w:id="2013220527">
      <w:bodyDiv w:val="1"/>
      <w:marLeft w:val="0"/>
      <w:marRight w:val="0"/>
      <w:marTop w:val="0"/>
      <w:marBottom w:val="0"/>
      <w:divBdr>
        <w:top w:val="none" w:sz="0" w:space="0" w:color="auto"/>
        <w:left w:val="none" w:sz="0" w:space="0" w:color="auto"/>
        <w:bottom w:val="none" w:sz="0" w:space="0" w:color="auto"/>
        <w:right w:val="none" w:sz="0" w:space="0" w:color="auto"/>
      </w:divBdr>
    </w:div>
    <w:div w:id="2013875679">
      <w:bodyDiv w:val="1"/>
      <w:marLeft w:val="0"/>
      <w:marRight w:val="0"/>
      <w:marTop w:val="0"/>
      <w:marBottom w:val="0"/>
      <w:divBdr>
        <w:top w:val="none" w:sz="0" w:space="0" w:color="auto"/>
        <w:left w:val="none" w:sz="0" w:space="0" w:color="auto"/>
        <w:bottom w:val="none" w:sz="0" w:space="0" w:color="auto"/>
        <w:right w:val="none" w:sz="0" w:space="0" w:color="auto"/>
      </w:divBdr>
    </w:div>
    <w:div w:id="2015566837">
      <w:bodyDiv w:val="1"/>
      <w:marLeft w:val="0"/>
      <w:marRight w:val="0"/>
      <w:marTop w:val="0"/>
      <w:marBottom w:val="0"/>
      <w:divBdr>
        <w:top w:val="none" w:sz="0" w:space="0" w:color="auto"/>
        <w:left w:val="none" w:sz="0" w:space="0" w:color="auto"/>
        <w:bottom w:val="none" w:sz="0" w:space="0" w:color="auto"/>
        <w:right w:val="none" w:sz="0" w:space="0" w:color="auto"/>
      </w:divBdr>
    </w:div>
    <w:div w:id="2015763771">
      <w:bodyDiv w:val="1"/>
      <w:marLeft w:val="0"/>
      <w:marRight w:val="0"/>
      <w:marTop w:val="0"/>
      <w:marBottom w:val="0"/>
      <w:divBdr>
        <w:top w:val="none" w:sz="0" w:space="0" w:color="auto"/>
        <w:left w:val="none" w:sz="0" w:space="0" w:color="auto"/>
        <w:bottom w:val="none" w:sz="0" w:space="0" w:color="auto"/>
        <w:right w:val="none" w:sz="0" w:space="0" w:color="auto"/>
      </w:divBdr>
    </w:div>
    <w:div w:id="2019885844">
      <w:bodyDiv w:val="1"/>
      <w:marLeft w:val="0"/>
      <w:marRight w:val="0"/>
      <w:marTop w:val="0"/>
      <w:marBottom w:val="0"/>
      <w:divBdr>
        <w:top w:val="none" w:sz="0" w:space="0" w:color="auto"/>
        <w:left w:val="none" w:sz="0" w:space="0" w:color="auto"/>
        <w:bottom w:val="none" w:sz="0" w:space="0" w:color="auto"/>
        <w:right w:val="none" w:sz="0" w:space="0" w:color="auto"/>
      </w:divBdr>
    </w:div>
    <w:div w:id="2021009033">
      <w:bodyDiv w:val="1"/>
      <w:marLeft w:val="0"/>
      <w:marRight w:val="0"/>
      <w:marTop w:val="0"/>
      <w:marBottom w:val="0"/>
      <w:divBdr>
        <w:top w:val="none" w:sz="0" w:space="0" w:color="auto"/>
        <w:left w:val="none" w:sz="0" w:space="0" w:color="auto"/>
        <w:bottom w:val="none" w:sz="0" w:space="0" w:color="auto"/>
        <w:right w:val="none" w:sz="0" w:space="0" w:color="auto"/>
      </w:divBdr>
    </w:div>
    <w:div w:id="2021010118">
      <w:bodyDiv w:val="1"/>
      <w:marLeft w:val="0"/>
      <w:marRight w:val="0"/>
      <w:marTop w:val="0"/>
      <w:marBottom w:val="0"/>
      <w:divBdr>
        <w:top w:val="none" w:sz="0" w:space="0" w:color="auto"/>
        <w:left w:val="none" w:sz="0" w:space="0" w:color="auto"/>
        <w:bottom w:val="none" w:sz="0" w:space="0" w:color="auto"/>
        <w:right w:val="none" w:sz="0" w:space="0" w:color="auto"/>
      </w:divBdr>
    </w:div>
    <w:div w:id="2021082111">
      <w:bodyDiv w:val="1"/>
      <w:marLeft w:val="0"/>
      <w:marRight w:val="0"/>
      <w:marTop w:val="0"/>
      <w:marBottom w:val="0"/>
      <w:divBdr>
        <w:top w:val="none" w:sz="0" w:space="0" w:color="auto"/>
        <w:left w:val="none" w:sz="0" w:space="0" w:color="auto"/>
        <w:bottom w:val="none" w:sz="0" w:space="0" w:color="auto"/>
        <w:right w:val="none" w:sz="0" w:space="0" w:color="auto"/>
      </w:divBdr>
    </w:div>
    <w:div w:id="2022774319">
      <w:bodyDiv w:val="1"/>
      <w:marLeft w:val="0"/>
      <w:marRight w:val="0"/>
      <w:marTop w:val="0"/>
      <w:marBottom w:val="0"/>
      <w:divBdr>
        <w:top w:val="none" w:sz="0" w:space="0" w:color="auto"/>
        <w:left w:val="none" w:sz="0" w:space="0" w:color="auto"/>
        <w:bottom w:val="none" w:sz="0" w:space="0" w:color="auto"/>
        <w:right w:val="none" w:sz="0" w:space="0" w:color="auto"/>
      </w:divBdr>
    </w:div>
    <w:div w:id="2022850088">
      <w:bodyDiv w:val="1"/>
      <w:marLeft w:val="0"/>
      <w:marRight w:val="0"/>
      <w:marTop w:val="0"/>
      <w:marBottom w:val="0"/>
      <w:divBdr>
        <w:top w:val="none" w:sz="0" w:space="0" w:color="auto"/>
        <w:left w:val="none" w:sz="0" w:space="0" w:color="auto"/>
        <w:bottom w:val="none" w:sz="0" w:space="0" w:color="auto"/>
        <w:right w:val="none" w:sz="0" w:space="0" w:color="auto"/>
      </w:divBdr>
    </w:div>
    <w:div w:id="2023125769">
      <w:bodyDiv w:val="1"/>
      <w:marLeft w:val="0"/>
      <w:marRight w:val="0"/>
      <w:marTop w:val="0"/>
      <w:marBottom w:val="0"/>
      <w:divBdr>
        <w:top w:val="none" w:sz="0" w:space="0" w:color="auto"/>
        <w:left w:val="none" w:sz="0" w:space="0" w:color="auto"/>
        <w:bottom w:val="none" w:sz="0" w:space="0" w:color="auto"/>
        <w:right w:val="none" w:sz="0" w:space="0" w:color="auto"/>
      </w:divBdr>
    </w:div>
    <w:div w:id="2023434128">
      <w:bodyDiv w:val="1"/>
      <w:marLeft w:val="0"/>
      <w:marRight w:val="0"/>
      <w:marTop w:val="0"/>
      <w:marBottom w:val="0"/>
      <w:divBdr>
        <w:top w:val="none" w:sz="0" w:space="0" w:color="auto"/>
        <w:left w:val="none" w:sz="0" w:space="0" w:color="auto"/>
        <w:bottom w:val="none" w:sz="0" w:space="0" w:color="auto"/>
        <w:right w:val="none" w:sz="0" w:space="0" w:color="auto"/>
      </w:divBdr>
    </w:div>
    <w:div w:id="2024434605">
      <w:bodyDiv w:val="1"/>
      <w:marLeft w:val="0"/>
      <w:marRight w:val="0"/>
      <w:marTop w:val="0"/>
      <w:marBottom w:val="0"/>
      <w:divBdr>
        <w:top w:val="none" w:sz="0" w:space="0" w:color="auto"/>
        <w:left w:val="none" w:sz="0" w:space="0" w:color="auto"/>
        <w:bottom w:val="none" w:sz="0" w:space="0" w:color="auto"/>
        <w:right w:val="none" w:sz="0" w:space="0" w:color="auto"/>
      </w:divBdr>
    </w:div>
    <w:div w:id="2024819065">
      <w:bodyDiv w:val="1"/>
      <w:marLeft w:val="0"/>
      <w:marRight w:val="0"/>
      <w:marTop w:val="0"/>
      <w:marBottom w:val="0"/>
      <w:divBdr>
        <w:top w:val="none" w:sz="0" w:space="0" w:color="auto"/>
        <w:left w:val="none" w:sz="0" w:space="0" w:color="auto"/>
        <w:bottom w:val="none" w:sz="0" w:space="0" w:color="auto"/>
        <w:right w:val="none" w:sz="0" w:space="0" w:color="auto"/>
      </w:divBdr>
    </w:div>
    <w:div w:id="2024937517">
      <w:bodyDiv w:val="1"/>
      <w:marLeft w:val="0"/>
      <w:marRight w:val="0"/>
      <w:marTop w:val="0"/>
      <w:marBottom w:val="0"/>
      <w:divBdr>
        <w:top w:val="none" w:sz="0" w:space="0" w:color="auto"/>
        <w:left w:val="none" w:sz="0" w:space="0" w:color="auto"/>
        <w:bottom w:val="none" w:sz="0" w:space="0" w:color="auto"/>
        <w:right w:val="none" w:sz="0" w:space="0" w:color="auto"/>
      </w:divBdr>
    </w:div>
    <w:div w:id="2025398533">
      <w:bodyDiv w:val="1"/>
      <w:marLeft w:val="0"/>
      <w:marRight w:val="0"/>
      <w:marTop w:val="0"/>
      <w:marBottom w:val="0"/>
      <w:divBdr>
        <w:top w:val="none" w:sz="0" w:space="0" w:color="auto"/>
        <w:left w:val="none" w:sz="0" w:space="0" w:color="auto"/>
        <w:bottom w:val="none" w:sz="0" w:space="0" w:color="auto"/>
        <w:right w:val="none" w:sz="0" w:space="0" w:color="auto"/>
      </w:divBdr>
    </w:div>
    <w:div w:id="2027635467">
      <w:bodyDiv w:val="1"/>
      <w:marLeft w:val="0"/>
      <w:marRight w:val="0"/>
      <w:marTop w:val="0"/>
      <w:marBottom w:val="0"/>
      <w:divBdr>
        <w:top w:val="none" w:sz="0" w:space="0" w:color="auto"/>
        <w:left w:val="none" w:sz="0" w:space="0" w:color="auto"/>
        <w:bottom w:val="none" w:sz="0" w:space="0" w:color="auto"/>
        <w:right w:val="none" w:sz="0" w:space="0" w:color="auto"/>
      </w:divBdr>
    </w:div>
    <w:div w:id="2028747468">
      <w:bodyDiv w:val="1"/>
      <w:marLeft w:val="0"/>
      <w:marRight w:val="0"/>
      <w:marTop w:val="0"/>
      <w:marBottom w:val="0"/>
      <w:divBdr>
        <w:top w:val="none" w:sz="0" w:space="0" w:color="auto"/>
        <w:left w:val="none" w:sz="0" w:space="0" w:color="auto"/>
        <w:bottom w:val="none" w:sz="0" w:space="0" w:color="auto"/>
        <w:right w:val="none" w:sz="0" w:space="0" w:color="auto"/>
      </w:divBdr>
    </w:div>
    <w:div w:id="2028944109">
      <w:bodyDiv w:val="1"/>
      <w:marLeft w:val="0"/>
      <w:marRight w:val="0"/>
      <w:marTop w:val="0"/>
      <w:marBottom w:val="0"/>
      <w:divBdr>
        <w:top w:val="none" w:sz="0" w:space="0" w:color="auto"/>
        <w:left w:val="none" w:sz="0" w:space="0" w:color="auto"/>
        <w:bottom w:val="none" w:sz="0" w:space="0" w:color="auto"/>
        <w:right w:val="none" w:sz="0" w:space="0" w:color="auto"/>
      </w:divBdr>
    </w:div>
    <w:div w:id="2029331116">
      <w:bodyDiv w:val="1"/>
      <w:marLeft w:val="0"/>
      <w:marRight w:val="0"/>
      <w:marTop w:val="0"/>
      <w:marBottom w:val="0"/>
      <w:divBdr>
        <w:top w:val="none" w:sz="0" w:space="0" w:color="auto"/>
        <w:left w:val="none" w:sz="0" w:space="0" w:color="auto"/>
        <w:bottom w:val="none" w:sz="0" w:space="0" w:color="auto"/>
        <w:right w:val="none" w:sz="0" w:space="0" w:color="auto"/>
      </w:divBdr>
    </w:div>
    <w:div w:id="2029944245">
      <w:bodyDiv w:val="1"/>
      <w:marLeft w:val="0"/>
      <w:marRight w:val="0"/>
      <w:marTop w:val="0"/>
      <w:marBottom w:val="0"/>
      <w:divBdr>
        <w:top w:val="none" w:sz="0" w:space="0" w:color="auto"/>
        <w:left w:val="none" w:sz="0" w:space="0" w:color="auto"/>
        <w:bottom w:val="none" w:sz="0" w:space="0" w:color="auto"/>
        <w:right w:val="none" w:sz="0" w:space="0" w:color="auto"/>
      </w:divBdr>
    </w:div>
    <w:div w:id="2030444580">
      <w:bodyDiv w:val="1"/>
      <w:marLeft w:val="0"/>
      <w:marRight w:val="0"/>
      <w:marTop w:val="0"/>
      <w:marBottom w:val="0"/>
      <w:divBdr>
        <w:top w:val="none" w:sz="0" w:space="0" w:color="auto"/>
        <w:left w:val="none" w:sz="0" w:space="0" w:color="auto"/>
        <w:bottom w:val="none" w:sz="0" w:space="0" w:color="auto"/>
        <w:right w:val="none" w:sz="0" w:space="0" w:color="auto"/>
      </w:divBdr>
    </w:div>
    <w:div w:id="2031100701">
      <w:bodyDiv w:val="1"/>
      <w:marLeft w:val="0"/>
      <w:marRight w:val="0"/>
      <w:marTop w:val="0"/>
      <w:marBottom w:val="0"/>
      <w:divBdr>
        <w:top w:val="none" w:sz="0" w:space="0" w:color="auto"/>
        <w:left w:val="none" w:sz="0" w:space="0" w:color="auto"/>
        <w:bottom w:val="none" w:sz="0" w:space="0" w:color="auto"/>
        <w:right w:val="none" w:sz="0" w:space="0" w:color="auto"/>
      </w:divBdr>
    </w:div>
    <w:div w:id="2032224539">
      <w:bodyDiv w:val="1"/>
      <w:marLeft w:val="0"/>
      <w:marRight w:val="0"/>
      <w:marTop w:val="0"/>
      <w:marBottom w:val="0"/>
      <w:divBdr>
        <w:top w:val="none" w:sz="0" w:space="0" w:color="auto"/>
        <w:left w:val="none" w:sz="0" w:space="0" w:color="auto"/>
        <w:bottom w:val="none" w:sz="0" w:space="0" w:color="auto"/>
        <w:right w:val="none" w:sz="0" w:space="0" w:color="auto"/>
      </w:divBdr>
    </w:div>
    <w:div w:id="2032755864">
      <w:bodyDiv w:val="1"/>
      <w:marLeft w:val="0"/>
      <w:marRight w:val="0"/>
      <w:marTop w:val="0"/>
      <w:marBottom w:val="0"/>
      <w:divBdr>
        <w:top w:val="none" w:sz="0" w:space="0" w:color="auto"/>
        <w:left w:val="none" w:sz="0" w:space="0" w:color="auto"/>
        <w:bottom w:val="none" w:sz="0" w:space="0" w:color="auto"/>
        <w:right w:val="none" w:sz="0" w:space="0" w:color="auto"/>
      </w:divBdr>
    </w:div>
    <w:div w:id="2032757277">
      <w:bodyDiv w:val="1"/>
      <w:marLeft w:val="0"/>
      <w:marRight w:val="0"/>
      <w:marTop w:val="0"/>
      <w:marBottom w:val="0"/>
      <w:divBdr>
        <w:top w:val="none" w:sz="0" w:space="0" w:color="auto"/>
        <w:left w:val="none" w:sz="0" w:space="0" w:color="auto"/>
        <w:bottom w:val="none" w:sz="0" w:space="0" w:color="auto"/>
        <w:right w:val="none" w:sz="0" w:space="0" w:color="auto"/>
      </w:divBdr>
    </w:div>
    <w:div w:id="2033456566">
      <w:bodyDiv w:val="1"/>
      <w:marLeft w:val="0"/>
      <w:marRight w:val="0"/>
      <w:marTop w:val="0"/>
      <w:marBottom w:val="0"/>
      <w:divBdr>
        <w:top w:val="none" w:sz="0" w:space="0" w:color="auto"/>
        <w:left w:val="none" w:sz="0" w:space="0" w:color="auto"/>
        <w:bottom w:val="none" w:sz="0" w:space="0" w:color="auto"/>
        <w:right w:val="none" w:sz="0" w:space="0" w:color="auto"/>
      </w:divBdr>
    </w:div>
    <w:div w:id="2034065624">
      <w:bodyDiv w:val="1"/>
      <w:marLeft w:val="0"/>
      <w:marRight w:val="0"/>
      <w:marTop w:val="0"/>
      <w:marBottom w:val="0"/>
      <w:divBdr>
        <w:top w:val="none" w:sz="0" w:space="0" w:color="auto"/>
        <w:left w:val="none" w:sz="0" w:space="0" w:color="auto"/>
        <w:bottom w:val="none" w:sz="0" w:space="0" w:color="auto"/>
        <w:right w:val="none" w:sz="0" w:space="0" w:color="auto"/>
      </w:divBdr>
    </w:div>
    <w:div w:id="2034572787">
      <w:bodyDiv w:val="1"/>
      <w:marLeft w:val="0"/>
      <w:marRight w:val="0"/>
      <w:marTop w:val="0"/>
      <w:marBottom w:val="0"/>
      <w:divBdr>
        <w:top w:val="none" w:sz="0" w:space="0" w:color="auto"/>
        <w:left w:val="none" w:sz="0" w:space="0" w:color="auto"/>
        <w:bottom w:val="none" w:sz="0" w:space="0" w:color="auto"/>
        <w:right w:val="none" w:sz="0" w:space="0" w:color="auto"/>
      </w:divBdr>
    </w:div>
    <w:div w:id="2036152330">
      <w:bodyDiv w:val="1"/>
      <w:marLeft w:val="0"/>
      <w:marRight w:val="0"/>
      <w:marTop w:val="0"/>
      <w:marBottom w:val="0"/>
      <w:divBdr>
        <w:top w:val="none" w:sz="0" w:space="0" w:color="auto"/>
        <w:left w:val="none" w:sz="0" w:space="0" w:color="auto"/>
        <w:bottom w:val="none" w:sz="0" w:space="0" w:color="auto"/>
        <w:right w:val="none" w:sz="0" w:space="0" w:color="auto"/>
      </w:divBdr>
    </w:div>
    <w:div w:id="2037273406">
      <w:bodyDiv w:val="1"/>
      <w:marLeft w:val="0"/>
      <w:marRight w:val="0"/>
      <w:marTop w:val="0"/>
      <w:marBottom w:val="0"/>
      <w:divBdr>
        <w:top w:val="none" w:sz="0" w:space="0" w:color="auto"/>
        <w:left w:val="none" w:sz="0" w:space="0" w:color="auto"/>
        <w:bottom w:val="none" w:sz="0" w:space="0" w:color="auto"/>
        <w:right w:val="none" w:sz="0" w:space="0" w:color="auto"/>
      </w:divBdr>
    </w:div>
    <w:div w:id="2039432635">
      <w:bodyDiv w:val="1"/>
      <w:marLeft w:val="0"/>
      <w:marRight w:val="0"/>
      <w:marTop w:val="0"/>
      <w:marBottom w:val="0"/>
      <w:divBdr>
        <w:top w:val="none" w:sz="0" w:space="0" w:color="auto"/>
        <w:left w:val="none" w:sz="0" w:space="0" w:color="auto"/>
        <w:bottom w:val="none" w:sz="0" w:space="0" w:color="auto"/>
        <w:right w:val="none" w:sz="0" w:space="0" w:color="auto"/>
      </w:divBdr>
    </w:div>
    <w:div w:id="2040737152">
      <w:bodyDiv w:val="1"/>
      <w:marLeft w:val="0"/>
      <w:marRight w:val="0"/>
      <w:marTop w:val="0"/>
      <w:marBottom w:val="0"/>
      <w:divBdr>
        <w:top w:val="none" w:sz="0" w:space="0" w:color="auto"/>
        <w:left w:val="none" w:sz="0" w:space="0" w:color="auto"/>
        <w:bottom w:val="none" w:sz="0" w:space="0" w:color="auto"/>
        <w:right w:val="none" w:sz="0" w:space="0" w:color="auto"/>
      </w:divBdr>
    </w:div>
    <w:div w:id="2040859724">
      <w:bodyDiv w:val="1"/>
      <w:marLeft w:val="0"/>
      <w:marRight w:val="0"/>
      <w:marTop w:val="0"/>
      <w:marBottom w:val="0"/>
      <w:divBdr>
        <w:top w:val="none" w:sz="0" w:space="0" w:color="auto"/>
        <w:left w:val="none" w:sz="0" w:space="0" w:color="auto"/>
        <w:bottom w:val="none" w:sz="0" w:space="0" w:color="auto"/>
        <w:right w:val="none" w:sz="0" w:space="0" w:color="auto"/>
      </w:divBdr>
    </w:div>
    <w:div w:id="2041736229">
      <w:bodyDiv w:val="1"/>
      <w:marLeft w:val="0"/>
      <w:marRight w:val="0"/>
      <w:marTop w:val="0"/>
      <w:marBottom w:val="0"/>
      <w:divBdr>
        <w:top w:val="none" w:sz="0" w:space="0" w:color="auto"/>
        <w:left w:val="none" w:sz="0" w:space="0" w:color="auto"/>
        <w:bottom w:val="none" w:sz="0" w:space="0" w:color="auto"/>
        <w:right w:val="none" w:sz="0" w:space="0" w:color="auto"/>
      </w:divBdr>
    </w:div>
    <w:div w:id="2043510744">
      <w:bodyDiv w:val="1"/>
      <w:marLeft w:val="0"/>
      <w:marRight w:val="0"/>
      <w:marTop w:val="0"/>
      <w:marBottom w:val="0"/>
      <w:divBdr>
        <w:top w:val="none" w:sz="0" w:space="0" w:color="auto"/>
        <w:left w:val="none" w:sz="0" w:space="0" w:color="auto"/>
        <w:bottom w:val="none" w:sz="0" w:space="0" w:color="auto"/>
        <w:right w:val="none" w:sz="0" w:space="0" w:color="auto"/>
      </w:divBdr>
    </w:div>
    <w:div w:id="2044942696">
      <w:bodyDiv w:val="1"/>
      <w:marLeft w:val="0"/>
      <w:marRight w:val="0"/>
      <w:marTop w:val="0"/>
      <w:marBottom w:val="0"/>
      <w:divBdr>
        <w:top w:val="none" w:sz="0" w:space="0" w:color="auto"/>
        <w:left w:val="none" w:sz="0" w:space="0" w:color="auto"/>
        <w:bottom w:val="none" w:sz="0" w:space="0" w:color="auto"/>
        <w:right w:val="none" w:sz="0" w:space="0" w:color="auto"/>
      </w:divBdr>
    </w:div>
    <w:div w:id="2045133024">
      <w:bodyDiv w:val="1"/>
      <w:marLeft w:val="0"/>
      <w:marRight w:val="0"/>
      <w:marTop w:val="0"/>
      <w:marBottom w:val="0"/>
      <w:divBdr>
        <w:top w:val="none" w:sz="0" w:space="0" w:color="auto"/>
        <w:left w:val="none" w:sz="0" w:space="0" w:color="auto"/>
        <w:bottom w:val="none" w:sz="0" w:space="0" w:color="auto"/>
        <w:right w:val="none" w:sz="0" w:space="0" w:color="auto"/>
      </w:divBdr>
    </w:div>
    <w:div w:id="2045397565">
      <w:bodyDiv w:val="1"/>
      <w:marLeft w:val="0"/>
      <w:marRight w:val="0"/>
      <w:marTop w:val="0"/>
      <w:marBottom w:val="0"/>
      <w:divBdr>
        <w:top w:val="none" w:sz="0" w:space="0" w:color="auto"/>
        <w:left w:val="none" w:sz="0" w:space="0" w:color="auto"/>
        <w:bottom w:val="none" w:sz="0" w:space="0" w:color="auto"/>
        <w:right w:val="none" w:sz="0" w:space="0" w:color="auto"/>
      </w:divBdr>
    </w:div>
    <w:div w:id="2047216719">
      <w:bodyDiv w:val="1"/>
      <w:marLeft w:val="0"/>
      <w:marRight w:val="0"/>
      <w:marTop w:val="0"/>
      <w:marBottom w:val="0"/>
      <w:divBdr>
        <w:top w:val="none" w:sz="0" w:space="0" w:color="auto"/>
        <w:left w:val="none" w:sz="0" w:space="0" w:color="auto"/>
        <w:bottom w:val="none" w:sz="0" w:space="0" w:color="auto"/>
        <w:right w:val="none" w:sz="0" w:space="0" w:color="auto"/>
      </w:divBdr>
    </w:div>
    <w:div w:id="2047439930">
      <w:bodyDiv w:val="1"/>
      <w:marLeft w:val="0"/>
      <w:marRight w:val="0"/>
      <w:marTop w:val="0"/>
      <w:marBottom w:val="0"/>
      <w:divBdr>
        <w:top w:val="none" w:sz="0" w:space="0" w:color="auto"/>
        <w:left w:val="none" w:sz="0" w:space="0" w:color="auto"/>
        <w:bottom w:val="none" w:sz="0" w:space="0" w:color="auto"/>
        <w:right w:val="none" w:sz="0" w:space="0" w:color="auto"/>
      </w:divBdr>
    </w:div>
    <w:div w:id="2049378304">
      <w:bodyDiv w:val="1"/>
      <w:marLeft w:val="0"/>
      <w:marRight w:val="0"/>
      <w:marTop w:val="0"/>
      <w:marBottom w:val="0"/>
      <w:divBdr>
        <w:top w:val="none" w:sz="0" w:space="0" w:color="auto"/>
        <w:left w:val="none" w:sz="0" w:space="0" w:color="auto"/>
        <w:bottom w:val="none" w:sz="0" w:space="0" w:color="auto"/>
        <w:right w:val="none" w:sz="0" w:space="0" w:color="auto"/>
      </w:divBdr>
    </w:div>
    <w:div w:id="2050950616">
      <w:bodyDiv w:val="1"/>
      <w:marLeft w:val="0"/>
      <w:marRight w:val="0"/>
      <w:marTop w:val="0"/>
      <w:marBottom w:val="0"/>
      <w:divBdr>
        <w:top w:val="none" w:sz="0" w:space="0" w:color="auto"/>
        <w:left w:val="none" w:sz="0" w:space="0" w:color="auto"/>
        <w:bottom w:val="none" w:sz="0" w:space="0" w:color="auto"/>
        <w:right w:val="none" w:sz="0" w:space="0" w:color="auto"/>
      </w:divBdr>
    </w:div>
    <w:div w:id="2051177161">
      <w:bodyDiv w:val="1"/>
      <w:marLeft w:val="0"/>
      <w:marRight w:val="0"/>
      <w:marTop w:val="0"/>
      <w:marBottom w:val="0"/>
      <w:divBdr>
        <w:top w:val="none" w:sz="0" w:space="0" w:color="auto"/>
        <w:left w:val="none" w:sz="0" w:space="0" w:color="auto"/>
        <w:bottom w:val="none" w:sz="0" w:space="0" w:color="auto"/>
        <w:right w:val="none" w:sz="0" w:space="0" w:color="auto"/>
      </w:divBdr>
    </w:div>
    <w:div w:id="2051300569">
      <w:bodyDiv w:val="1"/>
      <w:marLeft w:val="0"/>
      <w:marRight w:val="0"/>
      <w:marTop w:val="0"/>
      <w:marBottom w:val="0"/>
      <w:divBdr>
        <w:top w:val="none" w:sz="0" w:space="0" w:color="auto"/>
        <w:left w:val="none" w:sz="0" w:space="0" w:color="auto"/>
        <w:bottom w:val="none" w:sz="0" w:space="0" w:color="auto"/>
        <w:right w:val="none" w:sz="0" w:space="0" w:color="auto"/>
      </w:divBdr>
    </w:div>
    <w:div w:id="2052462693">
      <w:bodyDiv w:val="1"/>
      <w:marLeft w:val="0"/>
      <w:marRight w:val="0"/>
      <w:marTop w:val="0"/>
      <w:marBottom w:val="0"/>
      <w:divBdr>
        <w:top w:val="none" w:sz="0" w:space="0" w:color="auto"/>
        <w:left w:val="none" w:sz="0" w:space="0" w:color="auto"/>
        <w:bottom w:val="none" w:sz="0" w:space="0" w:color="auto"/>
        <w:right w:val="none" w:sz="0" w:space="0" w:color="auto"/>
      </w:divBdr>
    </w:div>
    <w:div w:id="2052916940">
      <w:bodyDiv w:val="1"/>
      <w:marLeft w:val="0"/>
      <w:marRight w:val="0"/>
      <w:marTop w:val="0"/>
      <w:marBottom w:val="0"/>
      <w:divBdr>
        <w:top w:val="none" w:sz="0" w:space="0" w:color="auto"/>
        <w:left w:val="none" w:sz="0" w:space="0" w:color="auto"/>
        <w:bottom w:val="none" w:sz="0" w:space="0" w:color="auto"/>
        <w:right w:val="none" w:sz="0" w:space="0" w:color="auto"/>
      </w:divBdr>
    </w:div>
    <w:div w:id="2053336538">
      <w:bodyDiv w:val="1"/>
      <w:marLeft w:val="0"/>
      <w:marRight w:val="0"/>
      <w:marTop w:val="0"/>
      <w:marBottom w:val="0"/>
      <w:divBdr>
        <w:top w:val="none" w:sz="0" w:space="0" w:color="auto"/>
        <w:left w:val="none" w:sz="0" w:space="0" w:color="auto"/>
        <w:bottom w:val="none" w:sz="0" w:space="0" w:color="auto"/>
        <w:right w:val="none" w:sz="0" w:space="0" w:color="auto"/>
      </w:divBdr>
    </w:div>
    <w:div w:id="2053382643">
      <w:bodyDiv w:val="1"/>
      <w:marLeft w:val="0"/>
      <w:marRight w:val="0"/>
      <w:marTop w:val="0"/>
      <w:marBottom w:val="0"/>
      <w:divBdr>
        <w:top w:val="none" w:sz="0" w:space="0" w:color="auto"/>
        <w:left w:val="none" w:sz="0" w:space="0" w:color="auto"/>
        <w:bottom w:val="none" w:sz="0" w:space="0" w:color="auto"/>
        <w:right w:val="none" w:sz="0" w:space="0" w:color="auto"/>
      </w:divBdr>
    </w:div>
    <w:div w:id="2054307353">
      <w:bodyDiv w:val="1"/>
      <w:marLeft w:val="0"/>
      <w:marRight w:val="0"/>
      <w:marTop w:val="0"/>
      <w:marBottom w:val="0"/>
      <w:divBdr>
        <w:top w:val="none" w:sz="0" w:space="0" w:color="auto"/>
        <w:left w:val="none" w:sz="0" w:space="0" w:color="auto"/>
        <w:bottom w:val="none" w:sz="0" w:space="0" w:color="auto"/>
        <w:right w:val="none" w:sz="0" w:space="0" w:color="auto"/>
      </w:divBdr>
    </w:div>
    <w:div w:id="2054310330">
      <w:bodyDiv w:val="1"/>
      <w:marLeft w:val="0"/>
      <w:marRight w:val="0"/>
      <w:marTop w:val="0"/>
      <w:marBottom w:val="0"/>
      <w:divBdr>
        <w:top w:val="none" w:sz="0" w:space="0" w:color="auto"/>
        <w:left w:val="none" w:sz="0" w:space="0" w:color="auto"/>
        <w:bottom w:val="none" w:sz="0" w:space="0" w:color="auto"/>
        <w:right w:val="none" w:sz="0" w:space="0" w:color="auto"/>
      </w:divBdr>
    </w:div>
    <w:div w:id="2055540715">
      <w:bodyDiv w:val="1"/>
      <w:marLeft w:val="0"/>
      <w:marRight w:val="0"/>
      <w:marTop w:val="0"/>
      <w:marBottom w:val="0"/>
      <w:divBdr>
        <w:top w:val="none" w:sz="0" w:space="0" w:color="auto"/>
        <w:left w:val="none" w:sz="0" w:space="0" w:color="auto"/>
        <w:bottom w:val="none" w:sz="0" w:space="0" w:color="auto"/>
        <w:right w:val="none" w:sz="0" w:space="0" w:color="auto"/>
      </w:divBdr>
    </w:div>
    <w:div w:id="2055888401">
      <w:bodyDiv w:val="1"/>
      <w:marLeft w:val="0"/>
      <w:marRight w:val="0"/>
      <w:marTop w:val="0"/>
      <w:marBottom w:val="0"/>
      <w:divBdr>
        <w:top w:val="none" w:sz="0" w:space="0" w:color="auto"/>
        <w:left w:val="none" w:sz="0" w:space="0" w:color="auto"/>
        <w:bottom w:val="none" w:sz="0" w:space="0" w:color="auto"/>
        <w:right w:val="none" w:sz="0" w:space="0" w:color="auto"/>
      </w:divBdr>
    </w:div>
    <w:div w:id="2056077657">
      <w:bodyDiv w:val="1"/>
      <w:marLeft w:val="0"/>
      <w:marRight w:val="0"/>
      <w:marTop w:val="0"/>
      <w:marBottom w:val="0"/>
      <w:divBdr>
        <w:top w:val="none" w:sz="0" w:space="0" w:color="auto"/>
        <w:left w:val="none" w:sz="0" w:space="0" w:color="auto"/>
        <w:bottom w:val="none" w:sz="0" w:space="0" w:color="auto"/>
        <w:right w:val="none" w:sz="0" w:space="0" w:color="auto"/>
      </w:divBdr>
    </w:div>
    <w:div w:id="2057704898">
      <w:bodyDiv w:val="1"/>
      <w:marLeft w:val="0"/>
      <w:marRight w:val="0"/>
      <w:marTop w:val="0"/>
      <w:marBottom w:val="0"/>
      <w:divBdr>
        <w:top w:val="none" w:sz="0" w:space="0" w:color="auto"/>
        <w:left w:val="none" w:sz="0" w:space="0" w:color="auto"/>
        <w:bottom w:val="none" w:sz="0" w:space="0" w:color="auto"/>
        <w:right w:val="none" w:sz="0" w:space="0" w:color="auto"/>
      </w:divBdr>
    </w:div>
    <w:div w:id="2059820411">
      <w:bodyDiv w:val="1"/>
      <w:marLeft w:val="0"/>
      <w:marRight w:val="0"/>
      <w:marTop w:val="0"/>
      <w:marBottom w:val="0"/>
      <w:divBdr>
        <w:top w:val="none" w:sz="0" w:space="0" w:color="auto"/>
        <w:left w:val="none" w:sz="0" w:space="0" w:color="auto"/>
        <w:bottom w:val="none" w:sz="0" w:space="0" w:color="auto"/>
        <w:right w:val="none" w:sz="0" w:space="0" w:color="auto"/>
      </w:divBdr>
    </w:div>
    <w:div w:id="2060859907">
      <w:bodyDiv w:val="1"/>
      <w:marLeft w:val="0"/>
      <w:marRight w:val="0"/>
      <w:marTop w:val="0"/>
      <w:marBottom w:val="0"/>
      <w:divBdr>
        <w:top w:val="none" w:sz="0" w:space="0" w:color="auto"/>
        <w:left w:val="none" w:sz="0" w:space="0" w:color="auto"/>
        <w:bottom w:val="none" w:sz="0" w:space="0" w:color="auto"/>
        <w:right w:val="none" w:sz="0" w:space="0" w:color="auto"/>
      </w:divBdr>
    </w:div>
    <w:div w:id="2061392013">
      <w:bodyDiv w:val="1"/>
      <w:marLeft w:val="0"/>
      <w:marRight w:val="0"/>
      <w:marTop w:val="0"/>
      <w:marBottom w:val="0"/>
      <w:divBdr>
        <w:top w:val="none" w:sz="0" w:space="0" w:color="auto"/>
        <w:left w:val="none" w:sz="0" w:space="0" w:color="auto"/>
        <w:bottom w:val="none" w:sz="0" w:space="0" w:color="auto"/>
        <w:right w:val="none" w:sz="0" w:space="0" w:color="auto"/>
      </w:divBdr>
    </w:div>
    <w:div w:id="2061511767">
      <w:bodyDiv w:val="1"/>
      <w:marLeft w:val="0"/>
      <w:marRight w:val="0"/>
      <w:marTop w:val="0"/>
      <w:marBottom w:val="0"/>
      <w:divBdr>
        <w:top w:val="none" w:sz="0" w:space="0" w:color="auto"/>
        <w:left w:val="none" w:sz="0" w:space="0" w:color="auto"/>
        <w:bottom w:val="none" w:sz="0" w:space="0" w:color="auto"/>
        <w:right w:val="none" w:sz="0" w:space="0" w:color="auto"/>
      </w:divBdr>
    </w:div>
    <w:div w:id="2063825896">
      <w:bodyDiv w:val="1"/>
      <w:marLeft w:val="0"/>
      <w:marRight w:val="0"/>
      <w:marTop w:val="0"/>
      <w:marBottom w:val="0"/>
      <w:divBdr>
        <w:top w:val="none" w:sz="0" w:space="0" w:color="auto"/>
        <w:left w:val="none" w:sz="0" w:space="0" w:color="auto"/>
        <w:bottom w:val="none" w:sz="0" w:space="0" w:color="auto"/>
        <w:right w:val="none" w:sz="0" w:space="0" w:color="auto"/>
      </w:divBdr>
    </w:div>
    <w:div w:id="2064137031">
      <w:bodyDiv w:val="1"/>
      <w:marLeft w:val="0"/>
      <w:marRight w:val="0"/>
      <w:marTop w:val="0"/>
      <w:marBottom w:val="0"/>
      <w:divBdr>
        <w:top w:val="none" w:sz="0" w:space="0" w:color="auto"/>
        <w:left w:val="none" w:sz="0" w:space="0" w:color="auto"/>
        <w:bottom w:val="none" w:sz="0" w:space="0" w:color="auto"/>
        <w:right w:val="none" w:sz="0" w:space="0" w:color="auto"/>
      </w:divBdr>
    </w:div>
    <w:div w:id="2066030318">
      <w:bodyDiv w:val="1"/>
      <w:marLeft w:val="0"/>
      <w:marRight w:val="0"/>
      <w:marTop w:val="0"/>
      <w:marBottom w:val="0"/>
      <w:divBdr>
        <w:top w:val="none" w:sz="0" w:space="0" w:color="auto"/>
        <w:left w:val="none" w:sz="0" w:space="0" w:color="auto"/>
        <w:bottom w:val="none" w:sz="0" w:space="0" w:color="auto"/>
        <w:right w:val="none" w:sz="0" w:space="0" w:color="auto"/>
      </w:divBdr>
    </w:div>
    <w:div w:id="2066643461">
      <w:bodyDiv w:val="1"/>
      <w:marLeft w:val="0"/>
      <w:marRight w:val="0"/>
      <w:marTop w:val="0"/>
      <w:marBottom w:val="0"/>
      <w:divBdr>
        <w:top w:val="none" w:sz="0" w:space="0" w:color="auto"/>
        <w:left w:val="none" w:sz="0" w:space="0" w:color="auto"/>
        <w:bottom w:val="none" w:sz="0" w:space="0" w:color="auto"/>
        <w:right w:val="none" w:sz="0" w:space="0" w:color="auto"/>
      </w:divBdr>
    </w:div>
    <w:div w:id="2068139493">
      <w:bodyDiv w:val="1"/>
      <w:marLeft w:val="0"/>
      <w:marRight w:val="0"/>
      <w:marTop w:val="0"/>
      <w:marBottom w:val="0"/>
      <w:divBdr>
        <w:top w:val="none" w:sz="0" w:space="0" w:color="auto"/>
        <w:left w:val="none" w:sz="0" w:space="0" w:color="auto"/>
        <w:bottom w:val="none" w:sz="0" w:space="0" w:color="auto"/>
        <w:right w:val="none" w:sz="0" w:space="0" w:color="auto"/>
      </w:divBdr>
    </w:div>
    <w:div w:id="2068651026">
      <w:bodyDiv w:val="1"/>
      <w:marLeft w:val="0"/>
      <w:marRight w:val="0"/>
      <w:marTop w:val="0"/>
      <w:marBottom w:val="0"/>
      <w:divBdr>
        <w:top w:val="none" w:sz="0" w:space="0" w:color="auto"/>
        <w:left w:val="none" w:sz="0" w:space="0" w:color="auto"/>
        <w:bottom w:val="none" w:sz="0" w:space="0" w:color="auto"/>
        <w:right w:val="none" w:sz="0" w:space="0" w:color="auto"/>
      </w:divBdr>
    </w:div>
    <w:div w:id="2070494595">
      <w:bodyDiv w:val="1"/>
      <w:marLeft w:val="0"/>
      <w:marRight w:val="0"/>
      <w:marTop w:val="0"/>
      <w:marBottom w:val="0"/>
      <w:divBdr>
        <w:top w:val="none" w:sz="0" w:space="0" w:color="auto"/>
        <w:left w:val="none" w:sz="0" w:space="0" w:color="auto"/>
        <w:bottom w:val="none" w:sz="0" w:space="0" w:color="auto"/>
        <w:right w:val="none" w:sz="0" w:space="0" w:color="auto"/>
      </w:divBdr>
    </w:div>
    <w:div w:id="2071539795">
      <w:bodyDiv w:val="1"/>
      <w:marLeft w:val="0"/>
      <w:marRight w:val="0"/>
      <w:marTop w:val="0"/>
      <w:marBottom w:val="0"/>
      <w:divBdr>
        <w:top w:val="none" w:sz="0" w:space="0" w:color="auto"/>
        <w:left w:val="none" w:sz="0" w:space="0" w:color="auto"/>
        <w:bottom w:val="none" w:sz="0" w:space="0" w:color="auto"/>
        <w:right w:val="none" w:sz="0" w:space="0" w:color="auto"/>
      </w:divBdr>
    </w:div>
    <w:div w:id="2071809973">
      <w:bodyDiv w:val="1"/>
      <w:marLeft w:val="0"/>
      <w:marRight w:val="0"/>
      <w:marTop w:val="0"/>
      <w:marBottom w:val="0"/>
      <w:divBdr>
        <w:top w:val="none" w:sz="0" w:space="0" w:color="auto"/>
        <w:left w:val="none" w:sz="0" w:space="0" w:color="auto"/>
        <w:bottom w:val="none" w:sz="0" w:space="0" w:color="auto"/>
        <w:right w:val="none" w:sz="0" w:space="0" w:color="auto"/>
      </w:divBdr>
    </w:div>
    <w:div w:id="2073234067">
      <w:bodyDiv w:val="1"/>
      <w:marLeft w:val="0"/>
      <w:marRight w:val="0"/>
      <w:marTop w:val="0"/>
      <w:marBottom w:val="0"/>
      <w:divBdr>
        <w:top w:val="none" w:sz="0" w:space="0" w:color="auto"/>
        <w:left w:val="none" w:sz="0" w:space="0" w:color="auto"/>
        <w:bottom w:val="none" w:sz="0" w:space="0" w:color="auto"/>
        <w:right w:val="none" w:sz="0" w:space="0" w:color="auto"/>
      </w:divBdr>
    </w:div>
    <w:div w:id="2074348846">
      <w:bodyDiv w:val="1"/>
      <w:marLeft w:val="0"/>
      <w:marRight w:val="0"/>
      <w:marTop w:val="0"/>
      <w:marBottom w:val="0"/>
      <w:divBdr>
        <w:top w:val="none" w:sz="0" w:space="0" w:color="auto"/>
        <w:left w:val="none" w:sz="0" w:space="0" w:color="auto"/>
        <w:bottom w:val="none" w:sz="0" w:space="0" w:color="auto"/>
        <w:right w:val="none" w:sz="0" w:space="0" w:color="auto"/>
      </w:divBdr>
    </w:div>
    <w:div w:id="2074506057">
      <w:bodyDiv w:val="1"/>
      <w:marLeft w:val="0"/>
      <w:marRight w:val="0"/>
      <w:marTop w:val="0"/>
      <w:marBottom w:val="0"/>
      <w:divBdr>
        <w:top w:val="none" w:sz="0" w:space="0" w:color="auto"/>
        <w:left w:val="none" w:sz="0" w:space="0" w:color="auto"/>
        <w:bottom w:val="none" w:sz="0" w:space="0" w:color="auto"/>
        <w:right w:val="none" w:sz="0" w:space="0" w:color="auto"/>
      </w:divBdr>
    </w:div>
    <w:div w:id="2075734007">
      <w:bodyDiv w:val="1"/>
      <w:marLeft w:val="0"/>
      <w:marRight w:val="0"/>
      <w:marTop w:val="0"/>
      <w:marBottom w:val="0"/>
      <w:divBdr>
        <w:top w:val="none" w:sz="0" w:space="0" w:color="auto"/>
        <w:left w:val="none" w:sz="0" w:space="0" w:color="auto"/>
        <w:bottom w:val="none" w:sz="0" w:space="0" w:color="auto"/>
        <w:right w:val="none" w:sz="0" w:space="0" w:color="auto"/>
      </w:divBdr>
    </w:div>
    <w:div w:id="2076466194">
      <w:bodyDiv w:val="1"/>
      <w:marLeft w:val="0"/>
      <w:marRight w:val="0"/>
      <w:marTop w:val="0"/>
      <w:marBottom w:val="0"/>
      <w:divBdr>
        <w:top w:val="none" w:sz="0" w:space="0" w:color="auto"/>
        <w:left w:val="none" w:sz="0" w:space="0" w:color="auto"/>
        <w:bottom w:val="none" w:sz="0" w:space="0" w:color="auto"/>
        <w:right w:val="none" w:sz="0" w:space="0" w:color="auto"/>
      </w:divBdr>
    </w:div>
    <w:div w:id="2078631273">
      <w:bodyDiv w:val="1"/>
      <w:marLeft w:val="0"/>
      <w:marRight w:val="0"/>
      <w:marTop w:val="0"/>
      <w:marBottom w:val="0"/>
      <w:divBdr>
        <w:top w:val="none" w:sz="0" w:space="0" w:color="auto"/>
        <w:left w:val="none" w:sz="0" w:space="0" w:color="auto"/>
        <w:bottom w:val="none" w:sz="0" w:space="0" w:color="auto"/>
        <w:right w:val="none" w:sz="0" w:space="0" w:color="auto"/>
      </w:divBdr>
    </w:div>
    <w:div w:id="2081056283">
      <w:bodyDiv w:val="1"/>
      <w:marLeft w:val="0"/>
      <w:marRight w:val="0"/>
      <w:marTop w:val="0"/>
      <w:marBottom w:val="0"/>
      <w:divBdr>
        <w:top w:val="none" w:sz="0" w:space="0" w:color="auto"/>
        <w:left w:val="none" w:sz="0" w:space="0" w:color="auto"/>
        <w:bottom w:val="none" w:sz="0" w:space="0" w:color="auto"/>
        <w:right w:val="none" w:sz="0" w:space="0" w:color="auto"/>
      </w:divBdr>
    </w:div>
    <w:div w:id="2081176281">
      <w:bodyDiv w:val="1"/>
      <w:marLeft w:val="0"/>
      <w:marRight w:val="0"/>
      <w:marTop w:val="0"/>
      <w:marBottom w:val="0"/>
      <w:divBdr>
        <w:top w:val="none" w:sz="0" w:space="0" w:color="auto"/>
        <w:left w:val="none" w:sz="0" w:space="0" w:color="auto"/>
        <w:bottom w:val="none" w:sz="0" w:space="0" w:color="auto"/>
        <w:right w:val="none" w:sz="0" w:space="0" w:color="auto"/>
      </w:divBdr>
    </w:div>
    <w:div w:id="2081559200">
      <w:bodyDiv w:val="1"/>
      <w:marLeft w:val="0"/>
      <w:marRight w:val="0"/>
      <w:marTop w:val="0"/>
      <w:marBottom w:val="0"/>
      <w:divBdr>
        <w:top w:val="none" w:sz="0" w:space="0" w:color="auto"/>
        <w:left w:val="none" w:sz="0" w:space="0" w:color="auto"/>
        <w:bottom w:val="none" w:sz="0" w:space="0" w:color="auto"/>
        <w:right w:val="none" w:sz="0" w:space="0" w:color="auto"/>
      </w:divBdr>
    </w:div>
    <w:div w:id="2082629033">
      <w:bodyDiv w:val="1"/>
      <w:marLeft w:val="0"/>
      <w:marRight w:val="0"/>
      <w:marTop w:val="0"/>
      <w:marBottom w:val="0"/>
      <w:divBdr>
        <w:top w:val="none" w:sz="0" w:space="0" w:color="auto"/>
        <w:left w:val="none" w:sz="0" w:space="0" w:color="auto"/>
        <w:bottom w:val="none" w:sz="0" w:space="0" w:color="auto"/>
        <w:right w:val="none" w:sz="0" w:space="0" w:color="auto"/>
      </w:divBdr>
    </w:div>
    <w:div w:id="2084184181">
      <w:bodyDiv w:val="1"/>
      <w:marLeft w:val="0"/>
      <w:marRight w:val="0"/>
      <w:marTop w:val="0"/>
      <w:marBottom w:val="0"/>
      <w:divBdr>
        <w:top w:val="none" w:sz="0" w:space="0" w:color="auto"/>
        <w:left w:val="none" w:sz="0" w:space="0" w:color="auto"/>
        <w:bottom w:val="none" w:sz="0" w:space="0" w:color="auto"/>
        <w:right w:val="none" w:sz="0" w:space="0" w:color="auto"/>
      </w:divBdr>
    </w:div>
    <w:div w:id="2086685842">
      <w:bodyDiv w:val="1"/>
      <w:marLeft w:val="0"/>
      <w:marRight w:val="0"/>
      <w:marTop w:val="0"/>
      <w:marBottom w:val="0"/>
      <w:divBdr>
        <w:top w:val="none" w:sz="0" w:space="0" w:color="auto"/>
        <w:left w:val="none" w:sz="0" w:space="0" w:color="auto"/>
        <w:bottom w:val="none" w:sz="0" w:space="0" w:color="auto"/>
        <w:right w:val="none" w:sz="0" w:space="0" w:color="auto"/>
      </w:divBdr>
    </w:div>
    <w:div w:id="2087215959">
      <w:bodyDiv w:val="1"/>
      <w:marLeft w:val="0"/>
      <w:marRight w:val="0"/>
      <w:marTop w:val="0"/>
      <w:marBottom w:val="0"/>
      <w:divBdr>
        <w:top w:val="none" w:sz="0" w:space="0" w:color="auto"/>
        <w:left w:val="none" w:sz="0" w:space="0" w:color="auto"/>
        <w:bottom w:val="none" w:sz="0" w:space="0" w:color="auto"/>
        <w:right w:val="none" w:sz="0" w:space="0" w:color="auto"/>
      </w:divBdr>
    </w:div>
    <w:div w:id="2087531275">
      <w:bodyDiv w:val="1"/>
      <w:marLeft w:val="0"/>
      <w:marRight w:val="0"/>
      <w:marTop w:val="0"/>
      <w:marBottom w:val="0"/>
      <w:divBdr>
        <w:top w:val="none" w:sz="0" w:space="0" w:color="auto"/>
        <w:left w:val="none" w:sz="0" w:space="0" w:color="auto"/>
        <w:bottom w:val="none" w:sz="0" w:space="0" w:color="auto"/>
        <w:right w:val="none" w:sz="0" w:space="0" w:color="auto"/>
      </w:divBdr>
    </w:div>
    <w:div w:id="2089498456">
      <w:bodyDiv w:val="1"/>
      <w:marLeft w:val="0"/>
      <w:marRight w:val="0"/>
      <w:marTop w:val="0"/>
      <w:marBottom w:val="0"/>
      <w:divBdr>
        <w:top w:val="none" w:sz="0" w:space="0" w:color="auto"/>
        <w:left w:val="none" w:sz="0" w:space="0" w:color="auto"/>
        <w:bottom w:val="none" w:sz="0" w:space="0" w:color="auto"/>
        <w:right w:val="none" w:sz="0" w:space="0" w:color="auto"/>
      </w:divBdr>
    </w:div>
    <w:div w:id="2090761883">
      <w:bodyDiv w:val="1"/>
      <w:marLeft w:val="0"/>
      <w:marRight w:val="0"/>
      <w:marTop w:val="0"/>
      <w:marBottom w:val="0"/>
      <w:divBdr>
        <w:top w:val="none" w:sz="0" w:space="0" w:color="auto"/>
        <w:left w:val="none" w:sz="0" w:space="0" w:color="auto"/>
        <w:bottom w:val="none" w:sz="0" w:space="0" w:color="auto"/>
        <w:right w:val="none" w:sz="0" w:space="0" w:color="auto"/>
      </w:divBdr>
    </w:div>
    <w:div w:id="2093355082">
      <w:bodyDiv w:val="1"/>
      <w:marLeft w:val="0"/>
      <w:marRight w:val="0"/>
      <w:marTop w:val="0"/>
      <w:marBottom w:val="0"/>
      <w:divBdr>
        <w:top w:val="none" w:sz="0" w:space="0" w:color="auto"/>
        <w:left w:val="none" w:sz="0" w:space="0" w:color="auto"/>
        <w:bottom w:val="none" w:sz="0" w:space="0" w:color="auto"/>
        <w:right w:val="none" w:sz="0" w:space="0" w:color="auto"/>
      </w:divBdr>
    </w:div>
    <w:div w:id="2094663637">
      <w:bodyDiv w:val="1"/>
      <w:marLeft w:val="0"/>
      <w:marRight w:val="0"/>
      <w:marTop w:val="0"/>
      <w:marBottom w:val="0"/>
      <w:divBdr>
        <w:top w:val="none" w:sz="0" w:space="0" w:color="auto"/>
        <w:left w:val="none" w:sz="0" w:space="0" w:color="auto"/>
        <w:bottom w:val="none" w:sz="0" w:space="0" w:color="auto"/>
        <w:right w:val="none" w:sz="0" w:space="0" w:color="auto"/>
      </w:divBdr>
    </w:div>
    <w:div w:id="2095278140">
      <w:bodyDiv w:val="1"/>
      <w:marLeft w:val="0"/>
      <w:marRight w:val="0"/>
      <w:marTop w:val="0"/>
      <w:marBottom w:val="0"/>
      <w:divBdr>
        <w:top w:val="none" w:sz="0" w:space="0" w:color="auto"/>
        <w:left w:val="none" w:sz="0" w:space="0" w:color="auto"/>
        <w:bottom w:val="none" w:sz="0" w:space="0" w:color="auto"/>
        <w:right w:val="none" w:sz="0" w:space="0" w:color="auto"/>
      </w:divBdr>
    </w:div>
    <w:div w:id="2096433316">
      <w:bodyDiv w:val="1"/>
      <w:marLeft w:val="0"/>
      <w:marRight w:val="0"/>
      <w:marTop w:val="0"/>
      <w:marBottom w:val="0"/>
      <w:divBdr>
        <w:top w:val="none" w:sz="0" w:space="0" w:color="auto"/>
        <w:left w:val="none" w:sz="0" w:space="0" w:color="auto"/>
        <w:bottom w:val="none" w:sz="0" w:space="0" w:color="auto"/>
        <w:right w:val="none" w:sz="0" w:space="0" w:color="auto"/>
      </w:divBdr>
    </w:div>
    <w:div w:id="2097558309">
      <w:bodyDiv w:val="1"/>
      <w:marLeft w:val="0"/>
      <w:marRight w:val="0"/>
      <w:marTop w:val="0"/>
      <w:marBottom w:val="0"/>
      <w:divBdr>
        <w:top w:val="none" w:sz="0" w:space="0" w:color="auto"/>
        <w:left w:val="none" w:sz="0" w:space="0" w:color="auto"/>
        <w:bottom w:val="none" w:sz="0" w:space="0" w:color="auto"/>
        <w:right w:val="none" w:sz="0" w:space="0" w:color="auto"/>
      </w:divBdr>
    </w:div>
    <w:div w:id="2097944394">
      <w:bodyDiv w:val="1"/>
      <w:marLeft w:val="0"/>
      <w:marRight w:val="0"/>
      <w:marTop w:val="0"/>
      <w:marBottom w:val="0"/>
      <w:divBdr>
        <w:top w:val="none" w:sz="0" w:space="0" w:color="auto"/>
        <w:left w:val="none" w:sz="0" w:space="0" w:color="auto"/>
        <w:bottom w:val="none" w:sz="0" w:space="0" w:color="auto"/>
        <w:right w:val="none" w:sz="0" w:space="0" w:color="auto"/>
      </w:divBdr>
    </w:div>
    <w:div w:id="2099013868">
      <w:bodyDiv w:val="1"/>
      <w:marLeft w:val="0"/>
      <w:marRight w:val="0"/>
      <w:marTop w:val="0"/>
      <w:marBottom w:val="0"/>
      <w:divBdr>
        <w:top w:val="none" w:sz="0" w:space="0" w:color="auto"/>
        <w:left w:val="none" w:sz="0" w:space="0" w:color="auto"/>
        <w:bottom w:val="none" w:sz="0" w:space="0" w:color="auto"/>
        <w:right w:val="none" w:sz="0" w:space="0" w:color="auto"/>
      </w:divBdr>
    </w:div>
    <w:div w:id="2101824953">
      <w:bodyDiv w:val="1"/>
      <w:marLeft w:val="0"/>
      <w:marRight w:val="0"/>
      <w:marTop w:val="0"/>
      <w:marBottom w:val="0"/>
      <w:divBdr>
        <w:top w:val="none" w:sz="0" w:space="0" w:color="auto"/>
        <w:left w:val="none" w:sz="0" w:space="0" w:color="auto"/>
        <w:bottom w:val="none" w:sz="0" w:space="0" w:color="auto"/>
        <w:right w:val="none" w:sz="0" w:space="0" w:color="auto"/>
      </w:divBdr>
    </w:div>
    <w:div w:id="2102096698">
      <w:bodyDiv w:val="1"/>
      <w:marLeft w:val="0"/>
      <w:marRight w:val="0"/>
      <w:marTop w:val="0"/>
      <w:marBottom w:val="0"/>
      <w:divBdr>
        <w:top w:val="none" w:sz="0" w:space="0" w:color="auto"/>
        <w:left w:val="none" w:sz="0" w:space="0" w:color="auto"/>
        <w:bottom w:val="none" w:sz="0" w:space="0" w:color="auto"/>
        <w:right w:val="none" w:sz="0" w:space="0" w:color="auto"/>
      </w:divBdr>
    </w:div>
    <w:div w:id="2102556343">
      <w:bodyDiv w:val="1"/>
      <w:marLeft w:val="0"/>
      <w:marRight w:val="0"/>
      <w:marTop w:val="0"/>
      <w:marBottom w:val="0"/>
      <w:divBdr>
        <w:top w:val="none" w:sz="0" w:space="0" w:color="auto"/>
        <w:left w:val="none" w:sz="0" w:space="0" w:color="auto"/>
        <w:bottom w:val="none" w:sz="0" w:space="0" w:color="auto"/>
        <w:right w:val="none" w:sz="0" w:space="0" w:color="auto"/>
      </w:divBdr>
    </w:div>
    <w:div w:id="2103524061">
      <w:bodyDiv w:val="1"/>
      <w:marLeft w:val="0"/>
      <w:marRight w:val="0"/>
      <w:marTop w:val="0"/>
      <w:marBottom w:val="0"/>
      <w:divBdr>
        <w:top w:val="none" w:sz="0" w:space="0" w:color="auto"/>
        <w:left w:val="none" w:sz="0" w:space="0" w:color="auto"/>
        <w:bottom w:val="none" w:sz="0" w:space="0" w:color="auto"/>
        <w:right w:val="none" w:sz="0" w:space="0" w:color="auto"/>
      </w:divBdr>
    </w:div>
    <w:div w:id="2104572981">
      <w:bodyDiv w:val="1"/>
      <w:marLeft w:val="0"/>
      <w:marRight w:val="0"/>
      <w:marTop w:val="0"/>
      <w:marBottom w:val="0"/>
      <w:divBdr>
        <w:top w:val="none" w:sz="0" w:space="0" w:color="auto"/>
        <w:left w:val="none" w:sz="0" w:space="0" w:color="auto"/>
        <w:bottom w:val="none" w:sz="0" w:space="0" w:color="auto"/>
        <w:right w:val="none" w:sz="0" w:space="0" w:color="auto"/>
      </w:divBdr>
    </w:div>
    <w:div w:id="2104839244">
      <w:bodyDiv w:val="1"/>
      <w:marLeft w:val="0"/>
      <w:marRight w:val="0"/>
      <w:marTop w:val="0"/>
      <w:marBottom w:val="0"/>
      <w:divBdr>
        <w:top w:val="none" w:sz="0" w:space="0" w:color="auto"/>
        <w:left w:val="none" w:sz="0" w:space="0" w:color="auto"/>
        <w:bottom w:val="none" w:sz="0" w:space="0" w:color="auto"/>
        <w:right w:val="none" w:sz="0" w:space="0" w:color="auto"/>
      </w:divBdr>
    </w:div>
    <w:div w:id="2104913522">
      <w:bodyDiv w:val="1"/>
      <w:marLeft w:val="0"/>
      <w:marRight w:val="0"/>
      <w:marTop w:val="0"/>
      <w:marBottom w:val="0"/>
      <w:divBdr>
        <w:top w:val="none" w:sz="0" w:space="0" w:color="auto"/>
        <w:left w:val="none" w:sz="0" w:space="0" w:color="auto"/>
        <w:bottom w:val="none" w:sz="0" w:space="0" w:color="auto"/>
        <w:right w:val="none" w:sz="0" w:space="0" w:color="auto"/>
      </w:divBdr>
    </w:div>
    <w:div w:id="2105955398">
      <w:bodyDiv w:val="1"/>
      <w:marLeft w:val="0"/>
      <w:marRight w:val="0"/>
      <w:marTop w:val="0"/>
      <w:marBottom w:val="0"/>
      <w:divBdr>
        <w:top w:val="none" w:sz="0" w:space="0" w:color="auto"/>
        <w:left w:val="none" w:sz="0" w:space="0" w:color="auto"/>
        <w:bottom w:val="none" w:sz="0" w:space="0" w:color="auto"/>
        <w:right w:val="none" w:sz="0" w:space="0" w:color="auto"/>
      </w:divBdr>
    </w:div>
    <w:div w:id="2106996617">
      <w:bodyDiv w:val="1"/>
      <w:marLeft w:val="0"/>
      <w:marRight w:val="0"/>
      <w:marTop w:val="0"/>
      <w:marBottom w:val="0"/>
      <w:divBdr>
        <w:top w:val="none" w:sz="0" w:space="0" w:color="auto"/>
        <w:left w:val="none" w:sz="0" w:space="0" w:color="auto"/>
        <w:bottom w:val="none" w:sz="0" w:space="0" w:color="auto"/>
        <w:right w:val="none" w:sz="0" w:space="0" w:color="auto"/>
      </w:divBdr>
    </w:div>
    <w:div w:id="2107772552">
      <w:bodyDiv w:val="1"/>
      <w:marLeft w:val="0"/>
      <w:marRight w:val="0"/>
      <w:marTop w:val="0"/>
      <w:marBottom w:val="0"/>
      <w:divBdr>
        <w:top w:val="none" w:sz="0" w:space="0" w:color="auto"/>
        <w:left w:val="none" w:sz="0" w:space="0" w:color="auto"/>
        <w:bottom w:val="none" w:sz="0" w:space="0" w:color="auto"/>
        <w:right w:val="none" w:sz="0" w:space="0" w:color="auto"/>
      </w:divBdr>
    </w:div>
    <w:div w:id="2108766032">
      <w:bodyDiv w:val="1"/>
      <w:marLeft w:val="0"/>
      <w:marRight w:val="0"/>
      <w:marTop w:val="0"/>
      <w:marBottom w:val="0"/>
      <w:divBdr>
        <w:top w:val="none" w:sz="0" w:space="0" w:color="auto"/>
        <w:left w:val="none" w:sz="0" w:space="0" w:color="auto"/>
        <w:bottom w:val="none" w:sz="0" w:space="0" w:color="auto"/>
        <w:right w:val="none" w:sz="0" w:space="0" w:color="auto"/>
      </w:divBdr>
    </w:div>
    <w:div w:id="2109227739">
      <w:bodyDiv w:val="1"/>
      <w:marLeft w:val="0"/>
      <w:marRight w:val="0"/>
      <w:marTop w:val="0"/>
      <w:marBottom w:val="0"/>
      <w:divBdr>
        <w:top w:val="none" w:sz="0" w:space="0" w:color="auto"/>
        <w:left w:val="none" w:sz="0" w:space="0" w:color="auto"/>
        <w:bottom w:val="none" w:sz="0" w:space="0" w:color="auto"/>
        <w:right w:val="none" w:sz="0" w:space="0" w:color="auto"/>
      </w:divBdr>
    </w:div>
    <w:div w:id="2111386283">
      <w:bodyDiv w:val="1"/>
      <w:marLeft w:val="0"/>
      <w:marRight w:val="0"/>
      <w:marTop w:val="0"/>
      <w:marBottom w:val="0"/>
      <w:divBdr>
        <w:top w:val="none" w:sz="0" w:space="0" w:color="auto"/>
        <w:left w:val="none" w:sz="0" w:space="0" w:color="auto"/>
        <w:bottom w:val="none" w:sz="0" w:space="0" w:color="auto"/>
        <w:right w:val="none" w:sz="0" w:space="0" w:color="auto"/>
      </w:divBdr>
    </w:div>
    <w:div w:id="2112239861">
      <w:bodyDiv w:val="1"/>
      <w:marLeft w:val="0"/>
      <w:marRight w:val="0"/>
      <w:marTop w:val="0"/>
      <w:marBottom w:val="0"/>
      <w:divBdr>
        <w:top w:val="none" w:sz="0" w:space="0" w:color="auto"/>
        <w:left w:val="none" w:sz="0" w:space="0" w:color="auto"/>
        <w:bottom w:val="none" w:sz="0" w:space="0" w:color="auto"/>
        <w:right w:val="none" w:sz="0" w:space="0" w:color="auto"/>
      </w:divBdr>
    </w:div>
    <w:div w:id="2112508404">
      <w:bodyDiv w:val="1"/>
      <w:marLeft w:val="0"/>
      <w:marRight w:val="0"/>
      <w:marTop w:val="0"/>
      <w:marBottom w:val="0"/>
      <w:divBdr>
        <w:top w:val="none" w:sz="0" w:space="0" w:color="auto"/>
        <w:left w:val="none" w:sz="0" w:space="0" w:color="auto"/>
        <w:bottom w:val="none" w:sz="0" w:space="0" w:color="auto"/>
        <w:right w:val="none" w:sz="0" w:space="0" w:color="auto"/>
      </w:divBdr>
    </w:div>
    <w:div w:id="2112699784">
      <w:bodyDiv w:val="1"/>
      <w:marLeft w:val="0"/>
      <w:marRight w:val="0"/>
      <w:marTop w:val="0"/>
      <w:marBottom w:val="0"/>
      <w:divBdr>
        <w:top w:val="none" w:sz="0" w:space="0" w:color="auto"/>
        <w:left w:val="none" w:sz="0" w:space="0" w:color="auto"/>
        <w:bottom w:val="none" w:sz="0" w:space="0" w:color="auto"/>
        <w:right w:val="none" w:sz="0" w:space="0" w:color="auto"/>
      </w:divBdr>
    </w:div>
    <w:div w:id="2113015321">
      <w:bodyDiv w:val="1"/>
      <w:marLeft w:val="0"/>
      <w:marRight w:val="0"/>
      <w:marTop w:val="0"/>
      <w:marBottom w:val="0"/>
      <w:divBdr>
        <w:top w:val="none" w:sz="0" w:space="0" w:color="auto"/>
        <w:left w:val="none" w:sz="0" w:space="0" w:color="auto"/>
        <w:bottom w:val="none" w:sz="0" w:space="0" w:color="auto"/>
        <w:right w:val="none" w:sz="0" w:space="0" w:color="auto"/>
      </w:divBdr>
    </w:div>
    <w:div w:id="2115906094">
      <w:bodyDiv w:val="1"/>
      <w:marLeft w:val="0"/>
      <w:marRight w:val="0"/>
      <w:marTop w:val="0"/>
      <w:marBottom w:val="0"/>
      <w:divBdr>
        <w:top w:val="none" w:sz="0" w:space="0" w:color="auto"/>
        <w:left w:val="none" w:sz="0" w:space="0" w:color="auto"/>
        <w:bottom w:val="none" w:sz="0" w:space="0" w:color="auto"/>
        <w:right w:val="none" w:sz="0" w:space="0" w:color="auto"/>
      </w:divBdr>
    </w:div>
    <w:div w:id="2116553363">
      <w:bodyDiv w:val="1"/>
      <w:marLeft w:val="0"/>
      <w:marRight w:val="0"/>
      <w:marTop w:val="0"/>
      <w:marBottom w:val="0"/>
      <w:divBdr>
        <w:top w:val="none" w:sz="0" w:space="0" w:color="auto"/>
        <w:left w:val="none" w:sz="0" w:space="0" w:color="auto"/>
        <w:bottom w:val="none" w:sz="0" w:space="0" w:color="auto"/>
        <w:right w:val="none" w:sz="0" w:space="0" w:color="auto"/>
      </w:divBdr>
    </w:div>
    <w:div w:id="2117669601">
      <w:bodyDiv w:val="1"/>
      <w:marLeft w:val="0"/>
      <w:marRight w:val="0"/>
      <w:marTop w:val="0"/>
      <w:marBottom w:val="0"/>
      <w:divBdr>
        <w:top w:val="none" w:sz="0" w:space="0" w:color="auto"/>
        <w:left w:val="none" w:sz="0" w:space="0" w:color="auto"/>
        <w:bottom w:val="none" w:sz="0" w:space="0" w:color="auto"/>
        <w:right w:val="none" w:sz="0" w:space="0" w:color="auto"/>
      </w:divBdr>
    </w:div>
    <w:div w:id="2117864694">
      <w:bodyDiv w:val="1"/>
      <w:marLeft w:val="0"/>
      <w:marRight w:val="0"/>
      <w:marTop w:val="0"/>
      <w:marBottom w:val="0"/>
      <w:divBdr>
        <w:top w:val="none" w:sz="0" w:space="0" w:color="auto"/>
        <w:left w:val="none" w:sz="0" w:space="0" w:color="auto"/>
        <w:bottom w:val="none" w:sz="0" w:space="0" w:color="auto"/>
        <w:right w:val="none" w:sz="0" w:space="0" w:color="auto"/>
      </w:divBdr>
    </w:div>
    <w:div w:id="2119785899">
      <w:bodyDiv w:val="1"/>
      <w:marLeft w:val="0"/>
      <w:marRight w:val="0"/>
      <w:marTop w:val="0"/>
      <w:marBottom w:val="0"/>
      <w:divBdr>
        <w:top w:val="none" w:sz="0" w:space="0" w:color="auto"/>
        <w:left w:val="none" w:sz="0" w:space="0" w:color="auto"/>
        <w:bottom w:val="none" w:sz="0" w:space="0" w:color="auto"/>
        <w:right w:val="none" w:sz="0" w:space="0" w:color="auto"/>
      </w:divBdr>
    </w:div>
    <w:div w:id="2121797474">
      <w:bodyDiv w:val="1"/>
      <w:marLeft w:val="0"/>
      <w:marRight w:val="0"/>
      <w:marTop w:val="0"/>
      <w:marBottom w:val="0"/>
      <w:divBdr>
        <w:top w:val="none" w:sz="0" w:space="0" w:color="auto"/>
        <w:left w:val="none" w:sz="0" w:space="0" w:color="auto"/>
        <w:bottom w:val="none" w:sz="0" w:space="0" w:color="auto"/>
        <w:right w:val="none" w:sz="0" w:space="0" w:color="auto"/>
      </w:divBdr>
    </w:div>
    <w:div w:id="2121878387">
      <w:bodyDiv w:val="1"/>
      <w:marLeft w:val="0"/>
      <w:marRight w:val="0"/>
      <w:marTop w:val="0"/>
      <w:marBottom w:val="0"/>
      <w:divBdr>
        <w:top w:val="none" w:sz="0" w:space="0" w:color="auto"/>
        <w:left w:val="none" w:sz="0" w:space="0" w:color="auto"/>
        <w:bottom w:val="none" w:sz="0" w:space="0" w:color="auto"/>
        <w:right w:val="none" w:sz="0" w:space="0" w:color="auto"/>
      </w:divBdr>
    </w:div>
    <w:div w:id="2122064196">
      <w:bodyDiv w:val="1"/>
      <w:marLeft w:val="0"/>
      <w:marRight w:val="0"/>
      <w:marTop w:val="0"/>
      <w:marBottom w:val="0"/>
      <w:divBdr>
        <w:top w:val="none" w:sz="0" w:space="0" w:color="auto"/>
        <w:left w:val="none" w:sz="0" w:space="0" w:color="auto"/>
        <w:bottom w:val="none" w:sz="0" w:space="0" w:color="auto"/>
        <w:right w:val="none" w:sz="0" w:space="0" w:color="auto"/>
      </w:divBdr>
    </w:div>
    <w:div w:id="2123528789">
      <w:bodyDiv w:val="1"/>
      <w:marLeft w:val="0"/>
      <w:marRight w:val="0"/>
      <w:marTop w:val="0"/>
      <w:marBottom w:val="0"/>
      <w:divBdr>
        <w:top w:val="none" w:sz="0" w:space="0" w:color="auto"/>
        <w:left w:val="none" w:sz="0" w:space="0" w:color="auto"/>
        <w:bottom w:val="none" w:sz="0" w:space="0" w:color="auto"/>
        <w:right w:val="none" w:sz="0" w:space="0" w:color="auto"/>
      </w:divBdr>
    </w:div>
    <w:div w:id="2124686874">
      <w:bodyDiv w:val="1"/>
      <w:marLeft w:val="0"/>
      <w:marRight w:val="0"/>
      <w:marTop w:val="0"/>
      <w:marBottom w:val="0"/>
      <w:divBdr>
        <w:top w:val="none" w:sz="0" w:space="0" w:color="auto"/>
        <w:left w:val="none" w:sz="0" w:space="0" w:color="auto"/>
        <w:bottom w:val="none" w:sz="0" w:space="0" w:color="auto"/>
        <w:right w:val="none" w:sz="0" w:space="0" w:color="auto"/>
      </w:divBdr>
    </w:div>
    <w:div w:id="2125273467">
      <w:bodyDiv w:val="1"/>
      <w:marLeft w:val="0"/>
      <w:marRight w:val="0"/>
      <w:marTop w:val="0"/>
      <w:marBottom w:val="0"/>
      <w:divBdr>
        <w:top w:val="none" w:sz="0" w:space="0" w:color="auto"/>
        <w:left w:val="none" w:sz="0" w:space="0" w:color="auto"/>
        <w:bottom w:val="none" w:sz="0" w:space="0" w:color="auto"/>
        <w:right w:val="none" w:sz="0" w:space="0" w:color="auto"/>
      </w:divBdr>
    </w:div>
    <w:div w:id="2125533890">
      <w:bodyDiv w:val="1"/>
      <w:marLeft w:val="0"/>
      <w:marRight w:val="0"/>
      <w:marTop w:val="0"/>
      <w:marBottom w:val="0"/>
      <w:divBdr>
        <w:top w:val="none" w:sz="0" w:space="0" w:color="auto"/>
        <w:left w:val="none" w:sz="0" w:space="0" w:color="auto"/>
        <w:bottom w:val="none" w:sz="0" w:space="0" w:color="auto"/>
        <w:right w:val="none" w:sz="0" w:space="0" w:color="auto"/>
      </w:divBdr>
    </w:div>
    <w:div w:id="2126146304">
      <w:bodyDiv w:val="1"/>
      <w:marLeft w:val="0"/>
      <w:marRight w:val="0"/>
      <w:marTop w:val="0"/>
      <w:marBottom w:val="0"/>
      <w:divBdr>
        <w:top w:val="none" w:sz="0" w:space="0" w:color="auto"/>
        <w:left w:val="none" w:sz="0" w:space="0" w:color="auto"/>
        <w:bottom w:val="none" w:sz="0" w:space="0" w:color="auto"/>
        <w:right w:val="none" w:sz="0" w:space="0" w:color="auto"/>
      </w:divBdr>
    </w:div>
    <w:div w:id="2127505316">
      <w:bodyDiv w:val="1"/>
      <w:marLeft w:val="0"/>
      <w:marRight w:val="0"/>
      <w:marTop w:val="0"/>
      <w:marBottom w:val="0"/>
      <w:divBdr>
        <w:top w:val="none" w:sz="0" w:space="0" w:color="auto"/>
        <w:left w:val="none" w:sz="0" w:space="0" w:color="auto"/>
        <w:bottom w:val="none" w:sz="0" w:space="0" w:color="auto"/>
        <w:right w:val="none" w:sz="0" w:space="0" w:color="auto"/>
      </w:divBdr>
    </w:div>
    <w:div w:id="2128692943">
      <w:bodyDiv w:val="1"/>
      <w:marLeft w:val="0"/>
      <w:marRight w:val="0"/>
      <w:marTop w:val="0"/>
      <w:marBottom w:val="0"/>
      <w:divBdr>
        <w:top w:val="none" w:sz="0" w:space="0" w:color="auto"/>
        <w:left w:val="none" w:sz="0" w:space="0" w:color="auto"/>
        <w:bottom w:val="none" w:sz="0" w:space="0" w:color="auto"/>
        <w:right w:val="none" w:sz="0" w:space="0" w:color="auto"/>
      </w:divBdr>
    </w:div>
    <w:div w:id="2128693705">
      <w:bodyDiv w:val="1"/>
      <w:marLeft w:val="0"/>
      <w:marRight w:val="0"/>
      <w:marTop w:val="0"/>
      <w:marBottom w:val="0"/>
      <w:divBdr>
        <w:top w:val="none" w:sz="0" w:space="0" w:color="auto"/>
        <w:left w:val="none" w:sz="0" w:space="0" w:color="auto"/>
        <w:bottom w:val="none" w:sz="0" w:space="0" w:color="auto"/>
        <w:right w:val="none" w:sz="0" w:space="0" w:color="auto"/>
      </w:divBdr>
    </w:div>
    <w:div w:id="2129354479">
      <w:bodyDiv w:val="1"/>
      <w:marLeft w:val="0"/>
      <w:marRight w:val="0"/>
      <w:marTop w:val="0"/>
      <w:marBottom w:val="0"/>
      <w:divBdr>
        <w:top w:val="none" w:sz="0" w:space="0" w:color="auto"/>
        <w:left w:val="none" w:sz="0" w:space="0" w:color="auto"/>
        <w:bottom w:val="none" w:sz="0" w:space="0" w:color="auto"/>
        <w:right w:val="none" w:sz="0" w:space="0" w:color="auto"/>
      </w:divBdr>
    </w:div>
    <w:div w:id="2129859868">
      <w:bodyDiv w:val="1"/>
      <w:marLeft w:val="0"/>
      <w:marRight w:val="0"/>
      <w:marTop w:val="0"/>
      <w:marBottom w:val="0"/>
      <w:divBdr>
        <w:top w:val="none" w:sz="0" w:space="0" w:color="auto"/>
        <w:left w:val="none" w:sz="0" w:space="0" w:color="auto"/>
        <w:bottom w:val="none" w:sz="0" w:space="0" w:color="auto"/>
        <w:right w:val="none" w:sz="0" w:space="0" w:color="auto"/>
      </w:divBdr>
    </w:div>
    <w:div w:id="2131627265">
      <w:bodyDiv w:val="1"/>
      <w:marLeft w:val="0"/>
      <w:marRight w:val="0"/>
      <w:marTop w:val="0"/>
      <w:marBottom w:val="0"/>
      <w:divBdr>
        <w:top w:val="none" w:sz="0" w:space="0" w:color="auto"/>
        <w:left w:val="none" w:sz="0" w:space="0" w:color="auto"/>
        <w:bottom w:val="none" w:sz="0" w:space="0" w:color="auto"/>
        <w:right w:val="none" w:sz="0" w:space="0" w:color="auto"/>
      </w:divBdr>
    </w:div>
    <w:div w:id="2134011936">
      <w:bodyDiv w:val="1"/>
      <w:marLeft w:val="0"/>
      <w:marRight w:val="0"/>
      <w:marTop w:val="0"/>
      <w:marBottom w:val="0"/>
      <w:divBdr>
        <w:top w:val="none" w:sz="0" w:space="0" w:color="auto"/>
        <w:left w:val="none" w:sz="0" w:space="0" w:color="auto"/>
        <w:bottom w:val="none" w:sz="0" w:space="0" w:color="auto"/>
        <w:right w:val="none" w:sz="0" w:space="0" w:color="auto"/>
      </w:divBdr>
    </w:div>
    <w:div w:id="2137218129">
      <w:bodyDiv w:val="1"/>
      <w:marLeft w:val="0"/>
      <w:marRight w:val="0"/>
      <w:marTop w:val="0"/>
      <w:marBottom w:val="0"/>
      <w:divBdr>
        <w:top w:val="none" w:sz="0" w:space="0" w:color="auto"/>
        <w:left w:val="none" w:sz="0" w:space="0" w:color="auto"/>
        <w:bottom w:val="none" w:sz="0" w:space="0" w:color="auto"/>
        <w:right w:val="none" w:sz="0" w:space="0" w:color="auto"/>
      </w:divBdr>
    </w:div>
    <w:div w:id="2137286060">
      <w:bodyDiv w:val="1"/>
      <w:marLeft w:val="0"/>
      <w:marRight w:val="0"/>
      <w:marTop w:val="0"/>
      <w:marBottom w:val="0"/>
      <w:divBdr>
        <w:top w:val="none" w:sz="0" w:space="0" w:color="auto"/>
        <w:left w:val="none" w:sz="0" w:space="0" w:color="auto"/>
        <w:bottom w:val="none" w:sz="0" w:space="0" w:color="auto"/>
        <w:right w:val="none" w:sz="0" w:space="0" w:color="auto"/>
      </w:divBdr>
    </w:div>
    <w:div w:id="2137868439">
      <w:bodyDiv w:val="1"/>
      <w:marLeft w:val="0"/>
      <w:marRight w:val="0"/>
      <w:marTop w:val="0"/>
      <w:marBottom w:val="0"/>
      <w:divBdr>
        <w:top w:val="none" w:sz="0" w:space="0" w:color="auto"/>
        <w:left w:val="none" w:sz="0" w:space="0" w:color="auto"/>
        <w:bottom w:val="none" w:sz="0" w:space="0" w:color="auto"/>
        <w:right w:val="none" w:sz="0" w:space="0" w:color="auto"/>
      </w:divBdr>
    </w:div>
    <w:div w:id="2138063885">
      <w:bodyDiv w:val="1"/>
      <w:marLeft w:val="0"/>
      <w:marRight w:val="0"/>
      <w:marTop w:val="0"/>
      <w:marBottom w:val="0"/>
      <w:divBdr>
        <w:top w:val="none" w:sz="0" w:space="0" w:color="auto"/>
        <w:left w:val="none" w:sz="0" w:space="0" w:color="auto"/>
        <w:bottom w:val="none" w:sz="0" w:space="0" w:color="auto"/>
        <w:right w:val="none" w:sz="0" w:space="0" w:color="auto"/>
      </w:divBdr>
    </w:div>
    <w:div w:id="2138642854">
      <w:bodyDiv w:val="1"/>
      <w:marLeft w:val="0"/>
      <w:marRight w:val="0"/>
      <w:marTop w:val="0"/>
      <w:marBottom w:val="0"/>
      <w:divBdr>
        <w:top w:val="none" w:sz="0" w:space="0" w:color="auto"/>
        <w:left w:val="none" w:sz="0" w:space="0" w:color="auto"/>
        <w:bottom w:val="none" w:sz="0" w:space="0" w:color="auto"/>
        <w:right w:val="none" w:sz="0" w:space="0" w:color="auto"/>
      </w:divBdr>
    </w:div>
    <w:div w:id="2139226751">
      <w:bodyDiv w:val="1"/>
      <w:marLeft w:val="0"/>
      <w:marRight w:val="0"/>
      <w:marTop w:val="0"/>
      <w:marBottom w:val="0"/>
      <w:divBdr>
        <w:top w:val="none" w:sz="0" w:space="0" w:color="auto"/>
        <w:left w:val="none" w:sz="0" w:space="0" w:color="auto"/>
        <w:bottom w:val="none" w:sz="0" w:space="0" w:color="auto"/>
        <w:right w:val="none" w:sz="0" w:space="0" w:color="auto"/>
      </w:divBdr>
    </w:div>
    <w:div w:id="2140219186">
      <w:bodyDiv w:val="1"/>
      <w:marLeft w:val="0"/>
      <w:marRight w:val="0"/>
      <w:marTop w:val="0"/>
      <w:marBottom w:val="0"/>
      <w:divBdr>
        <w:top w:val="none" w:sz="0" w:space="0" w:color="auto"/>
        <w:left w:val="none" w:sz="0" w:space="0" w:color="auto"/>
        <w:bottom w:val="none" w:sz="0" w:space="0" w:color="auto"/>
        <w:right w:val="none" w:sz="0" w:space="0" w:color="auto"/>
      </w:divBdr>
    </w:div>
    <w:div w:id="2140956544">
      <w:bodyDiv w:val="1"/>
      <w:marLeft w:val="0"/>
      <w:marRight w:val="0"/>
      <w:marTop w:val="0"/>
      <w:marBottom w:val="0"/>
      <w:divBdr>
        <w:top w:val="none" w:sz="0" w:space="0" w:color="auto"/>
        <w:left w:val="none" w:sz="0" w:space="0" w:color="auto"/>
        <w:bottom w:val="none" w:sz="0" w:space="0" w:color="auto"/>
        <w:right w:val="none" w:sz="0" w:space="0" w:color="auto"/>
      </w:divBdr>
    </w:div>
    <w:div w:id="2142116927">
      <w:bodyDiv w:val="1"/>
      <w:marLeft w:val="0"/>
      <w:marRight w:val="0"/>
      <w:marTop w:val="0"/>
      <w:marBottom w:val="0"/>
      <w:divBdr>
        <w:top w:val="none" w:sz="0" w:space="0" w:color="auto"/>
        <w:left w:val="none" w:sz="0" w:space="0" w:color="auto"/>
        <w:bottom w:val="none" w:sz="0" w:space="0" w:color="auto"/>
        <w:right w:val="none" w:sz="0" w:space="0" w:color="auto"/>
      </w:divBdr>
    </w:div>
    <w:div w:id="2142378733">
      <w:bodyDiv w:val="1"/>
      <w:marLeft w:val="0"/>
      <w:marRight w:val="0"/>
      <w:marTop w:val="0"/>
      <w:marBottom w:val="0"/>
      <w:divBdr>
        <w:top w:val="none" w:sz="0" w:space="0" w:color="auto"/>
        <w:left w:val="none" w:sz="0" w:space="0" w:color="auto"/>
        <w:bottom w:val="none" w:sz="0" w:space="0" w:color="auto"/>
        <w:right w:val="none" w:sz="0" w:space="0" w:color="auto"/>
      </w:divBdr>
    </w:div>
    <w:div w:id="2142647470">
      <w:bodyDiv w:val="1"/>
      <w:marLeft w:val="0"/>
      <w:marRight w:val="0"/>
      <w:marTop w:val="0"/>
      <w:marBottom w:val="0"/>
      <w:divBdr>
        <w:top w:val="none" w:sz="0" w:space="0" w:color="auto"/>
        <w:left w:val="none" w:sz="0" w:space="0" w:color="auto"/>
        <w:bottom w:val="none" w:sz="0" w:space="0" w:color="auto"/>
        <w:right w:val="none" w:sz="0" w:space="0" w:color="auto"/>
      </w:divBdr>
    </w:div>
    <w:div w:id="2143965064">
      <w:bodyDiv w:val="1"/>
      <w:marLeft w:val="0"/>
      <w:marRight w:val="0"/>
      <w:marTop w:val="0"/>
      <w:marBottom w:val="0"/>
      <w:divBdr>
        <w:top w:val="none" w:sz="0" w:space="0" w:color="auto"/>
        <w:left w:val="none" w:sz="0" w:space="0" w:color="auto"/>
        <w:bottom w:val="none" w:sz="0" w:space="0" w:color="auto"/>
        <w:right w:val="none" w:sz="0" w:space="0" w:color="auto"/>
      </w:divBdr>
    </w:div>
    <w:div w:id="2147311758">
      <w:bodyDiv w:val="1"/>
      <w:marLeft w:val="0"/>
      <w:marRight w:val="0"/>
      <w:marTop w:val="0"/>
      <w:marBottom w:val="0"/>
      <w:divBdr>
        <w:top w:val="none" w:sz="0" w:space="0" w:color="auto"/>
        <w:left w:val="none" w:sz="0" w:space="0" w:color="auto"/>
        <w:bottom w:val="none" w:sz="0" w:space="0" w:color="auto"/>
        <w:right w:val="none" w:sz="0" w:space="0" w:color="auto"/>
      </w:divBdr>
    </w:div>
    <w:div w:id="214731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B4C8E52EC9F3498FEEE367332840A5" ma:contentTypeVersion="0" ma:contentTypeDescription="Create a new document." ma:contentTypeScope="" ma:versionID="49f5f85f5bc280e92ab13c4f0f62c845">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8ECD3D0-0AB4-4A06-99BA-66F9E1B0A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E18D5D-FC0E-4BB3-B66F-C3D1A33725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713479-B20D-4485-B00E-181B15F9C7CD}">
  <ds:schemaRefs>
    <ds:schemaRef ds:uri="http://schemas.microsoft.com/sharepoint/v3/contenttype/forms"/>
  </ds:schemaRefs>
</ds:datastoreItem>
</file>

<file path=customXml/itemProps4.xml><?xml version="1.0" encoding="utf-8"?>
<ds:datastoreItem xmlns:ds="http://schemas.openxmlformats.org/officeDocument/2006/customXml" ds:itemID="{EEE836C4-96BE-4B60-B529-1343D6DB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34141</Words>
  <Characters>194605</Characters>
  <Application>Microsoft Office Word</Application>
  <DocSecurity>0</DocSecurity>
  <Lines>1621</Lines>
  <Paragraphs>456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PLEASE READ FIRST</vt:lpstr>
      <vt:lpstr>PLEASE READ FIRST</vt:lpstr>
    </vt:vector>
  </TitlesOfParts>
  <Company>Price Waterhouse</Company>
  <LinksUpToDate>false</LinksUpToDate>
  <CharactersWithSpaces>228290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READ FIRST</dc:title>
  <dc:creator>PW Moscow</dc:creator>
  <cp:lastModifiedBy>Belash</cp:lastModifiedBy>
  <cp:revision>6</cp:revision>
  <cp:lastPrinted>2016-01-22T14:43:00Z</cp:lastPrinted>
  <dcterms:created xsi:type="dcterms:W3CDTF">2016-02-18T12:10:00Z</dcterms:created>
  <dcterms:modified xsi:type="dcterms:W3CDTF">2016-02-18T12:35:00Z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0x010100D8B4C8E52EC9F3498FEEE367332840A5</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Macro1_1" visible="true" label="Project.NewMacros.Macro1" imageMso="AppointmentColorDialog" onAction="Macro1"/>
        <mso:button idQ="doc:Macro1_1" visible="true" label="Project.NewMacros.Macro1" imageMso="ResultsPaneStartFindAndReplace" onAction="Macro1"/>
      </mso:documentControls>
    </mso:qat>
  </mso:ribbon>
</mso:customUI>
</file>